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6F17" w:rsidP="00776F17">
      <w:pPr>
        <w:pStyle w:val="Title"/>
      </w:pPr>
      <w:r>
        <w:fldChar w:fldCharType="begin"/>
      </w:r>
      <w:r>
        <w:instrText xml:space="preserve"> TITLE   \* MERGEFORMAT </w:instrText>
      </w:r>
      <w:r>
        <w:fldChar w:fldCharType="separate"/>
      </w:r>
      <w:r>
        <w:t>UEENEEN021A Repair rail signalling cables</w:t>
      </w:r>
      <w:r>
        <w:fldChar w:fldCharType="end"/>
      </w:r>
    </w:p>
    <w:p w:rsidR="00776F17" w:rsidP="00776F17">
      <w:pPr>
        <w:pStyle w:val="Version"/>
        <w:sectPr w:rsidSect="001433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33E0" w:rsidP="001433E0">
      <w:pPr>
        <w:pStyle w:val="SuperHeading"/>
      </w:pPr>
      <w:r w:rsidRPr="001433E0">
        <w:t>UEENEEN021A Repair rail signalling cables</w:t>
      </w:r>
    </w:p>
    <w:p w:rsidR="00000000" w:rsidRPr="001433E0" w:rsidP="001433E0">
      <w:pPr>
        <w:pStyle w:val="Heading1"/>
      </w:pPr>
      <w:bookmarkStart w:id="1" w:name="O_275049"/>
      <w:bookmarkEnd w:id="1"/>
      <w:r w:rsidRPr="001433E0">
        <w:t>Modification History</w:t>
      </w:r>
    </w:p>
    <w:p w:rsidR="00000000" w:rsidRPr="001433E0" w:rsidP="001433E0">
      <w:pPr>
        <w:pStyle w:val="BodyText"/>
      </w:pPr>
      <w:r w:rsidRPr="001433E0">
        <w:t>Not Applicable</w:t>
      </w:r>
    </w:p>
    <w:p w:rsidR="00000000" w:rsidRPr="001433E0" w:rsidP="001433E0">
      <w:pPr>
        <w:pStyle w:val="AllowPageBreak"/>
      </w:pPr>
    </w:p>
    <w:p w:rsidR="00000000" w:rsidRPr="001433E0" w:rsidP="001433E0">
      <w:pPr>
        <w:pStyle w:val="Heading1"/>
      </w:pPr>
      <w:bookmarkStart w:id="2" w:name="O_229096"/>
      <w:bookmarkEnd w:id="2"/>
      <w:r w:rsidRPr="001433E0">
        <w:t>Unit Descriptor</w:t>
      </w:r>
    </w:p>
    <w:tbl>
      <w:tblPr>
        <w:tblW w:w="0" w:type="auto"/>
        <w:tblLayout w:type="fixed"/>
        <w:tblCellMar>
          <w:left w:w="62" w:type="dxa"/>
          <w:right w:w="62" w:type="dxa"/>
        </w:tblCellMar>
        <w:tblLook w:val="0000"/>
      </w:tblPr>
      <w:tblGrid>
        <w:gridCol w:w="2700"/>
        <w:gridCol w:w="5760"/>
      </w:tblGrid>
      <w:tr w:rsidTr="00776F1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433E0" w:rsidP="001433E0">
            <w:pPr>
              <w:pStyle w:val="BodyText"/>
            </w:pPr>
            <w:r w:rsidRPr="001433E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1433E0" w:rsidP="001433E0">
            <w:pPr>
              <w:pStyle w:val="BodyText"/>
            </w:pPr>
            <w:r w:rsidRPr="001433E0">
              <w:rPr>
                <w:rStyle w:val="SpecialBold"/>
              </w:rPr>
              <w:t>1</w:t>
            </w:r>
            <w:r w:rsidRPr="001433E0">
              <w:t xml:space="preserve">) </w:t>
            </w:r>
          </w:p>
          <w:p w:rsidR="00000000" w:rsidP="001433E0">
            <w:pPr>
              <w:pStyle w:val="BodyText"/>
              <w:rPr>
                <w:lang w:val="en-NZ"/>
              </w:rPr>
            </w:pPr>
            <w:r w:rsidRPr="001433E0">
              <w:rPr>
                <w:rStyle w:val="SpecialBold"/>
              </w:rPr>
              <w:t>1</w:t>
            </w:r>
            <w:r w:rsidRPr="001433E0">
              <w:t>.</w:t>
            </w:r>
            <w:r w:rsidRPr="001433E0">
              <w:rPr>
                <w:rStyle w:val="SpecialBold"/>
              </w:rPr>
              <w:t>1</w:t>
            </w:r>
            <w:r w:rsidRPr="001433E0">
              <w:t xml:space="preserve">) </w:t>
            </w:r>
            <w:r w:rsidRPr="001433E0">
              <w:rPr>
                <w:rStyle w:val="SpecialBold"/>
              </w:rPr>
              <w:t>Descriptor</w:t>
            </w:r>
          </w:p>
        </w:tc>
      </w:tr>
      <w:tr w:rsidTr="00776F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433E0" w:rsidP="001433E0">
            <w:pPr>
              <w:pStyle w:val="BodyText"/>
            </w:pPr>
            <w:r w:rsidRPr="001433E0">
              <w:t>This unit covers repair of signalling power cables and multi core signalling control cables up to 50 cores. It encompasses safe working, regulatory requirements and following work procedures, selecting and using appropriate cable joining methods, testing c</w:t>
            </w:r>
            <w:r w:rsidRPr="001433E0">
              <w:t>ontinuity and insulation resistance of repaired cable cores and reporting repair activities.</w:t>
            </w:r>
          </w:p>
        </w:tc>
      </w:tr>
    </w:tbl>
    <w:p w:rsidR="00776F17" w:rsidP="001433E0">
      <w:pPr>
        <w:pStyle w:val="BodyText"/>
      </w:pPr>
    </w:p>
    <w:p w:rsidR="00776F17" w:rsidP="001433E0">
      <w:pPr>
        <w:pStyle w:val="BodyText"/>
      </w:pPr>
    </w:p>
    <w:p w:rsidR="00000000" w:rsidRPr="001433E0" w:rsidP="001433E0">
      <w:pPr>
        <w:pStyle w:val="Heading1"/>
      </w:pPr>
      <w:bookmarkStart w:id="3" w:name="O_229101"/>
      <w:bookmarkEnd w:id="3"/>
      <w:r w:rsidRPr="001433E0">
        <w:t>Application of the Unit</w:t>
      </w:r>
    </w:p>
    <w:tbl>
      <w:tblPr>
        <w:tblW w:w="0" w:type="auto"/>
        <w:tblLayout w:type="fixed"/>
        <w:tblCellMar>
          <w:left w:w="62" w:type="dxa"/>
          <w:right w:w="62" w:type="dxa"/>
        </w:tblCellMar>
        <w:tblLook w:val="0000"/>
      </w:tblPr>
      <w:tblGrid>
        <w:gridCol w:w="2700"/>
        <w:gridCol w:w="5760"/>
      </w:tblGrid>
      <w:tr w:rsidTr="00776F1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433E0" w:rsidP="001433E0">
            <w:pPr>
              <w:pStyle w:val="BodyText"/>
            </w:pPr>
            <w:r w:rsidRPr="001433E0">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rPr>
                <w:rStyle w:val="SpecialBold"/>
              </w:rPr>
              <w:t>4</w:t>
            </w:r>
            <w:r w:rsidRPr="001433E0">
              <w:t>)</w:t>
            </w:r>
          </w:p>
        </w:tc>
      </w:tr>
      <w:tr w:rsidTr="00776F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433E0" w:rsidP="001433E0">
            <w:pPr>
              <w:pStyle w:val="BodyText"/>
            </w:pPr>
            <w:r w:rsidRPr="001433E0">
              <w:t>This competency standard is suitable for employment-based programs under an approved contract of training at the AQF level of the qualification in which the unit is first packaged or higher.</w:t>
            </w:r>
          </w:p>
          <w:p w:rsidR="00000000" w:rsidRPr="001433E0" w:rsidP="001433E0">
            <w:pPr>
              <w:pStyle w:val="BodyText"/>
            </w:pPr>
          </w:p>
          <w:p w:rsidR="00000000" w:rsidRPr="001433E0" w:rsidP="001433E0">
            <w:pPr>
              <w:pStyle w:val="BodyText"/>
            </w:pPr>
            <w:r w:rsidRPr="001433E0">
              <w:t>The unit may be selected as an elective from the relevant schedu</w:t>
            </w:r>
            <w:r w:rsidRPr="001433E0">
              <w:t>le (see qualification packaging rules) provided that all prerequisite units are undertaken or addressed through recognition processes.</w:t>
            </w:r>
          </w:p>
          <w:p w:rsidR="00000000" w:rsidRPr="001433E0" w:rsidP="001433E0">
            <w:pPr>
              <w:pStyle w:val="BodyText"/>
            </w:pPr>
          </w:p>
          <w:p w:rsidR="00000000" w:rsidRPr="001433E0" w:rsidP="001433E0">
            <w:pPr>
              <w:pStyle w:val="BodyText"/>
            </w:pPr>
            <w:r w:rsidRPr="001433E0">
              <w:t>This unit may be included in a skill set provided that it is listed in the schedule of electiv</w:t>
            </w:r>
            <w:r w:rsidRPr="001433E0">
              <w:t>es (see Qualification Framework) and all prerequisite units are undertaken or addressed through recognition processes.</w:t>
            </w:r>
          </w:p>
          <w:p w:rsidR="00000000" w:rsidRPr="001433E0" w:rsidP="001433E0">
            <w:pPr>
              <w:pStyle w:val="BodyText"/>
            </w:pPr>
          </w:p>
          <w:p w:rsidR="00000000" w:rsidRPr="001433E0" w:rsidP="001433E0">
            <w:pPr>
              <w:pStyle w:val="BodyText"/>
            </w:pPr>
            <w:r w:rsidRPr="001433E0">
              <w:t xml:space="preserve">Delivery and assessment of this unit should be undertaken within regard to the requirements of License to Practice </w:t>
            </w:r>
            <w:r w:rsidRPr="001433E0">
              <w:t>(1.2 above), Prerequi</w:t>
            </w:r>
            <w:r w:rsidRPr="001433E0">
              <w:t>site Competencies and Literacy and Numeracy skills (2 above) and the  recommendations for concurrent assessment and relationship with other units (9.5 below).</w:t>
            </w:r>
          </w:p>
          <w:p w:rsidR="00000000" w:rsidRPr="001433E0" w:rsidP="001433E0">
            <w:pPr>
              <w:pStyle w:val="BodyText"/>
            </w:pPr>
          </w:p>
          <w:p w:rsidR="00000000" w:rsidRPr="001433E0" w:rsidP="001433E0">
            <w:pPr>
              <w:pStyle w:val="BodyText"/>
            </w:pPr>
            <w:r w:rsidRPr="001433E0">
              <w:t>This unit shall apply to qualifications in installation and maintenance of rail signalling elect</w:t>
            </w:r>
            <w:r w:rsidRPr="001433E0">
              <w:t>rical power and control systems AQF Level 3 or higher</w:t>
            </w:r>
          </w:p>
          <w:p w:rsidR="00000000" w:rsidRPr="001433E0" w:rsidP="001433E0">
            <w:pPr>
              <w:pStyle w:val="BodyText"/>
            </w:pPr>
            <w:r w:rsidRPr="001433E0">
              <w:t>Practice in the workplace and during training is also subject to regulations directly related to occupational health and safety and where applicable contracts of training such as apprenticeships.</w:t>
            </w:r>
          </w:p>
          <w:p w:rsidR="00000000" w:rsidRPr="001433E0" w:rsidP="001433E0">
            <w:pPr>
              <w:pStyle w:val="BodyText"/>
            </w:pPr>
            <w:r w:rsidRPr="001433E0">
              <w:t>Note:</w:t>
            </w:r>
            <w:r w:rsidRPr="001433E0">
              <w:br/>
            </w:r>
            <w:r w:rsidRPr="001433E0">
              <w:t>1. Compliance with permits may be required in various jurisdictions and typically relates to the operation of plant, machinery and equipment such as elevating work platforms, powder operated fixing tools, power operated tools, vehicles, road signage and tr</w:t>
            </w:r>
            <w:r w:rsidRPr="001433E0">
              <w:t>affic control and lifting equipment. Permits may also be required for some work environments such as confined spaces, working aloft, near live electrical apparatus and site rehabilitation.</w:t>
            </w:r>
            <w:r w:rsidRPr="001433E0">
              <w:br/>
              <w:t xml:space="preserve">2. Compliance may be required in various jurisdictions relating to </w:t>
            </w:r>
            <w:r w:rsidRPr="001433E0">
              <w:t>currency in First Aid, confined space, lifting, risk safety measures etc.</w:t>
            </w:r>
          </w:p>
        </w:tc>
      </w:tr>
    </w:tbl>
    <w:p w:rsidR="00776F17" w:rsidP="001433E0">
      <w:pPr>
        <w:pStyle w:val="BodyText"/>
      </w:pPr>
    </w:p>
    <w:p w:rsidR="00776F17" w:rsidP="001433E0">
      <w:pPr>
        <w:pStyle w:val="BodyText"/>
      </w:pPr>
    </w:p>
    <w:p w:rsidR="00000000" w:rsidRPr="001433E0" w:rsidP="001433E0">
      <w:pPr>
        <w:pStyle w:val="Heading1"/>
      </w:pPr>
      <w:bookmarkStart w:id="4" w:name="O_229097"/>
      <w:bookmarkEnd w:id="4"/>
      <w:r w:rsidRPr="001433E0">
        <w:t>Licensing/Regulatory Information</w:t>
      </w:r>
    </w:p>
    <w:tbl>
      <w:tblPr>
        <w:tblW w:w="0" w:type="auto"/>
        <w:tblLayout w:type="fixed"/>
        <w:tblCellMar>
          <w:left w:w="62" w:type="dxa"/>
          <w:right w:w="62" w:type="dxa"/>
        </w:tblCellMar>
        <w:tblLook w:val="0000"/>
      </w:tblPr>
      <w:tblGrid>
        <w:gridCol w:w="8460"/>
      </w:tblGrid>
      <w:tr w:rsidTr="00776F1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rPr>
                <w:rStyle w:val="SpecialBold"/>
              </w:rPr>
              <w:t>1</w:t>
            </w:r>
            <w:r w:rsidRPr="001433E0">
              <w:t>.</w:t>
            </w:r>
            <w:r w:rsidRPr="001433E0">
              <w:rPr>
                <w:rStyle w:val="SpecialBold"/>
              </w:rPr>
              <w:t>2</w:t>
            </w:r>
            <w:r w:rsidRPr="001433E0">
              <w:t xml:space="preserve">) </w:t>
            </w:r>
            <w:r w:rsidRPr="001433E0">
              <w:rPr>
                <w:rStyle w:val="SpecialBold"/>
              </w:rPr>
              <w:t>License to practice</w:t>
            </w:r>
          </w:p>
        </w:tc>
      </w:tr>
      <w:tr w:rsidTr="00776F1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433E0" w:rsidP="001433E0">
            <w:pPr>
              <w:pStyle w:val="BodyText"/>
            </w:pPr>
            <w:r w:rsidRPr="001433E0">
              <w:t>The skills and knowledge described in this unit may only be practised in the workplace under regulation</w:t>
            </w:r>
            <w:r w:rsidRPr="001433E0">
              <w:t>s related to electrical work, the codes of practice and regulations of the State/Territory in which the work is carried out. This includes codes of practice such as the 'Code Of Practice for the Defined Interstate Rail Network' for work carried out on that</w:t>
            </w:r>
            <w:r w:rsidRPr="001433E0">
              <w:t xml:space="preserve"> network</w:t>
            </w:r>
          </w:p>
        </w:tc>
      </w:tr>
    </w:tbl>
    <w:p w:rsidR="00776F17" w:rsidP="001433E0">
      <w:pPr>
        <w:pStyle w:val="BodyText"/>
      </w:pPr>
    </w:p>
    <w:p w:rsidR="00776F17" w:rsidP="001433E0">
      <w:pPr>
        <w:pStyle w:val="BodyText"/>
      </w:pPr>
    </w:p>
    <w:p w:rsidR="00000000" w:rsidRPr="001433E0" w:rsidP="001433E0">
      <w:pPr>
        <w:pStyle w:val="Heading1"/>
      </w:pPr>
      <w:bookmarkStart w:id="5" w:name="O_229098"/>
      <w:bookmarkEnd w:id="5"/>
      <w:r w:rsidRPr="001433E0">
        <w:t>Pre-Requisites</w:t>
      </w:r>
    </w:p>
    <w:tbl>
      <w:tblPr>
        <w:tblW w:w="0" w:type="auto"/>
        <w:tblLayout w:type="fixed"/>
        <w:tblCellMar>
          <w:left w:w="62" w:type="dxa"/>
          <w:right w:w="62" w:type="dxa"/>
        </w:tblCellMar>
        <w:tblLook w:val="0000"/>
      </w:tblPr>
      <w:tblGrid>
        <w:gridCol w:w="2700"/>
        <w:gridCol w:w="5760"/>
      </w:tblGrid>
      <w:tr w:rsidTr="00776F1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433E0" w:rsidP="001433E0">
            <w:pPr>
              <w:pStyle w:val="BodyText"/>
            </w:pPr>
            <w:r w:rsidRPr="001433E0">
              <w:rPr>
                <w:rStyle w:val="SpecialBold"/>
              </w:rPr>
              <w:t>Prerequisite Unit</w:t>
            </w:r>
            <w:r w:rsidRPr="001433E0">
              <w:t>(</w:t>
            </w:r>
            <w:r w:rsidRPr="001433E0">
              <w:rPr>
                <w:rStyle w:val="SpecialBold"/>
              </w:rPr>
              <w:t>s</w:t>
            </w:r>
            <w:r w:rsidRPr="001433E0">
              <w:t>)</w:t>
            </w:r>
          </w:p>
        </w:tc>
        <w:tc>
          <w:tcPr>
            <w:tcW w:w="576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rPr>
                <w:rStyle w:val="SpecialBold"/>
              </w:rPr>
              <w:t>2</w:t>
            </w:r>
            <w:r w:rsidRPr="001433E0">
              <w:t xml:space="preserve">) </w:t>
            </w:r>
          </w:p>
        </w:tc>
      </w:tr>
      <w:tr w:rsidTr="00776F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433E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rPr>
                <w:rStyle w:val="SpecialBold"/>
              </w:rPr>
              <w:t>2</w:t>
            </w:r>
            <w:r w:rsidRPr="001433E0">
              <w:t>.</w:t>
            </w:r>
            <w:r w:rsidRPr="001433E0">
              <w:rPr>
                <w:rStyle w:val="SpecialBold"/>
              </w:rPr>
              <w:t>1</w:t>
            </w:r>
            <w:r w:rsidRPr="001433E0">
              <w:t xml:space="preserve">) </w:t>
            </w:r>
            <w:r w:rsidRPr="001433E0">
              <w:rPr>
                <w:rStyle w:val="SpecialBold"/>
              </w:rPr>
              <w:t>Competencies</w:t>
            </w:r>
          </w:p>
        </w:tc>
      </w:tr>
      <w:tr w:rsidTr="00776F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433E0" w:rsidP="001433E0">
            <w:pPr>
              <w:pStyle w:val="BodyText"/>
            </w:pPr>
            <w:r w:rsidRPr="001433E0">
              <w:t>UEENEEN002 Assemble and wire internal electrical signalling equipment]</w:t>
            </w:r>
          </w:p>
          <w:p w:rsidR="00000000" w:rsidRPr="001433E0" w:rsidP="001433E0">
            <w:pPr>
              <w:pStyle w:val="BodyText"/>
            </w:pPr>
          </w:p>
          <w:p w:rsidR="00000000" w:rsidRPr="001433E0" w:rsidP="001433E0">
            <w:pPr>
              <w:pStyle w:val="BodyText"/>
            </w:pPr>
            <w:r w:rsidRPr="001433E0">
              <w:t>Work place requirements in 'Work site protection' have been</w:t>
            </w:r>
          </w:p>
          <w:p w:rsidR="00000000" w:rsidRPr="001433E0" w:rsidP="001433E0">
            <w:pPr>
              <w:pStyle w:val="BodyText"/>
            </w:pPr>
            <w:r w:rsidRPr="001433E0">
              <w:t>acquired.</w:t>
            </w:r>
          </w:p>
          <w:p w:rsidR="00000000" w:rsidRPr="001433E0" w:rsidP="001433E0">
            <w:pPr>
              <w:pStyle w:val="BodyText"/>
            </w:pPr>
            <w:r w:rsidRPr="001433E0">
              <w:t>For the full prerequisite chain details for this unit please refer to Table 2 in Volume 1, Part 2</w:t>
            </w:r>
          </w:p>
        </w:tc>
      </w:tr>
    </w:tbl>
    <w:p w:rsidR="00776F17" w:rsidP="001433E0">
      <w:pPr>
        <w:pStyle w:val="BodyText"/>
      </w:pPr>
    </w:p>
    <w:p w:rsidR="00776F17" w:rsidP="001433E0">
      <w:pPr>
        <w:pStyle w:val="BodyText"/>
      </w:pPr>
    </w:p>
    <w:p w:rsidR="00000000" w:rsidRPr="001433E0" w:rsidP="001433E0">
      <w:pPr>
        <w:pStyle w:val="Heading1"/>
      </w:pPr>
      <w:bookmarkStart w:id="6" w:name="O_229100"/>
      <w:bookmarkEnd w:id="6"/>
      <w:r w:rsidRPr="001433E0">
        <w:t>Employability Skills Information</w:t>
      </w:r>
    </w:p>
    <w:tbl>
      <w:tblPr>
        <w:tblW w:w="0" w:type="auto"/>
        <w:tblLayout w:type="fixed"/>
        <w:tblCellMar>
          <w:left w:w="62" w:type="dxa"/>
          <w:right w:w="62" w:type="dxa"/>
        </w:tblCellMar>
        <w:tblLook w:val="0000"/>
      </w:tblPr>
      <w:tblGrid>
        <w:gridCol w:w="2700"/>
        <w:gridCol w:w="5760"/>
      </w:tblGrid>
      <w:tr w:rsidTr="00776F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433E0" w:rsidP="001433E0">
            <w:pPr>
              <w:pStyle w:val="BodyText"/>
            </w:pPr>
            <w:r w:rsidRPr="001433E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1433E0" w:rsidP="001433E0">
            <w:pPr>
              <w:pStyle w:val="BodyText"/>
            </w:pPr>
            <w:r w:rsidRPr="001433E0">
              <w:rPr>
                <w:rStyle w:val="SpecialBold"/>
              </w:rPr>
              <w:t>3</w:t>
            </w:r>
            <w:r w:rsidRPr="001433E0">
              <w:t>)</w:t>
            </w:r>
          </w:p>
          <w:p w:rsidR="00000000" w:rsidRPr="001433E0" w:rsidP="001433E0">
            <w:pPr>
              <w:pStyle w:val="BodyText"/>
            </w:pPr>
            <w:r w:rsidRPr="001433E0">
              <w:t>This unit contains Employability Skills</w:t>
            </w:r>
          </w:p>
          <w:p w:rsidR="00000000" w:rsidRPr="001433E0" w:rsidP="001433E0">
            <w:pPr>
              <w:pStyle w:val="BodyText"/>
            </w:pPr>
            <w:r w:rsidRPr="001433E0">
              <w:t>The required outcomes described in this u</w:t>
            </w:r>
            <w:r w:rsidRPr="001433E0">
              <w:t>nit of competency contain applicable facets of Employability Skills. The Employability Skills Summary of the qualification in which this unit of competency is packaged will assist in identifying Employability Skill requirements.</w:t>
            </w:r>
          </w:p>
        </w:tc>
      </w:tr>
    </w:tbl>
    <w:p w:rsidR="00776F17" w:rsidP="001433E0">
      <w:pPr>
        <w:pStyle w:val="BodyText"/>
      </w:pPr>
    </w:p>
    <w:p w:rsidR="00776F17" w:rsidP="001433E0">
      <w:pPr>
        <w:pStyle w:val="BodyText"/>
      </w:pPr>
    </w:p>
    <w:p w:rsidR="00000000" w:rsidRPr="001433E0" w:rsidP="001433E0">
      <w:pPr>
        <w:pStyle w:val="Heading1"/>
      </w:pPr>
      <w:bookmarkStart w:id="7" w:name="O_293095"/>
      <w:bookmarkEnd w:id="7"/>
      <w:r w:rsidRPr="001433E0">
        <w:t>Element</w:t>
      </w:r>
      <w:r w:rsidRPr="001433E0">
        <w:t>s and Performance Criteria Pre-Content</w:t>
      </w:r>
    </w:p>
    <w:tbl>
      <w:tblPr>
        <w:tblW w:w="0" w:type="auto"/>
        <w:tblLayout w:type="fixed"/>
        <w:tblCellMar>
          <w:left w:w="62" w:type="dxa"/>
          <w:right w:w="62" w:type="dxa"/>
        </w:tblCellMar>
        <w:tblLook w:val="0000"/>
      </w:tblPr>
      <w:tblGrid>
        <w:gridCol w:w="2700"/>
        <w:gridCol w:w="5760"/>
      </w:tblGrid>
      <w:tr w:rsidTr="00776F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rPr>
                <w:rStyle w:val="SpecialBold"/>
              </w:rPr>
              <w:t>6</w:t>
            </w:r>
            <w:r w:rsidRPr="001433E0">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1433E0" w:rsidP="001433E0">
            <w:pPr>
              <w:pStyle w:val="BodyText"/>
            </w:pPr>
            <w:r w:rsidRPr="001433E0">
              <w:t xml:space="preserve">Performance criteria describe the required performance needed to demonstrate achievement of the Element. Assessment of performance must be </w:t>
            </w:r>
            <w:r w:rsidRPr="001433E0">
              <w:t>consistent with the evidence guide.</w:t>
            </w:r>
          </w:p>
        </w:tc>
      </w:tr>
    </w:tbl>
    <w:p w:rsidR="00000000" w:rsidRPr="001433E0" w:rsidP="001433E0">
      <w:pPr>
        <w:pStyle w:val="BodyText"/>
      </w:pPr>
    </w:p>
    <w:p w:rsidR="00000000" w:rsidRPr="001433E0" w:rsidP="001433E0">
      <w:pPr>
        <w:pStyle w:val="AllowPageBreak"/>
      </w:pPr>
    </w:p>
    <w:p w:rsidR="00000000" w:rsidRPr="001433E0" w:rsidP="001433E0">
      <w:pPr>
        <w:pStyle w:val="Heading1"/>
      </w:pPr>
      <w:bookmarkStart w:id="8" w:name="O_239763"/>
      <w:bookmarkEnd w:id="8"/>
      <w:r w:rsidRPr="001433E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76F1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433E0" w:rsidP="001433E0">
            <w:pPr>
              <w:pStyle w:val="BodyText"/>
            </w:pPr>
            <w:r w:rsidRPr="001433E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rPr>
                <w:rStyle w:val="SpecialBold"/>
              </w:rPr>
              <w:t>PERFORMANCE CRITERIA</w:t>
            </w:r>
          </w:p>
        </w:tc>
      </w:tr>
      <w:tr w:rsidTr="00776F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1</w:t>
            </w:r>
          </w:p>
        </w:tc>
        <w:tc>
          <w:tcPr>
            <w:tcW w:w="2296" w:type="dxa"/>
            <w:vMerge w:val="restart"/>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 xml:space="preserve">Prepare to repair signalling cables </w:t>
            </w:r>
          </w:p>
        </w:tc>
        <w:tc>
          <w:tcPr>
            <w:tcW w:w="90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1.1</w:t>
            </w:r>
          </w:p>
        </w:tc>
        <w:tc>
          <w:tcPr>
            <w:tcW w:w="486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OHS procedures for a given work area are identified, obtained and understood.</w:t>
            </w:r>
          </w:p>
        </w:tc>
      </w:tr>
      <w:tr w:rsidTr="00776F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1.2</w:t>
            </w:r>
          </w:p>
        </w:tc>
        <w:tc>
          <w:tcPr>
            <w:tcW w:w="486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Established OHS risk control measures and procedures are followed in preparation for the work.</w:t>
            </w:r>
          </w:p>
        </w:tc>
      </w:tr>
      <w:tr w:rsidTr="00776F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1.3</w:t>
            </w:r>
          </w:p>
        </w:tc>
        <w:tc>
          <w:tcPr>
            <w:tcW w:w="486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Safety hazards that have not previously been identified are noted, and established risk control measures are implemented.</w:t>
            </w:r>
          </w:p>
        </w:tc>
      </w:tr>
      <w:tr w:rsidTr="00776F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1.4</w:t>
            </w:r>
          </w:p>
        </w:tc>
        <w:tc>
          <w:tcPr>
            <w:tcW w:w="486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Access times and methods are confirmed to comply with customer requirements and relevant legislation.</w:t>
            </w:r>
          </w:p>
        </w:tc>
      </w:tr>
      <w:tr w:rsidTr="00776F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1.5</w:t>
            </w:r>
          </w:p>
        </w:tc>
        <w:tc>
          <w:tcPr>
            <w:tcW w:w="486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Appropriate personnel are consulted to ensure the work is coordinated effectively with others involved on the work site</w:t>
            </w:r>
          </w:p>
        </w:tc>
      </w:tr>
      <w:tr w:rsidTr="00776F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1.6</w:t>
            </w:r>
          </w:p>
        </w:tc>
        <w:tc>
          <w:tcPr>
            <w:tcW w:w="486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Extent and nature of</w:t>
            </w:r>
            <w:r w:rsidRPr="001433E0">
              <w:t xml:space="preserve"> the damage to the rail signalling cable is confirmed with appropriate personnel and through established procedures.</w:t>
            </w:r>
          </w:p>
        </w:tc>
      </w:tr>
      <w:tr w:rsidTr="00776F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1.7</w:t>
            </w:r>
          </w:p>
        </w:tc>
        <w:tc>
          <w:tcPr>
            <w:tcW w:w="486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 xml:space="preserve">Appropriate cable joining kit is obtained in accordance with established procedures and checked against manufacturer's instructions </w:t>
            </w:r>
            <w:r w:rsidRPr="001433E0">
              <w:t>to ensure all components are included.</w:t>
            </w:r>
          </w:p>
        </w:tc>
      </w:tr>
      <w:tr w:rsidTr="00776F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1.8</w:t>
            </w:r>
          </w:p>
        </w:tc>
        <w:tc>
          <w:tcPr>
            <w:tcW w:w="486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Cable diagrams necessary to effect repairs are obtained, read and understood.</w:t>
            </w:r>
          </w:p>
        </w:tc>
      </w:tr>
      <w:tr w:rsidTr="00776F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1.9</w:t>
            </w:r>
          </w:p>
        </w:tc>
        <w:tc>
          <w:tcPr>
            <w:tcW w:w="486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Tools and cabl</w:t>
            </w:r>
            <w:r w:rsidRPr="001433E0">
              <w:t>e testing devices appropriate for the cable repair are obtained in accordance with established procedures and checked for correct operation and safety.</w:t>
            </w:r>
          </w:p>
        </w:tc>
      </w:tr>
      <w:tr w:rsidTr="00776F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2</w:t>
            </w:r>
          </w:p>
        </w:tc>
        <w:tc>
          <w:tcPr>
            <w:tcW w:w="2296" w:type="dxa"/>
            <w:vMerge w:val="restart"/>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Repair damaged rail signalling cables</w:t>
            </w:r>
          </w:p>
        </w:tc>
        <w:tc>
          <w:tcPr>
            <w:tcW w:w="90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2.1</w:t>
            </w:r>
          </w:p>
        </w:tc>
        <w:tc>
          <w:tcPr>
            <w:tcW w:w="486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Work area made safe, the damaged cable is isolated for repa</w:t>
            </w:r>
            <w:r w:rsidRPr="001433E0">
              <w:t>ir and other OHS risk control measures and procedures for carrying out the repair are followed</w:t>
            </w:r>
          </w:p>
        </w:tc>
      </w:tr>
      <w:tr w:rsidTr="00776F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2.2</w:t>
            </w:r>
          </w:p>
        </w:tc>
        <w:tc>
          <w:tcPr>
            <w:tcW w:w="486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Corresponding ends of broken cable core are identified by core marking and confirmed by continuity test</w:t>
            </w:r>
          </w:p>
        </w:tc>
      </w:tr>
      <w:tr w:rsidTr="00776F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2.3</w:t>
            </w:r>
          </w:p>
        </w:tc>
        <w:tc>
          <w:tcPr>
            <w:tcW w:w="486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Appropriate cable joining kit is used to repair damaged cable following manufacturer's instructions and established procedures</w:t>
            </w:r>
          </w:p>
        </w:tc>
      </w:tr>
      <w:tr w:rsidTr="00776F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2.4</w:t>
            </w:r>
          </w:p>
        </w:tc>
        <w:tc>
          <w:tcPr>
            <w:tcW w:w="486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Effectiveness of the repair to the damage cable is tested for cable core continuity, insulation between cable cores and co</w:t>
            </w:r>
            <w:r w:rsidRPr="001433E0">
              <w:t>res to earth.</w:t>
            </w:r>
          </w:p>
        </w:tc>
      </w:tr>
      <w:tr w:rsidTr="00776F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2.5</w:t>
            </w:r>
          </w:p>
        </w:tc>
        <w:tc>
          <w:tcPr>
            <w:tcW w:w="486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Cause of unacceptable test results is located and rectified in accordance with established procedures</w:t>
            </w:r>
          </w:p>
        </w:tc>
      </w:tr>
      <w:tr w:rsidTr="00776F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2.6</w:t>
            </w:r>
          </w:p>
        </w:tc>
        <w:tc>
          <w:tcPr>
            <w:tcW w:w="486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Established methods for dealing with unexpected situations are dealt with safely and with the approval of an authorised person</w:t>
            </w:r>
          </w:p>
        </w:tc>
      </w:tr>
      <w:tr w:rsidTr="00776F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2.7</w:t>
            </w:r>
          </w:p>
        </w:tc>
        <w:tc>
          <w:tcPr>
            <w:tcW w:w="486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Cable repair is performed efficiently without waste of materials or damage to apparatus and the surrounding environment or services and using sustainable energy practices</w:t>
            </w:r>
          </w:p>
        </w:tc>
      </w:tr>
      <w:tr w:rsidTr="00776F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3</w:t>
            </w:r>
          </w:p>
        </w:tc>
        <w:tc>
          <w:tcPr>
            <w:tcW w:w="2296"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Report signalling cable repair results</w:t>
            </w:r>
          </w:p>
        </w:tc>
        <w:tc>
          <w:tcPr>
            <w:tcW w:w="90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3.1</w:t>
            </w:r>
          </w:p>
        </w:tc>
        <w:tc>
          <w:tcPr>
            <w:tcW w:w="486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OHS work completion risk contro</w:t>
            </w:r>
            <w:r w:rsidRPr="001433E0">
              <w:t>l measures and procedures are followed</w:t>
            </w:r>
          </w:p>
        </w:tc>
      </w:tr>
      <w:tr w:rsidTr="00776F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3.2</w:t>
            </w:r>
          </w:p>
        </w:tc>
        <w:tc>
          <w:tcPr>
            <w:tcW w:w="486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Work area is cleaned and made safe in accordance with established procedures</w:t>
            </w:r>
          </w:p>
        </w:tc>
      </w:tr>
      <w:tr w:rsidTr="00776F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3.3</w:t>
            </w:r>
          </w:p>
        </w:tc>
        <w:tc>
          <w:tcPr>
            <w:tcW w:w="4860" w:type="dxa"/>
            <w:tcBorders>
              <w:top w:val="nil"/>
              <w:left w:val="nil"/>
              <w:bottom w:val="nil"/>
              <w:right w:val="nil"/>
            </w:tcBorders>
            <w:tcMar>
              <w:top w:w="0" w:type="dxa"/>
              <w:left w:w="62" w:type="dxa"/>
              <w:bottom w:w="0" w:type="dxa"/>
              <w:right w:w="62" w:type="dxa"/>
            </w:tcMar>
          </w:tcPr>
          <w:p w:rsidR="00000000" w:rsidRPr="001433E0" w:rsidP="001433E0">
            <w:pPr>
              <w:pStyle w:val="BodyText"/>
            </w:pPr>
            <w:r w:rsidRPr="001433E0">
              <w:t>Cable repair work is documented including test resu</w:t>
            </w:r>
            <w:r w:rsidRPr="001433E0">
              <w:t>lts and an appropriate person or persons notified in accordance with established procedures</w:t>
            </w:r>
          </w:p>
        </w:tc>
      </w:tr>
    </w:tbl>
    <w:p w:rsidR="00776F17" w:rsidP="001433E0">
      <w:pPr>
        <w:pStyle w:val="BodyText"/>
      </w:pPr>
    </w:p>
    <w:p w:rsidR="00776F17" w:rsidP="001433E0">
      <w:pPr>
        <w:pStyle w:val="BodyText"/>
      </w:pPr>
    </w:p>
    <w:p w:rsidR="00000000" w:rsidRPr="001433E0" w:rsidP="001433E0">
      <w:pPr>
        <w:pStyle w:val="Heading1"/>
      </w:pPr>
      <w:bookmarkStart w:id="9" w:name="O_263554"/>
      <w:bookmarkEnd w:id="9"/>
      <w:r w:rsidRPr="001433E0">
        <w:t>Required Skills and Knowledge</w:t>
      </w:r>
    </w:p>
    <w:tbl>
      <w:tblPr>
        <w:tblW w:w="0" w:type="auto"/>
        <w:tblLayout w:type="fixed"/>
        <w:tblCellMar>
          <w:left w:w="62" w:type="dxa"/>
          <w:right w:w="62" w:type="dxa"/>
        </w:tblCellMar>
        <w:tblLook w:val="0000"/>
      </w:tblPr>
      <w:tblGrid>
        <w:gridCol w:w="1985"/>
        <w:gridCol w:w="1795"/>
        <w:gridCol w:w="4680"/>
      </w:tblGrid>
      <w:tr w:rsidTr="00776F17">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rPr>
                <w:rStyle w:val="SpecialBold"/>
              </w:rPr>
              <w:t>REQUIRED SKILLS AND KNOWLEDGE</w:t>
            </w:r>
          </w:p>
        </w:tc>
      </w:tr>
      <w:tr w:rsidTr="00776F17">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rPr>
                <w:rStyle w:val="SpecialBold"/>
              </w:rPr>
              <w:t>7</w:t>
            </w:r>
            <w:r w:rsidRPr="001433E0">
              <w:t>) This describes the essential skills and knowledge and their level, require</w:t>
            </w:r>
            <w:r w:rsidRPr="001433E0">
              <w:t>d for this unit.</w:t>
            </w:r>
          </w:p>
        </w:tc>
      </w:tr>
      <w:tr w:rsidTr="00776F17">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1433E0" w:rsidP="001433E0">
            <w:pPr>
              <w:pStyle w:val="BodyText"/>
            </w:pPr>
            <w:r w:rsidRPr="001433E0">
              <w:t>Evidence must show that knowledge has been acquired of safe working practices and performing cable system tests.</w:t>
            </w:r>
          </w:p>
          <w:p w:rsidR="00000000" w:rsidRPr="001433E0" w:rsidP="001433E0">
            <w:pPr>
              <w:pStyle w:val="BodyText"/>
            </w:pPr>
            <w:r w:rsidRPr="001433E0">
              <w:t>All knowledge and skills detailed in this unit should be contextualised to current industry practices and technologies.</w:t>
            </w:r>
          </w:p>
          <w:p w:rsidR="00000000" w:rsidP="001433E0">
            <w:pPr>
              <w:pStyle w:val="BodyText"/>
              <w:rPr>
                <w:lang w:val="en-NZ"/>
              </w:rPr>
            </w:pPr>
            <w:r w:rsidRPr="001433E0">
              <w:t>The</w:t>
            </w:r>
            <w:r w:rsidRPr="001433E0">
              <w:t xml:space="preserve"> extent of the essential knowledge and associated skills (EKAS) required is given in Volume 2 - Part 2.2 EKAS.  It forms an integral part of this unit.</w:t>
            </w:r>
          </w:p>
        </w:tc>
      </w:tr>
      <w:tr w:rsidTr="00776F17">
        <w:tblPrEx>
          <w:tblW w:w="0" w:type="auto"/>
          <w:tblLayout w:type="fixed"/>
          <w:tblCellMar>
            <w:left w:w="62" w:type="dxa"/>
            <w:right w:w="62" w:type="dxa"/>
          </w:tblCellMar>
          <w:tblLook w:val="0000"/>
        </w:tblPrEx>
        <w:tc>
          <w:tcPr>
            <w:tcW w:w="19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5"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 xml:space="preserve">KS01-EN021A </w:t>
            </w:r>
          </w:p>
        </w:tc>
        <w:tc>
          <w:tcPr>
            <w:tcW w:w="468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Rail signalling cable repair</w:t>
            </w:r>
          </w:p>
        </w:tc>
      </w:tr>
      <w:tr w:rsidTr="00776F17">
        <w:tblPrEx>
          <w:tblW w:w="0" w:type="auto"/>
          <w:tblLayout w:type="fixed"/>
          <w:tblCellMar>
            <w:left w:w="62" w:type="dxa"/>
            <w:right w:w="62" w:type="dxa"/>
          </w:tblCellMar>
          <w:tblLook w:val="0000"/>
        </w:tblPrEx>
        <w:tc>
          <w:tcPr>
            <w:tcW w:w="19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5"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KS02-EN021A</w:t>
            </w:r>
          </w:p>
        </w:tc>
        <w:tc>
          <w:tcPr>
            <w:tcW w:w="4680" w:type="dxa"/>
            <w:tcBorders>
              <w:top w:val="nil"/>
              <w:left w:val="nil"/>
              <w:bottom w:val="nil"/>
              <w:right w:val="nil"/>
            </w:tcBorders>
            <w:tcMar>
              <w:top w:w="0" w:type="dxa"/>
              <w:left w:w="62" w:type="dxa"/>
              <w:bottom w:w="0" w:type="dxa"/>
              <w:right w:w="62" w:type="dxa"/>
            </w:tcMar>
          </w:tcPr>
          <w:p w:rsidR="00000000" w:rsidRPr="001433E0" w:rsidP="001433E0">
            <w:pPr>
              <w:pStyle w:val="BodyText"/>
            </w:pPr>
            <w:r w:rsidRPr="001433E0">
              <w:t xml:space="preserve">Rail signalling principles, electrical </w:t>
            </w:r>
          </w:p>
        </w:tc>
      </w:tr>
    </w:tbl>
    <w:p w:rsidR="00776F17" w:rsidP="001433E0">
      <w:pPr>
        <w:pStyle w:val="BodyText"/>
      </w:pPr>
    </w:p>
    <w:p w:rsidR="00776F17" w:rsidP="001433E0">
      <w:pPr>
        <w:pStyle w:val="BodyText"/>
      </w:pPr>
    </w:p>
    <w:p w:rsidR="00000000" w:rsidRPr="001433E0" w:rsidP="001433E0">
      <w:pPr>
        <w:pStyle w:val="Heading1"/>
      </w:pPr>
      <w:bookmarkStart w:id="10" w:name="O_247746"/>
      <w:bookmarkEnd w:id="10"/>
      <w:r w:rsidRPr="001433E0">
        <w:t>Evidence Guide</w:t>
      </w:r>
    </w:p>
    <w:tbl>
      <w:tblPr>
        <w:tblW w:w="0" w:type="auto"/>
        <w:tblLayout w:type="fixed"/>
        <w:tblCellMar>
          <w:left w:w="62" w:type="dxa"/>
          <w:right w:w="62" w:type="dxa"/>
        </w:tblCellMar>
        <w:tblLook w:val="0000"/>
      </w:tblPr>
      <w:tblGrid>
        <w:gridCol w:w="2160"/>
        <w:gridCol w:w="720"/>
        <w:gridCol w:w="540"/>
        <w:gridCol w:w="5040"/>
      </w:tblGrid>
      <w:tr w:rsidTr="00776F17">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rPr>
                <w:rStyle w:val="SpecialBold"/>
              </w:rPr>
              <w:t>EVIDENCE GUIDE</w:t>
            </w:r>
          </w:p>
        </w:tc>
      </w:tr>
      <w:tr w:rsidTr="00776F17">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1433E0" w:rsidP="001433E0">
            <w:pPr>
              <w:pStyle w:val="BodyText"/>
            </w:pPr>
            <w:r w:rsidRPr="001433E0">
              <w:rPr>
                <w:rStyle w:val="SpecialBold"/>
              </w:rPr>
              <w:t>9</w:t>
            </w:r>
            <w:r w:rsidRPr="001433E0">
              <w:t>) The evidence guide provides advice on assessment and must be read in conjunction with the Performance Criteria, Required Skills and Knowledge, the Range Statement and the Assessment Guidelines for this T</w:t>
            </w:r>
            <w:r w:rsidRPr="001433E0">
              <w:t>raining Package.</w:t>
            </w:r>
          </w:p>
          <w:p w:rsidR="00000000" w:rsidP="001433E0">
            <w:pPr>
              <w:pStyle w:val="BodyText"/>
              <w:rPr>
                <w:lang w:val="en-NZ"/>
              </w:rPr>
            </w:pPr>
            <w:r w:rsidRPr="001433E0">
              <w:t>The Evidence Guide forms an integral part of this unit. It must be used in conjunction with all parts of this unit and performed in accordance with the Assessment Guidelines of this Training Package.</w:t>
            </w:r>
          </w:p>
        </w:tc>
      </w:tr>
      <w:tr w:rsidTr="00776F1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433E0" w:rsidP="001433E0">
            <w:pPr>
              <w:pStyle w:val="BodyText"/>
            </w:pPr>
            <w:r w:rsidRPr="001433E0">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1433E0" w:rsidP="001433E0">
            <w:pPr>
              <w:pStyle w:val="BodyText"/>
            </w:pPr>
            <w:r w:rsidRPr="001433E0">
              <w:rPr>
                <w:rStyle w:val="SpecialBold"/>
              </w:rPr>
              <w:t>9</w:t>
            </w:r>
            <w:r w:rsidRPr="001433E0">
              <w:t>.</w:t>
            </w:r>
            <w:r w:rsidRPr="001433E0">
              <w:rPr>
                <w:rStyle w:val="SpecialBold"/>
              </w:rPr>
              <w:t>1</w:t>
            </w:r>
            <w:r w:rsidRPr="001433E0">
              <w:t>)</w:t>
            </w:r>
          </w:p>
          <w:p w:rsidR="00000000" w:rsidRPr="001433E0" w:rsidP="001433E0">
            <w:pPr>
              <w:pStyle w:val="BodyText"/>
            </w:pPr>
            <w:r w:rsidRPr="001433E0">
              <w:t>Longitudinal competency development approaches to assessment, such as Profiling, require data to be reliably gathered in a form that can be consistently interpreted over time. This approach is best utilised in Apprenticeship programs and reduces assessment</w:t>
            </w:r>
            <w:r w:rsidRPr="001433E0">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1433E0">
              <w:t>ncy in a realistically simulated work environment. In some circumstances, assessment in part or full can occur outside the workplace. However, it must be in accordance with industry and regulatory policy.</w:t>
            </w:r>
          </w:p>
          <w:p w:rsidR="00000000" w:rsidRPr="001433E0" w:rsidP="001433E0">
            <w:pPr>
              <w:pStyle w:val="BodyText"/>
            </w:pPr>
            <w:r w:rsidRPr="001433E0">
              <w:t xml:space="preserve">Methods chosen for a particular assessment will be </w:t>
            </w:r>
            <w:r w:rsidRPr="001433E0">
              <w:t>influenced by various factors. These include the extent of the assessment, the most effective locations for the assessment activities to take place, access to physical resources, additional safety measures that may be required and the critical nature of th</w:t>
            </w:r>
            <w:r w:rsidRPr="001433E0">
              <w:t>e competencies being assessed.</w:t>
            </w:r>
          </w:p>
          <w:p w:rsidR="00000000" w:rsidRPr="001433E0" w:rsidP="001433E0">
            <w:pPr>
              <w:pStyle w:val="BodyText"/>
            </w:pPr>
            <w:r w:rsidRPr="001433E0">
              <w:t xml:space="preserve">The critical safety issues inherent in working with electricity, electrical equipment, gas or any other hazardous substance/material present a challenge for those determining competence. Sources of evidence need to be 'rich' </w:t>
            </w:r>
            <w:r w:rsidRPr="001433E0">
              <w:t>in nature to minimise error in judgment.</w:t>
            </w:r>
          </w:p>
          <w:p w:rsidR="00000000" w:rsidP="001433E0">
            <w:pPr>
              <w:pStyle w:val="BodyText"/>
              <w:rPr>
                <w:lang w:val="en-NZ"/>
              </w:rPr>
            </w:pPr>
            <w:r w:rsidRPr="001433E0">
              <w:t>Activities associated with normal everyday work have a bearing on the decision as to how much and how detailed the data gathered will contribute to its 'richness'. Some skills are more critical to safety and operati</w:t>
            </w:r>
            <w:r w:rsidRPr="001433E0">
              <w:t>onal requirements while the same skills may be more or less frequently practised. These points are raised for the assessors to consider when choosing an assessment method and developing assessment instruments. Sample assessment instruments are included for</w:t>
            </w:r>
            <w:r w:rsidRPr="001433E0">
              <w:t xml:space="preserve"> Assessors in the Assessment Guidelines of this Training Package.</w:t>
            </w:r>
          </w:p>
        </w:tc>
      </w:tr>
      <w:tr w:rsidTr="00776F1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433E0" w:rsidP="001433E0">
            <w:pPr>
              <w:pStyle w:val="BodyText"/>
            </w:pPr>
            <w:r w:rsidRPr="001433E0">
              <w:rPr>
                <w:rStyle w:val="SpecialBold"/>
              </w:rPr>
              <w:t xml:space="preserve">Critical aspects of evidence required to demonstrate competency </w:t>
            </w:r>
            <w:r w:rsidRPr="001433E0">
              <w:rPr>
                <w:rStyle w:val="SpecialBold"/>
              </w:rPr>
              <w:t>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1433E0" w:rsidP="001433E0">
            <w:pPr>
              <w:pStyle w:val="BodyText"/>
            </w:pPr>
            <w:r w:rsidRPr="001433E0">
              <w:rPr>
                <w:rStyle w:val="SpecialBold"/>
              </w:rPr>
              <w:t>9</w:t>
            </w:r>
            <w:r w:rsidRPr="001433E0">
              <w:t>.</w:t>
            </w:r>
            <w:r w:rsidRPr="001433E0">
              <w:rPr>
                <w:rStyle w:val="SpecialBold"/>
              </w:rPr>
              <w:t>2</w:t>
            </w:r>
            <w:r w:rsidRPr="001433E0">
              <w:t xml:space="preserve">) </w:t>
            </w:r>
          </w:p>
          <w:p w:rsidR="00000000" w:rsidP="001433E0">
            <w:pPr>
              <w:pStyle w:val="BodyText"/>
              <w:rPr>
                <w:lang w:val="en-NZ"/>
              </w:rPr>
            </w:pPr>
            <w:r w:rsidRPr="001433E0">
              <w:t>Before the critical aspects of evidence are considered all prerequisites must be met.</w:t>
            </w:r>
          </w:p>
        </w:tc>
      </w:tr>
      <w:tr w:rsidTr="00776F1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1433E0" w:rsidP="001433E0">
            <w:pPr>
              <w:pStyle w:val="BodyText"/>
            </w:pPr>
            <w:r w:rsidRPr="001433E0">
              <w:t>Evidence for competence in this unit must be considered holistically.  Each element and associated performance criteria must be demonstrated on at least two occasions in accordance with the 'Assessment Guidelines - UEE07'.  Evidence must  also comprise:</w:t>
            </w:r>
          </w:p>
          <w:p w:rsidR="00000000" w:rsidP="001433E0">
            <w:pPr>
              <w:pStyle w:val="ListBullet"/>
              <w:rPr>
                <w:lang w:val="en-NZ"/>
              </w:rPr>
            </w:pPr>
            <w:r w:rsidRPr="001433E0">
              <w:t>A</w:t>
            </w:r>
            <w:r w:rsidRPr="001433E0">
              <w:t xml:space="preserve"> representative body of work performance demonstrated within the timeframes typically expected of the discipline, work function and industrial environment. In particular this must  incorporate evidence that shows a candidate is able to:</w:t>
            </w:r>
          </w:p>
        </w:tc>
      </w:tr>
      <w:tr w:rsidTr="00776F1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1433E0" w:rsidP="001433E0">
            <w:pPr>
              <w:pStyle w:val="ListBullet2"/>
            </w:pPr>
            <w:r w:rsidRPr="001433E0">
              <w:t>Implement Occupational Health and Safety workplace procedures and practices including the use of risk control measures as specified in the performance criteria and range statement</w:t>
            </w:r>
          </w:p>
          <w:p w:rsidR="00000000" w:rsidRPr="001433E0" w:rsidP="001433E0">
            <w:pPr>
              <w:pStyle w:val="ListBullet2"/>
            </w:pPr>
            <w:r w:rsidRPr="001433E0">
              <w:t>Apply sustainable energy principles and practices as specified in the perfor</w:t>
            </w:r>
            <w:r w:rsidRPr="001433E0">
              <w:t>mance criteria and range statement</w:t>
            </w:r>
          </w:p>
          <w:p w:rsidR="00000000" w:rsidRPr="001433E0" w:rsidP="001433E0">
            <w:pPr>
              <w:pStyle w:val="ListBullet2"/>
            </w:pPr>
            <w:r w:rsidRPr="001433E0">
              <w:t>Demonstrate an understanding of the essential knowledge and associated skills as described in this unit.  It may be required by some jurisdictions that RTOs provide a percentile graded result for the purpose of regulatory</w:t>
            </w:r>
            <w:r w:rsidRPr="001433E0">
              <w:t xml:space="preserve"> or licensing requirements.</w:t>
            </w:r>
          </w:p>
          <w:p w:rsidR="00000000" w:rsidRPr="001433E0" w:rsidP="001433E0">
            <w:pPr>
              <w:pStyle w:val="ListBullet2"/>
            </w:pPr>
            <w:r w:rsidRPr="001433E0">
              <w:t>Demonstrate an appropriate level of skills enabling employment</w:t>
            </w:r>
          </w:p>
          <w:p w:rsidR="00000000" w:rsidP="001433E0">
            <w:pPr>
              <w:pStyle w:val="ListBullet2"/>
              <w:rPr>
                <w:lang w:val="en-NZ"/>
              </w:rPr>
            </w:pPr>
            <w:r w:rsidRPr="001433E0">
              <w:t>Conduct work observing the relevant Anti Discrimination legislation, regulations, polices and workplace procedures</w:t>
            </w:r>
          </w:p>
        </w:tc>
      </w:tr>
      <w:tr w:rsidTr="00776F1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433E0">
            <w:pPr>
              <w:pStyle w:val="ListBullet"/>
              <w:rPr>
                <w:lang w:val="en-NZ"/>
              </w:rPr>
            </w:pPr>
            <w:r w:rsidRPr="001433E0">
              <w:t>Demonstrated consistent performance across a representative range of contexts from the prescribed items below:</w:t>
            </w:r>
          </w:p>
        </w:tc>
      </w:tr>
      <w:tr w:rsidTr="00776F1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433E0">
            <w:pPr>
              <w:pStyle w:val="ListBullet2"/>
              <w:rPr>
                <w:lang w:val="en-NZ"/>
              </w:rPr>
            </w:pPr>
            <w:r w:rsidRPr="001433E0">
              <w:t>Perform signalling cable repairs and system tests as described in 8) and including:</w:t>
            </w:r>
          </w:p>
        </w:tc>
      </w:tr>
      <w:tr w:rsidTr="00776F1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A</w:t>
            </w:r>
          </w:p>
        </w:tc>
        <w:tc>
          <w:tcPr>
            <w:tcW w:w="504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Selecting approved cable joining kit, cable repair tools and testing devices</w:t>
            </w:r>
          </w:p>
        </w:tc>
      </w:tr>
      <w:tr w:rsidTr="00776F1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B</w:t>
            </w:r>
          </w:p>
        </w:tc>
        <w:tc>
          <w:tcPr>
            <w:tcW w:w="504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Interpreting cable diagrams</w:t>
            </w:r>
          </w:p>
        </w:tc>
      </w:tr>
      <w:tr w:rsidTr="00776F1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C</w:t>
            </w:r>
          </w:p>
        </w:tc>
        <w:tc>
          <w:tcPr>
            <w:tcW w:w="504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Identifying corresponding ends of broken cable cores accurately</w:t>
            </w:r>
          </w:p>
        </w:tc>
      </w:tr>
      <w:tr w:rsidTr="00776F1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D</w:t>
            </w:r>
          </w:p>
        </w:tc>
        <w:tc>
          <w:tcPr>
            <w:tcW w:w="504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Repairing damaged cable effectively</w:t>
            </w:r>
          </w:p>
        </w:tc>
      </w:tr>
      <w:tr w:rsidTr="00776F1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E</w:t>
            </w:r>
          </w:p>
        </w:tc>
        <w:tc>
          <w:tcPr>
            <w:tcW w:w="504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Using testing devices and tools correctly and safely</w:t>
            </w:r>
          </w:p>
        </w:tc>
      </w:tr>
      <w:tr w:rsidTr="00776F1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F</w:t>
            </w:r>
          </w:p>
        </w:tc>
        <w:tc>
          <w:tcPr>
            <w:tcW w:w="504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Locating and rectifying causes of unacceptable cable test results</w:t>
            </w:r>
          </w:p>
        </w:tc>
      </w:tr>
      <w:tr w:rsidTr="00776F1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G</w:t>
            </w:r>
          </w:p>
        </w:tc>
        <w:tc>
          <w:tcPr>
            <w:tcW w:w="504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Completing relevant records and documentation</w:t>
            </w:r>
          </w:p>
        </w:tc>
      </w:tr>
      <w:tr w:rsidTr="00776F1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H</w:t>
            </w:r>
          </w:p>
        </w:tc>
        <w:tc>
          <w:tcPr>
            <w:tcW w:w="504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Dealing with unplanned events by drawing on essential knowledge and skills to provide appropriate solutions incorporated in a holistic assessment with the above listed items</w:t>
            </w:r>
          </w:p>
        </w:tc>
      </w:tr>
      <w:tr w:rsidTr="00776F17">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1433E0" w:rsidP="001433E0">
            <w:pPr>
              <w:pStyle w:val="BodyText"/>
            </w:pPr>
            <w:r w:rsidRPr="001433E0">
              <w:t>Note:</w:t>
            </w:r>
          </w:p>
          <w:p w:rsidR="00000000" w:rsidP="001433E0">
            <w:pPr>
              <w:pStyle w:val="BodyText"/>
              <w:rPr>
                <w:lang w:val="en-NZ"/>
              </w:rPr>
            </w:pPr>
            <w:r w:rsidRPr="001433E0">
              <w:t>Successful completion of relevant vendor training may be used to contribute</w:t>
            </w:r>
            <w:r w:rsidRPr="001433E0">
              <w:t xml:space="preserve"> to evidence on which competency is deemed. In these cases the alignment of outcomes of vendor training with performance criteria and critical aspects of evidence shall be clearly identified</w:t>
            </w:r>
          </w:p>
        </w:tc>
      </w:tr>
      <w:tr w:rsidTr="00776F1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433E0" w:rsidP="001433E0">
            <w:pPr>
              <w:pStyle w:val="BodyText"/>
            </w:pPr>
            <w:r w:rsidRPr="001433E0">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1433E0" w:rsidP="001433E0">
            <w:pPr>
              <w:pStyle w:val="BodyText"/>
            </w:pPr>
            <w:r w:rsidRPr="001433E0">
              <w:rPr>
                <w:rStyle w:val="SpecialBold"/>
              </w:rPr>
              <w:t>9</w:t>
            </w:r>
            <w:r w:rsidRPr="001433E0">
              <w:t>.</w:t>
            </w:r>
            <w:r w:rsidRPr="001433E0">
              <w:rPr>
                <w:rStyle w:val="SpecialBold"/>
              </w:rPr>
              <w:t>3</w:t>
            </w:r>
            <w:r w:rsidRPr="001433E0">
              <w:t xml:space="preserve">) </w:t>
            </w:r>
          </w:p>
          <w:p w:rsidR="00000000" w:rsidRPr="001433E0" w:rsidP="001433E0">
            <w:pPr>
              <w:pStyle w:val="BodyText"/>
            </w:pPr>
            <w:r w:rsidRPr="001433E0">
              <w:t>This unit should be assessed as it relates to normal work practice using procedures, information and resources typical of a workplace. This should include:</w:t>
            </w:r>
          </w:p>
          <w:p w:rsidR="00000000" w:rsidRPr="001433E0" w:rsidP="001433E0">
            <w:pPr>
              <w:pStyle w:val="ListBullet"/>
            </w:pPr>
            <w:r w:rsidRPr="001433E0">
              <w:t>OHS policy and work procedures and instructions.</w:t>
            </w:r>
          </w:p>
          <w:p w:rsidR="00000000" w:rsidRPr="001433E0" w:rsidP="001433E0">
            <w:pPr>
              <w:pStyle w:val="ListBullet"/>
            </w:pPr>
            <w:r w:rsidRPr="001433E0">
              <w:t>Suitable work environment, facilities, equipment a</w:t>
            </w:r>
            <w:r w:rsidRPr="001433E0">
              <w:t>nd materials to undertake actual work as prescribed by this unit.</w:t>
            </w:r>
          </w:p>
          <w:p w:rsidR="00000000" w:rsidRPr="001433E0" w:rsidP="001433E0">
            <w:pPr>
              <w:pStyle w:val="BodyText"/>
            </w:pPr>
            <w:r w:rsidRPr="001433E0">
              <w:t>These should be part of the formal learning/assessment environment.</w:t>
            </w:r>
          </w:p>
          <w:p w:rsidR="00000000" w:rsidRPr="001433E0" w:rsidP="001433E0">
            <w:pPr>
              <w:pStyle w:val="BodyText"/>
            </w:pPr>
            <w:r w:rsidRPr="001433E0">
              <w:t>Note:</w:t>
            </w:r>
          </w:p>
          <w:p w:rsidR="00000000" w:rsidP="001433E0">
            <w:pPr>
              <w:pStyle w:val="BodyText"/>
              <w:rPr>
                <w:lang w:val="en-NZ"/>
              </w:rPr>
            </w:pPr>
            <w:r w:rsidRPr="001433E0">
              <w:t>Where simulation is considered a suitable strategy for assessment, conditions must be authentic and as far as possib</w:t>
            </w:r>
            <w:r w:rsidRPr="001433E0">
              <w:t>le reproduce and replicate the workplace and be consistent with the approved industry simulation policy.</w:t>
            </w:r>
          </w:p>
        </w:tc>
      </w:tr>
      <w:tr w:rsidTr="00776F1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The resources used for assessment should reflect current industry practices in relation to performing signalling cable repair and system tests.</w:t>
            </w:r>
          </w:p>
        </w:tc>
      </w:tr>
      <w:tr w:rsidTr="00776F1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433E0" w:rsidP="001433E0">
            <w:pPr>
              <w:pStyle w:val="BodyText"/>
            </w:pPr>
            <w:r w:rsidRPr="001433E0">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1433E0" w:rsidP="001433E0">
            <w:pPr>
              <w:pStyle w:val="BodyText"/>
            </w:pPr>
            <w:r w:rsidRPr="001433E0">
              <w:rPr>
                <w:rStyle w:val="SpecialBold"/>
              </w:rPr>
              <w:t>9</w:t>
            </w:r>
            <w:r w:rsidRPr="001433E0">
              <w:t>.</w:t>
            </w:r>
            <w:r w:rsidRPr="001433E0">
              <w:rPr>
                <w:rStyle w:val="SpecialBold"/>
              </w:rPr>
              <w:t>4</w:t>
            </w:r>
            <w:r w:rsidRPr="001433E0">
              <w:t xml:space="preserve">) </w:t>
            </w:r>
          </w:p>
          <w:p w:rsidR="00000000" w:rsidRPr="001433E0" w:rsidP="001433E0">
            <w:pPr>
              <w:pStyle w:val="BodyText"/>
            </w:pPr>
            <w:r w:rsidRPr="001433E0">
              <w:t>This unit shall be assessed by methods given in Volume 1, Part 3 'Assessment Guidelines'.</w:t>
            </w:r>
          </w:p>
          <w:p w:rsidR="00000000" w:rsidP="001433E0">
            <w:pPr>
              <w:pStyle w:val="BodyText"/>
              <w:rPr>
                <w:lang w:val="en-NZ"/>
              </w:rPr>
            </w:pPr>
            <w:r w:rsidRPr="001433E0">
              <w:t>Note:</w:t>
            </w:r>
            <w:r w:rsidRPr="001433E0">
              <w:br/>
              <w:t>Competent performance with inherent safe working practices is expected in the Industry to which this unit applies. This requires asse</w:t>
            </w:r>
            <w:r w:rsidRPr="001433E0">
              <w:t>ssment in a structured environment which is intended primarily for learning/assessment and incorporates all necessary equipment and facilities for learners to develop and demonstrate the essential knowledge and skills described in this unit.</w:t>
            </w:r>
          </w:p>
        </w:tc>
      </w:tr>
      <w:tr w:rsidTr="00776F1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433E0" w:rsidP="001433E0">
            <w:pPr>
              <w:pStyle w:val="BodyText"/>
            </w:pPr>
            <w:r w:rsidRPr="001433E0">
              <w:rPr>
                <w:rStyle w:val="SpecialBold"/>
              </w:rPr>
              <w:t xml:space="preserve">Concurrent </w:t>
            </w:r>
            <w:r w:rsidRPr="001433E0">
              <w:rPr>
                <w:rStyle w:val="SpecialBold"/>
              </w:rPr>
              <w:t>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rPr>
                <w:rStyle w:val="SpecialBold"/>
              </w:rPr>
              <w:t>9</w:t>
            </w:r>
            <w:r w:rsidRPr="001433E0">
              <w:t>.</w:t>
            </w:r>
            <w:r w:rsidRPr="001433E0">
              <w:rPr>
                <w:rStyle w:val="SpecialBold"/>
              </w:rPr>
              <w:t>5</w:t>
            </w:r>
            <w:r w:rsidRPr="001433E0">
              <w:t>)</w:t>
            </w:r>
          </w:p>
        </w:tc>
      </w:tr>
      <w:tr w:rsidTr="00776F1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Assessment in UEENEEN018B Find and repair cable system faults should occur concurrently to ensure the candidate can locate cable faults and test through circuits following the cable repair.</w:t>
            </w:r>
          </w:p>
        </w:tc>
      </w:tr>
      <w:tr w:rsidTr="00776F1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1433E0" w:rsidP="001433E0">
            <w:pPr>
              <w:pStyle w:val="BodyText"/>
            </w:pPr>
            <w:r w:rsidRPr="001433E0">
              <w:t>The critical aspects of occupational health and safety covered in unit UEENEEE001B and other discipline specific occupational health and safety units shall be incorporated in relation to this unit.</w:t>
            </w:r>
          </w:p>
        </w:tc>
      </w:tr>
    </w:tbl>
    <w:p w:rsidR="00776F17" w:rsidP="001433E0">
      <w:pPr>
        <w:pStyle w:val="BodyText"/>
      </w:pPr>
    </w:p>
    <w:p w:rsidR="00776F17" w:rsidP="001433E0">
      <w:pPr>
        <w:pStyle w:val="BodyText"/>
      </w:pPr>
    </w:p>
    <w:p w:rsidR="00000000" w:rsidRPr="001433E0" w:rsidP="001433E0">
      <w:pPr>
        <w:pStyle w:val="Heading1"/>
      </w:pPr>
      <w:bookmarkStart w:id="11" w:name="O_255730"/>
      <w:bookmarkEnd w:id="11"/>
      <w:r w:rsidRPr="001433E0">
        <w:t>Range Statement</w:t>
      </w:r>
    </w:p>
    <w:tbl>
      <w:tblPr>
        <w:tblW w:w="0" w:type="auto"/>
        <w:tblLayout w:type="fixed"/>
        <w:tblCellMar>
          <w:left w:w="62" w:type="dxa"/>
          <w:right w:w="62" w:type="dxa"/>
        </w:tblCellMar>
        <w:tblLook w:val="0000"/>
      </w:tblPr>
      <w:tblGrid>
        <w:gridCol w:w="8460"/>
      </w:tblGrid>
      <w:tr w:rsidTr="00776F1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rPr>
                <w:rStyle w:val="SpecialBold"/>
              </w:rPr>
              <w:t>RANGE STATEMENT</w:t>
            </w:r>
          </w:p>
        </w:tc>
      </w:tr>
      <w:tr w:rsidTr="00776F1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rPr>
                <w:rStyle w:val="SpecialBold"/>
              </w:rPr>
              <w:t>8</w:t>
            </w:r>
            <w:r w:rsidRPr="001433E0">
              <w:t>) This relates to the unit as a whole providing the range of contexts and conditions to which the performance criteria apply. It allows for different work environments and situations that will affect performance.</w:t>
            </w:r>
          </w:p>
        </w:tc>
      </w:tr>
      <w:tr w:rsidTr="00776F1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433E0" w:rsidP="001433E0">
            <w:pPr>
              <w:pStyle w:val="BodyText"/>
            </w:pPr>
            <w:r w:rsidRPr="001433E0">
              <w:t>This unit must be demonstrated in relation to:</w:t>
            </w:r>
          </w:p>
          <w:p w:rsidR="00000000" w:rsidRPr="001433E0" w:rsidP="001433E0">
            <w:pPr>
              <w:pStyle w:val="ListBullet2"/>
            </w:pPr>
            <w:r w:rsidRPr="001433E0">
              <w:t>the relevant State/Territory codes of practice and safe working requirements,</w:t>
            </w:r>
          </w:p>
          <w:p w:rsidR="00000000" w:rsidRPr="001433E0" w:rsidP="001433E0">
            <w:pPr>
              <w:pStyle w:val="ListBullet2"/>
            </w:pPr>
            <w:r w:rsidRPr="001433E0">
              <w:t>Repairing at least one signalling power cable relevant to a particular rail network.</w:t>
            </w:r>
          </w:p>
          <w:p w:rsidR="00000000" w:rsidRPr="001433E0" w:rsidP="001433E0">
            <w:pPr>
              <w:pStyle w:val="ListBullet2"/>
            </w:pPr>
            <w:r w:rsidRPr="001433E0">
              <w:t>Repairing at least one signalling multicore c</w:t>
            </w:r>
            <w:r w:rsidRPr="001433E0">
              <w:t>ontrol cable, up to 50 cores, relevant to a particular rail network</w:t>
            </w:r>
          </w:p>
          <w:p w:rsidR="00000000" w:rsidP="001433E0">
            <w:pPr>
              <w:pStyle w:val="ListBullet2"/>
              <w:rPr>
                <w:lang w:val="en-NZ"/>
              </w:rPr>
            </w:pPr>
            <w:r w:rsidRPr="001433E0">
              <w:t>Repairing signalling cables using at least one approved jointing kit</w:t>
            </w:r>
          </w:p>
        </w:tc>
      </w:tr>
      <w:tr w:rsidTr="00776F1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433E0" w:rsidP="001433E0">
            <w:pPr>
              <w:pStyle w:val="BodyText"/>
            </w:pPr>
            <w:r w:rsidRPr="001433E0">
              <w:t>Generic terms used throughout this Vocational Standard shall be regarded as part of the Range Statement in which compe</w:t>
            </w:r>
            <w:r w:rsidRPr="001433E0">
              <w:t>tency is demonstrated. The definition of these and other terms that apply are given in Volume 2, Part 2.1.</w:t>
            </w:r>
          </w:p>
        </w:tc>
      </w:tr>
    </w:tbl>
    <w:p w:rsidR="00776F17" w:rsidP="001433E0">
      <w:pPr>
        <w:pStyle w:val="BodyText"/>
      </w:pPr>
    </w:p>
    <w:p w:rsidR="00776F17" w:rsidP="001433E0">
      <w:pPr>
        <w:pStyle w:val="BodyText"/>
      </w:pPr>
    </w:p>
    <w:p w:rsidR="00000000" w:rsidRPr="001433E0" w:rsidP="001433E0">
      <w:pPr>
        <w:pStyle w:val="Heading1"/>
      </w:pPr>
      <w:bookmarkStart w:id="12" w:name="O_296743"/>
      <w:bookmarkEnd w:id="12"/>
      <w:r w:rsidRPr="001433E0">
        <w:t>Unit Sector(s)</w:t>
      </w:r>
    </w:p>
    <w:p w:rsidR="00000000" w:rsidRPr="001433E0" w:rsidP="001433E0">
      <w:pPr>
        <w:pStyle w:val="BodyText"/>
      </w:pPr>
      <w:r w:rsidRPr="001433E0">
        <w:t>Not Applicable</w:t>
      </w:r>
    </w:p>
    <w:p w:rsidR="00000000" w:rsidRPr="001433E0" w:rsidP="001433E0">
      <w:pPr>
        <w:pStyle w:val="AllowPageBreak"/>
      </w:pPr>
    </w:p>
    <w:p w:rsidR="00000000" w:rsidRPr="001433E0" w:rsidP="001433E0">
      <w:pPr>
        <w:pStyle w:val="Heading1"/>
      </w:pPr>
      <w:bookmarkStart w:id="13" w:name="O_229099"/>
      <w:bookmarkEnd w:id="13"/>
      <w:r w:rsidRPr="001433E0">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776F17">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1433E0" w:rsidP="001433E0">
            <w:pPr>
              <w:pStyle w:val="BodyText"/>
            </w:pPr>
            <w:r w:rsidRPr="001433E0">
              <w:rPr>
                <w:rStyle w:val="SpecialBold"/>
              </w:rPr>
              <w:t>2</w:t>
            </w:r>
            <w:r w:rsidRPr="001433E0">
              <w:t>.</w:t>
            </w:r>
            <w:r w:rsidRPr="001433E0">
              <w:rPr>
                <w:rStyle w:val="SpecialBold"/>
              </w:rPr>
              <w:t>2</w:t>
            </w:r>
            <w:r w:rsidRPr="001433E0">
              <w:t xml:space="preserve">) </w:t>
            </w:r>
            <w:r w:rsidRPr="001433E0">
              <w:rPr>
                <w:rStyle w:val="SpecialBold"/>
              </w:rPr>
              <w:t>Literacy and numeracy skills</w:t>
            </w:r>
          </w:p>
          <w:p w:rsidR="00000000" w:rsidP="001433E0">
            <w:pPr>
              <w:pStyle w:val="BodyText"/>
              <w:rPr>
                <w:lang w:val="en-NZ"/>
              </w:rPr>
            </w:pPr>
            <w:r w:rsidRPr="001433E0">
              <w:t>Participants are best equipped to achieve competency in this unit if they have reading, writing and numeracy skills indicated by the following scales. Description of each scale is given in Volume 2, Part 3 'Literacy and Numeracy'</w:t>
            </w:r>
          </w:p>
        </w:tc>
      </w:tr>
      <w:tr w:rsidTr="00776F17">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Reading</w:t>
            </w:r>
          </w:p>
        </w:tc>
        <w:tc>
          <w:tcPr>
            <w:tcW w:w="1182"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4</w:t>
            </w:r>
          </w:p>
        </w:tc>
        <w:tc>
          <w:tcPr>
            <w:tcW w:w="1739"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Writing</w:t>
            </w:r>
          </w:p>
        </w:tc>
        <w:tc>
          <w:tcPr>
            <w:tcW w:w="1182"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4</w:t>
            </w:r>
          </w:p>
        </w:tc>
        <w:tc>
          <w:tcPr>
            <w:tcW w:w="1721"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t>Numeracy</w:t>
            </w:r>
          </w:p>
        </w:tc>
        <w:tc>
          <w:tcPr>
            <w:tcW w:w="1182" w:type="dxa"/>
            <w:tcBorders>
              <w:top w:val="nil"/>
              <w:left w:val="nil"/>
              <w:bottom w:val="nil"/>
              <w:right w:val="nil"/>
            </w:tcBorders>
            <w:tcMar>
              <w:top w:w="0" w:type="dxa"/>
              <w:left w:w="62" w:type="dxa"/>
              <w:bottom w:w="0" w:type="dxa"/>
              <w:right w:w="62" w:type="dxa"/>
            </w:tcMar>
          </w:tcPr>
          <w:p w:rsidR="00000000" w:rsidRPr="001433E0" w:rsidP="001433E0">
            <w:pPr>
              <w:pStyle w:val="BodyText"/>
            </w:pPr>
            <w:r w:rsidRPr="001433E0">
              <w:t>4</w:t>
            </w:r>
          </w:p>
        </w:tc>
      </w:tr>
    </w:tbl>
    <w:p w:rsidR="00776F17" w:rsidP="001433E0">
      <w:pPr>
        <w:pStyle w:val="BodyText"/>
      </w:pPr>
    </w:p>
    <w:p w:rsidR="00776F17" w:rsidP="001433E0">
      <w:pPr>
        <w:pStyle w:val="BodyText"/>
      </w:pPr>
    </w:p>
    <w:p w:rsidR="00000000" w:rsidRPr="001433E0" w:rsidP="001433E0">
      <w:pPr>
        <w:pStyle w:val="Heading1"/>
      </w:pPr>
      <w:bookmarkStart w:id="14" w:name="O_229102"/>
      <w:bookmarkEnd w:id="14"/>
      <w:r w:rsidRPr="001433E0">
        <w:t>Custom Content Section</w:t>
      </w:r>
    </w:p>
    <w:tbl>
      <w:tblPr>
        <w:tblW w:w="0" w:type="auto"/>
        <w:tblLayout w:type="fixed"/>
        <w:tblCellMar>
          <w:left w:w="62" w:type="dxa"/>
          <w:right w:w="62" w:type="dxa"/>
        </w:tblCellMar>
        <w:tblLook w:val="0000"/>
      </w:tblPr>
      <w:tblGrid>
        <w:gridCol w:w="2700"/>
        <w:gridCol w:w="5760"/>
      </w:tblGrid>
      <w:tr w:rsidTr="00776F1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433E0" w:rsidP="001433E0">
            <w:pPr>
              <w:pStyle w:val="BodyText"/>
            </w:pPr>
            <w:r w:rsidRPr="001433E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433E0">
            <w:pPr>
              <w:pStyle w:val="BodyText"/>
              <w:rPr>
                <w:lang w:val="en-NZ"/>
              </w:rPr>
            </w:pPr>
            <w:r w:rsidRPr="001433E0">
              <w:rPr>
                <w:rStyle w:val="SpecialBold"/>
              </w:rPr>
              <w:t>5</w:t>
            </w:r>
            <w:r w:rsidRPr="001433E0">
              <w:t>)</w:t>
            </w:r>
          </w:p>
        </w:tc>
      </w:tr>
      <w:tr w:rsidTr="00776F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433E0" w:rsidP="001433E0">
            <w:pPr>
              <w:pStyle w:val="BodyText"/>
            </w:pPr>
            <w:r w:rsidRPr="001433E0">
              <w:t>Rail Signalling</w:t>
            </w:r>
          </w:p>
        </w:tc>
      </w:tr>
    </w:tbl>
    <w:p w:rsidR="00776F17" w:rsidP="001433E0">
      <w:pPr>
        <w:pStyle w:val="BodyText"/>
      </w:pPr>
    </w:p>
    <w:p w:rsidR="00776F17" w:rsidP="001433E0">
      <w:pPr>
        <w:pStyle w:val="BodyText"/>
      </w:pPr>
    </w:p>
    <w:p w:rsidR="00000000" w:rsidRPr="001433E0" w:rsidP="001433E0"/>
    <w:sectPr w:rsidSect="001433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3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6F17" w:rsidP="00776F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3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F17" w:rsidP="001433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76F17" w:rsidP="001433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76F17" w:rsidP="001433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3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6F17" w:rsidP="00776F1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3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F17" w:rsidP="001433E0">
    <w:pPr>
      <w:pStyle w:val="Header"/>
      <w:framePr w:wrap="around"/>
    </w:pPr>
    <w:r>
      <w:fldChar w:fldCharType="begin"/>
    </w:r>
    <w:r>
      <w:instrText xml:space="preserve"> TITLE   \* MERGEFORMAT </w:instrText>
    </w:r>
    <w:r>
      <w:fldChar w:fldCharType="separate"/>
    </w:r>
    <w:r>
      <w:t>UEENEEN021A Repair rail signalling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76F17" w:rsidP="001433E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CC49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9A84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5C8D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33E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433E0"/>
    <w:pPr>
      <w:spacing w:before="360" w:after="60"/>
      <w:outlineLvl w:val="0"/>
    </w:pPr>
    <w:rPr>
      <w:sz w:val="32"/>
    </w:rPr>
  </w:style>
  <w:style w:type="paragraph" w:styleId="Heading2">
    <w:name w:val="heading 2"/>
    <w:basedOn w:val="HeadingBase"/>
    <w:next w:val="BodyText"/>
    <w:link w:val="Heading2Char"/>
    <w:qFormat/>
    <w:rsid w:val="001433E0"/>
    <w:pPr>
      <w:keepLines/>
      <w:spacing w:before="240" w:after="120"/>
      <w:outlineLvl w:val="1"/>
    </w:pPr>
    <w:rPr>
      <w:sz w:val="28"/>
      <w:szCs w:val="40"/>
    </w:rPr>
  </w:style>
  <w:style w:type="paragraph" w:styleId="Heading3">
    <w:name w:val="heading 3"/>
    <w:basedOn w:val="HeadingBase"/>
    <w:next w:val="BodyText"/>
    <w:link w:val="Heading3Char"/>
    <w:qFormat/>
    <w:rsid w:val="001433E0"/>
    <w:pPr>
      <w:spacing w:before="180" w:after="120"/>
      <w:outlineLvl w:val="2"/>
    </w:pPr>
    <w:rPr>
      <w:spacing w:val="-10"/>
      <w:kern w:val="32"/>
    </w:rPr>
  </w:style>
  <w:style w:type="paragraph" w:styleId="Heading4">
    <w:name w:val="heading 4"/>
    <w:basedOn w:val="HeadingBase"/>
    <w:next w:val="BodyText"/>
    <w:link w:val="Heading4Char"/>
    <w:qFormat/>
    <w:rsid w:val="001433E0"/>
    <w:pPr>
      <w:spacing w:before="160" w:after="120"/>
      <w:outlineLvl w:val="3"/>
    </w:pPr>
    <w:rPr>
      <w:sz w:val="22"/>
    </w:rPr>
  </w:style>
  <w:style w:type="paragraph" w:styleId="Heading5">
    <w:name w:val="heading 5"/>
    <w:basedOn w:val="HeadingBase"/>
    <w:next w:val="Normal"/>
    <w:link w:val="Heading5Char"/>
    <w:qFormat/>
    <w:rsid w:val="001433E0"/>
    <w:pPr>
      <w:spacing w:before="80"/>
      <w:outlineLvl w:val="4"/>
    </w:pPr>
    <w:rPr>
      <w:color w:val="918585"/>
      <w:sz w:val="20"/>
    </w:rPr>
  </w:style>
  <w:style w:type="paragraph" w:styleId="Heading6">
    <w:name w:val="heading 6"/>
    <w:basedOn w:val="HeadingBase"/>
    <w:next w:val="Normal"/>
    <w:link w:val="Heading6Char"/>
    <w:qFormat/>
    <w:rsid w:val="001433E0"/>
    <w:pPr>
      <w:spacing w:before="60"/>
      <w:outlineLvl w:val="5"/>
    </w:pPr>
    <w:rPr>
      <w:color w:val="918585"/>
      <w:sz w:val="20"/>
    </w:rPr>
  </w:style>
  <w:style w:type="paragraph" w:styleId="Heading7">
    <w:name w:val="heading 7"/>
    <w:basedOn w:val="Normal"/>
    <w:next w:val="Normal"/>
    <w:link w:val="Heading7Char"/>
    <w:qFormat/>
    <w:rsid w:val="001433E0"/>
    <w:pPr>
      <w:ind w:left="720"/>
      <w:outlineLvl w:val="6"/>
    </w:pPr>
    <w:rPr>
      <w:i/>
    </w:rPr>
  </w:style>
  <w:style w:type="paragraph" w:styleId="Heading8">
    <w:name w:val="heading 8"/>
    <w:basedOn w:val="Normal"/>
    <w:next w:val="Normal"/>
    <w:link w:val="Heading8Char"/>
    <w:qFormat/>
    <w:rsid w:val="001433E0"/>
    <w:pPr>
      <w:ind w:left="720"/>
      <w:outlineLvl w:val="7"/>
    </w:pPr>
    <w:rPr>
      <w:i/>
    </w:rPr>
  </w:style>
  <w:style w:type="paragraph" w:styleId="Heading9">
    <w:name w:val="heading 9"/>
    <w:basedOn w:val="Normal"/>
    <w:next w:val="Normal"/>
    <w:link w:val="Heading9Char"/>
    <w:qFormat/>
    <w:rsid w:val="001433E0"/>
    <w:pPr>
      <w:ind w:left="720"/>
      <w:outlineLvl w:val="8"/>
    </w:pPr>
    <w:rPr>
      <w:i/>
    </w:rPr>
  </w:style>
  <w:style w:type="character" w:default="1" w:styleId="DefaultParagraphFont">
    <w:name w:val="Default Paragraph Font"/>
    <w:uiPriority w:val="1"/>
    <w:unhideWhenUsed/>
    <w:rsid w:val="001433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33E0"/>
  </w:style>
  <w:style w:type="character" w:customStyle="1" w:styleId="Heading1Char">
    <w:name w:val="Heading 1 Char"/>
    <w:basedOn w:val="DefaultParagraphFont"/>
    <w:link w:val="Heading1"/>
    <w:rsid w:val="001433E0"/>
    <w:rPr>
      <w:rFonts w:ascii="Times New Roman" w:eastAsia="Times New Roman" w:hAnsi="Times New Roman" w:cs="Times New Roman"/>
      <w:b/>
      <w:sz w:val="32"/>
      <w:szCs w:val="20"/>
      <w:lang w:eastAsia="en-US"/>
    </w:rPr>
  </w:style>
  <w:style w:type="paragraph" w:styleId="BodyText">
    <w:name w:val="Body Text"/>
    <w:basedOn w:val="Normal"/>
    <w:link w:val="BodyTextChar"/>
    <w:rsid w:val="001433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33E0"/>
    <w:rPr>
      <w:rFonts w:ascii="Times New Roman" w:eastAsia="Times New Roman" w:hAnsi="Times New Roman" w:cs="Times New Roman"/>
      <w:sz w:val="24"/>
      <w:lang w:val="en-US" w:eastAsia="en-US"/>
    </w:rPr>
  </w:style>
  <w:style w:type="paragraph" w:styleId="Footer">
    <w:name w:val="footer"/>
    <w:basedOn w:val="Normal"/>
    <w:link w:val="FooterChar"/>
    <w:rsid w:val="001433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33E0"/>
    <w:rPr>
      <w:rFonts w:ascii="Times New Roman" w:eastAsia="Times New Roman" w:hAnsi="Times New Roman" w:cs="Times New Roman"/>
      <w:sz w:val="16"/>
      <w:lang w:val="en-US" w:eastAsia="en-US"/>
    </w:rPr>
  </w:style>
  <w:style w:type="paragraph" w:styleId="ListBullet">
    <w:name w:val="List Bullet"/>
    <w:basedOn w:val="List"/>
    <w:rsid w:val="001433E0"/>
    <w:pPr>
      <w:numPr>
        <w:numId w:val="13"/>
      </w:numPr>
      <w:tabs>
        <w:tab w:val="clear" w:pos="340"/>
      </w:tabs>
      <w:spacing w:before="40" w:after="40"/>
    </w:pPr>
  </w:style>
  <w:style w:type="character" w:customStyle="1" w:styleId="SpecialBold">
    <w:name w:val="Special Bold"/>
    <w:basedOn w:val="DefaultParagraphFont"/>
    <w:rsid w:val="001433E0"/>
    <w:rPr>
      <w:b/>
      <w:spacing w:val="0"/>
    </w:rPr>
  </w:style>
  <w:style w:type="paragraph" w:styleId="ListBullet2">
    <w:name w:val="List Bullet 2"/>
    <w:basedOn w:val="List2"/>
    <w:rsid w:val="001433E0"/>
    <w:pPr>
      <w:numPr>
        <w:numId w:val="14"/>
      </w:numPr>
      <w:tabs>
        <w:tab w:val="clear" w:pos="680"/>
      </w:tabs>
    </w:pPr>
  </w:style>
  <w:style w:type="paragraph" w:styleId="Header">
    <w:name w:val="header"/>
    <w:basedOn w:val="Normal"/>
    <w:link w:val="HeaderChar"/>
    <w:rsid w:val="001433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33E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433E0"/>
    <w:pPr>
      <w:spacing w:before="240" w:after="120"/>
      <w:outlineLvl w:val="0"/>
    </w:pPr>
    <w:rPr>
      <w:rFonts w:ascii="Times New Roman" w:hAnsi="Times New Roman"/>
      <w:b/>
      <w:sz w:val="28"/>
    </w:rPr>
  </w:style>
  <w:style w:type="paragraph" w:customStyle="1" w:styleId="AllowPageBreak">
    <w:name w:val="AllowPageBreak"/>
    <w:rsid w:val="001433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33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33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33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33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33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33E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433E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433E0"/>
    <w:rPr>
      <w:rFonts w:ascii="Courier New" w:eastAsia="Times New Roman" w:hAnsi="Courier New" w:cs="Times New Roman"/>
      <w:i/>
      <w:szCs w:val="20"/>
      <w:lang w:val="en-US" w:eastAsia="en-US"/>
    </w:rPr>
  </w:style>
  <w:style w:type="paragraph" w:customStyle="1" w:styleId="HeadingBase">
    <w:name w:val="Heading Base"/>
    <w:rsid w:val="001433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33E0"/>
    <w:pPr>
      <w:tabs>
        <w:tab w:val="right" w:leader="dot" w:pos="9072"/>
      </w:tabs>
      <w:ind w:left="567"/>
    </w:pPr>
    <w:rPr>
      <w:szCs w:val="22"/>
    </w:rPr>
  </w:style>
  <w:style w:type="paragraph" w:customStyle="1" w:styleId="TOCBase">
    <w:name w:val="TOC Base"/>
    <w:rsid w:val="001433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33E0"/>
    <w:pPr>
      <w:tabs>
        <w:tab w:val="right" w:leader="dot" w:pos="9072"/>
      </w:tabs>
      <w:spacing w:before="40" w:after="40"/>
      <w:ind w:left="284"/>
    </w:pPr>
    <w:rPr>
      <w:rFonts w:ascii="Times New Roman" w:hAnsi="Times New Roman"/>
    </w:rPr>
  </w:style>
  <w:style w:type="paragraph" w:styleId="TOC1">
    <w:name w:val="toc 1"/>
    <w:basedOn w:val="TOCBase"/>
    <w:next w:val="Normal"/>
    <w:rsid w:val="001433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33E0"/>
    <w:pPr>
      <w:spacing w:before="5040"/>
      <w:jc w:val="center"/>
    </w:pPr>
    <w:rPr>
      <w:sz w:val="48"/>
      <w:szCs w:val="72"/>
      <w:lang w:val="en-US"/>
    </w:rPr>
  </w:style>
  <w:style w:type="character" w:customStyle="1" w:styleId="TitleChar">
    <w:name w:val="Title Char"/>
    <w:basedOn w:val="DefaultParagraphFont"/>
    <w:link w:val="Title"/>
    <w:rsid w:val="001433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33E0"/>
    <w:pPr>
      <w:tabs>
        <w:tab w:val="left" w:pos="3600"/>
        <w:tab w:val="left" w:pos="3958"/>
      </w:tabs>
    </w:pPr>
  </w:style>
  <w:style w:type="paragraph" w:styleId="List">
    <w:name w:val="List"/>
    <w:basedOn w:val="BodyText"/>
    <w:next w:val="BodyText"/>
    <w:rsid w:val="001433E0"/>
    <w:pPr>
      <w:tabs>
        <w:tab w:val="left" w:pos="340"/>
      </w:tabs>
      <w:spacing w:before="60" w:after="60"/>
      <w:ind w:left="340" w:hanging="340"/>
    </w:pPr>
  </w:style>
  <w:style w:type="paragraph" w:customStyle="1" w:styleId="Note">
    <w:name w:val="Note"/>
    <w:basedOn w:val="BodyText"/>
    <w:rsid w:val="001433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33E0"/>
    <w:pPr>
      <w:framePr w:wrap="auto" w:hAnchor="text" w:y="6049"/>
    </w:pPr>
    <w:rPr>
      <w:color w:val="000000"/>
      <w:sz w:val="40"/>
    </w:rPr>
  </w:style>
  <w:style w:type="paragraph" w:customStyle="1" w:styleId="TOCTitle">
    <w:name w:val="TOCTitle"/>
    <w:basedOn w:val="Heading1"/>
    <w:rsid w:val="001433E0"/>
    <w:pPr>
      <w:spacing w:after="240"/>
      <w:jc w:val="center"/>
      <w:outlineLvl w:val="9"/>
    </w:pPr>
    <w:rPr>
      <w:caps/>
    </w:rPr>
  </w:style>
  <w:style w:type="paragraph" w:customStyle="1" w:styleId="Version">
    <w:name w:val="Version"/>
    <w:rsid w:val="001433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33E0"/>
    <w:pPr>
      <w:keepNext w:val="0"/>
      <w:tabs>
        <w:tab w:val="right" w:pos="4176"/>
      </w:tabs>
      <w:ind w:left="198" w:hanging="198"/>
    </w:pPr>
    <w:rPr>
      <w:rFonts w:ascii="Garamond" w:hAnsi="Garamond"/>
    </w:rPr>
  </w:style>
  <w:style w:type="paragraph" w:styleId="IndexHeading">
    <w:name w:val="index heading"/>
    <w:basedOn w:val="Normal"/>
    <w:next w:val="Index1"/>
    <w:semiHidden/>
    <w:rsid w:val="001433E0"/>
    <w:pPr>
      <w:spacing w:before="120" w:after="120"/>
    </w:pPr>
    <w:rPr>
      <w:rFonts w:ascii="Arial" w:hAnsi="Arial"/>
      <w:b/>
      <w:color w:val="918585"/>
      <w:sz w:val="24"/>
    </w:rPr>
  </w:style>
  <w:style w:type="paragraph" w:customStyle="1" w:styleId="Chapter">
    <w:name w:val="Chapter"/>
    <w:basedOn w:val="Normal"/>
    <w:rsid w:val="001433E0"/>
    <w:pPr>
      <w:spacing w:before="240"/>
    </w:pPr>
    <w:rPr>
      <w:rFonts w:ascii="Times New Roman" w:hAnsi="Times New Roman"/>
      <w:smallCaps/>
      <w:spacing w:val="80"/>
      <w:sz w:val="28"/>
    </w:rPr>
  </w:style>
  <w:style w:type="paragraph" w:customStyle="1" w:styleId="InChapter">
    <w:name w:val="InChapter"/>
    <w:basedOn w:val="Heading3"/>
    <w:rsid w:val="001433E0"/>
    <w:pPr>
      <w:spacing w:after="240"/>
      <w:outlineLvl w:val="9"/>
    </w:pPr>
    <w:rPr>
      <w:noProof/>
    </w:rPr>
  </w:style>
  <w:style w:type="paragraph" w:styleId="Index2">
    <w:name w:val="index 2"/>
    <w:basedOn w:val="Normal"/>
    <w:next w:val="Normal"/>
    <w:semiHidden/>
    <w:rsid w:val="001433E0"/>
    <w:pPr>
      <w:tabs>
        <w:tab w:val="right" w:pos="4176"/>
      </w:tabs>
      <w:ind w:left="568" w:hanging="284"/>
    </w:pPr>
    <w:rPr>
      <w:rFonts w:ascii="Garamond" w:hAnsi="Garamond"/>
    </w:rPr>
  </w:style>
  <w:style w:type="paragraph" w:customStyle="1" w:styleId="Byline">
    <w:name w:val="Byline"/>
    <w:rsid w:val="001433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33E0"/>
    <w:pPr>
      <w:tabs>
        <w:tab w:val="clear" w:pos="3600"/>
        <w:tab w:val="clear" w:pos="3958"/>
      </w:tabs>
      <w:jc w:val="right"/>
    </w:pPr>
  </w:style>
  <w:style w:type="character" w:styleId="Emphasis">
    <w:name w:val="Emphasis"/>
    <w:basedOn w:val="DefaultParagraphFont"/>
    <w:qFormat/>
    <w:rsid w:val="001433E0"/>
    <w:rPr>
      <w:i/>
    </w:rPr>
  </w:style>
  <w:style w:type="paragraph" w:styleId="Caption">
    <w:name w:val="caption"/>
    <w:basedOn w:val="BodyText"/>
    <w:next w:val="Normal"/>
    <w:qFormat/>
    <w:rsid w:val="001433E0"/>
    <w:pPr>
      <w:framePr w:w="2268" w:hSpace="181" w:vSpace="181" w:wrap="around" w:vAnchor="text" w:hAnchor="page" w:x="1135" w:y="285" w:anchorLock="1"/>
    </w:pPr>
    <w:rPr>
      <w:i/>
    </w:rPr>
  </w:style>
  <w:style w:type="paragraph" w:customStyle="1" w:styleId="MiniTOCTitle">
    <w:name w:val="MiniTOCTitle"/>
    <w:basedOn w:val="Heading4"/>
    <w:rsid w:val="001433E0"/>
    <w:pPr>
      <w:spacing w:before="240"/>
      <w:outlineLvl w:val="9"/>
    </w:pPr>
    <w:rPr>
      <w:noProof/>
      <w:sz w:val="24"/>
    </w:rPr>
  </w:style>
  <w:style w:type="paragraph" w:customStyle="1" w:styleId="MiniTOCItem">
    <w:name w:val="MiniTOCItem"/>
    <w:basedOn w:val="ListBullet"/>
    <w:rsid w:val="001433E0"/>
    <w:pPr>
      <w:numPr>
        <w:numId w:val="0"/>
      </w:numPr>
      <w:tabs>
        <w:tab w:val="right" w:leader="dot" w:pos="6521"/>
      </w:tabs>
      <w:spacing w:before="0" w:after="0"/>
    </w:pPr>
  </w:style>
  <w:style w:type="paragraph" w:customStyle="1" w:styleId="TOFTitle">
    <w:name w:val="TOFTitle"/>
    <w:basedOn w:val="TOCTitle"/>
    <w:rsid w:val="001433E0"/>
  </w:style>
  <w:style w:type="paragraph" w:styleId="TableofFigures">
    <w:name w:val="table of figures"/>
    <w:basedOn w:val="Normal"/>
    <w:next w:val="Normal"/>
    <w:semiHidden/>
    <w:rsid w:val="001433E0"/>
    <w:pPr>
      <w:tabs>
        <w:tab w:val="right" w:leader="dot" w:pos="9072"/>
      </w:tabs>
      <w:ind w:left="970" w:hanging="403"/>
    </w:pPr>
    <w:rPr>
      <w:rFonts w:ascii="Times New Roman" w:hAnsi="Times New Roman"/>
      <w:b/>
    </w:rPr>
  </w:style>
  <w:style w:type="paragraph" w:styleId="ListNumber">
    <w:name w:val="List Number"/>
    <w:basedOn w:val="List"/>
    <w:rsid w:val="001433E0"/>
    <w:pPr>
      <w:numPr>
        <w:numId w:val="11"/>
      </w:numPr>
    </w:pPr>
  </w:style>
  <w:style w:type="character" w:customStyle="1" w:styleId="WingdingSymbols">
    <w:name w:val="Wingding Symbols"/>
    <w:rsid w:val="001433E0"/>
    <w:rPr>
      <w:rFonts w:ascii="Wingdings" w:hAnsi="Wingdings"/>
    </w:rPr>
  </w:style>
  <w:style w:type="paragraph" w:customStyle="1" w:styleId="TableHeading">
    <w:name w:val="Table Heading"/>
    <w:basedOn w:val="HeadingBase"/>
    <w:rsid w:val="001433E0"/>
    <w:pPr>
      <w:keepLines/>
      <w:pBdr>
        <w:bottom w:val="single" w:sz="6" w:space="1" w:color="918585"/>
      </w:pBdr>
      <w:spacing w:before="240"/>
    </w:pPr>
  </w:style>
  <w:style w:type="character" w:customStyle="1" w:styleId="HotSpot">
    <w:name w:val="HotSpot"/>
    <w:rsid w:val="001433E0"/>
    <w:rPr>
      <w:color w:val="0033CC"/>
      <w:u w:val="none"/>
    </w:rPr>
  </w:style>
  <w:style w:type="paragraph" w:customStyle="1" w:styleId="BodyTextRight">
    <w:name w:val="Body Text Right"/>
    <w:basedOn w:val="BodyText"/>
    <w:rsid w:val="001433E0"/>
    <w:pPr>
      <w:spacing w:before="0" w:after="0"/>
      <w:jc w:val="right"/>
    </w:pPr>
  </w:style>
  <w:style w:type="paragraph" w:styleId="Index3">
    <w:name w:val="index 3"/>
    <w:basedOn w:val="ListNumber2"/>
    <w:next w:val="Normal"/>
    <w:semiHidden/>
    <w:rsid w:val="001433E0"/>
    <w:pPr>
      <w:numPr>
        <w:numId w:val="0"/>
      </w:numPr>
      <w:tabs>
        <w:tab w:val="right" w:leader="dot" w:pos="4176"/>
      </w:tabs>
    </w:pPr>
  </w:style>
  <w:style w:type="paragraph" w:styleId="ListNumber2">
    <w:name w:val="List Number 2"/>
    <w:basedOn w:val="List2"/>
    <w:rsid w:val="001433E0"/>
    <w:pPr>
      <w:numPr>
        <w:numId w:val="10"/>
      </w:numPr>
      <w:tabs>
        <w:tab w:val="clear" w:pos="1060"/>
      </w:tabs>
    </w:pPr>
  </w:style>
  <w:style w:type="paragraph" w:customStyle="1" w:styleId="MarginNote">
    <w:name w:val="Margin Note"/>
    <w:basedOn w:val="BodyText"/>
    <w:rsid w:val="001433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33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33E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433E0"/>
    <w:rPr>
      <w:sz w:val="32"/>
    </w:rPr>
  </w:style>
  <w:style w:type="paragraph" w:customStyle="1" w:styleId="HeadingProcedure">
    <w:name w:val="Heading Procedure"/>
    <w:basedOn w:val="HeadingBase"/>
    <w:next w:val="Normal"/>
    <w:rsid w:val="001433E0"/>
    <w:pPr>
      <w:tabs>
        <w:tab w:val="left" w:pos="0"/>
      </w:tabs>
      <w:spacing w:before="120" w:after="60"/>
    </w:pPr>
    <w:rPr>
      <w:i/>
      <w:color w:val="918585"/>
      <w:sz w:val="22"/>
    </w:rPr>
  </w:style>
  <w:style w:type="paragraph" w:customStyle="1" w:styleId="TableBodyText">
    <w:name w:val="Table Body Text"/>
    <w:basedOn w:val="BodyText"/>
    <w:rsid w:val="001433E0"/>
    <w:pPr>
      <w:spacing w:before="60" w:after="60"/>
    </w:pPr>
  </w:style>
  <w:style w:type="paragraph" w:styleId="ListContinue">
    <w:name w:val="List Continue"/>
    <w:basedOn w:val="List"/>
    <w:rsid w:val="001433E0"/>
    <w:pPr>
      <w:ind w:firstLine="0"/>
    </w:pPr>
  </w:style>
  <w:style w:type="paragraph" w:customStyle="1" w:styleId="ListNote">
    <w:name w:val="List Note"/>
    <w:basedOn w:val="List"/>
    <w:rsid w:val="001433E0"/>
    <w:pPr>
      <w:pBdr>
        <w:top w:val="single" w:sz="6" w:space="2" w:color="918585"/>
        <w:bottom w:val="single" w:sz="6" w:space="2" w:color="918585"/>
      </w:pBdr>
      <w:tabs>
        <w:tab w:val="left" w:pos="1021"/>
      </w:tabs>
      <w:ind w:firstLine="0"/>
    </w:pPr>
  </w:style>
  <w:style w:type="paragraph" w:customStyle="1" w:styleId="Warning">
    <w:name w:val="Warning"/>
    <w:basedOn w:val="BodyText"/>
    <w:rsid w:val="001433E0"/>
    <w:pPr>
      <w:shd w:val="clear" w:color="auto" w:fill="D9D9D9"/>
      <w:tabs>
        <w:tab w:val="left" w:pos="992"/>
      </w:tabs>
      <w:ind w:left="119" w:right="119"/>
    </w:pPr>
    <w:rPr>
      <w:sz w:val="20"/>
    </w:rPr>
  </w:style>
  <w:style w:type="paragraph" w:customStyle="1" w:styleId="MarginIcons">
    <w:name w:val="Margin Icons"/>
    <w:basedOn w:val="BodyText"/>
    <w:rsid w:val="001433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33E0"/>
    <w:rPr>
      <w:rFonts w:ascii="Courier New" w:hAnsi="Courier New"/>
    </w:rPr>
  </w:style>
  <w:style w:type="paragraph" w:customStyle="1" w:styleId="NoteBullet">
    <w:name w:val="Note Bullet"/>
    <w:basedOn w:val="Note"/>
    <w:rsid w:val="001433E0"/>
    <w:pPr>
      <w:tabs>
        <w:tab w:val="clear" w:pos="680"/>
      </w:tabs>
      <w:spacing w:before="60" w:after="60"/>
    </w:pPr>
  </w:style>
  <w:style w:type="paragraph" w:customStyle="1" w:styleId="SubHeading2">
    <w:name w:val="SubHeading2"/>
    <w:basedOn w:val="HeadingBase"/>
    <w:rsid w:val="001433E0"/>
    <w:pPr>
      <w:spacing w:before="240" w:after="60"/>
    </w:pPr>
    <w:rPr>
      <w:sz w:val="20"/>
    </w:rPr>
  </w:style>
  <w:style w:type="paragraph" w:customStyle="1" w:styleId="SubHeading1">
    <w:name w:val="SubHeading1"/>
    <w:basedOn w:val="HeadingBase"/>
    <w:rsid w:val="001433E0"/>
    <w:pPr>
      <w:spacing w:before="240" w:after="60"/>
    </w:pPr>
    <w:rPr>
      <w:color w:val="918585"/>
      <w:sz w:val="22"/>
    </w:rPr>
  </w:style>
  <w:style w:type="paragraph" w:customStyle="1" w:styleId="SideHeading">
    <w:name w:val="Side Heading"/>
    <w:basedOn w:val="HeadingBase"/>
    <w:rsid w:val="001433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33E0"/>
    <w:pPr>
      <w:numPr>
        <w:numId w:val="12"/>
      </w:numPr>
    </w:pPr>
  </w:style>
  <w:style w:type="paragraph" w:styleId="PlainText">
    <w:name w:val="Plain Text"/>
    <w:basedOn w:val="Normal"/>
    <w:link w:val="PlainTextChar"/>
    <w:rsid w:val="001433E0"/>
    <w:rPr>
      <w:sz w:val="20"/>
    </w:rPr>
  </w:style>
  <w:style w:type="character" w:customStyle="1" w:styleId="PlainTextChar">
    <w:name w:val="Plain Text Char"/>
    <w:basedOn w:val="DefaultParagraphFont"/>
    <w:link w:val="PlainText"/>
    <w:rsid w:val="001433E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433E0"/>
    <w:rPr>
      <w:b/>
      <w:smallCaps/>
    </w:rPr>
  </w:style>
  <w:style w:type="paragraph" w:customStyle="1" w:styleId="TableListNumber">
    <w:name w:val="Table List Number"/>
    <w:basedOn w:val="ListNumber"/>
    <w:rsid w:val="001433E0"/>
    <w:pPr>
      <w:numPr>
        <w:numId w:val="0"/>
      </w:numPr>
    </w:pPr>
  </w:style>
  <w:style w:type="paragraph" w:styleId="TOC4">
    <w:name w:val="toc 4"/>
    <w:basedOn w:val="TOCBase"/>
    <w:next w:val="Normal"/>
    <w:semiHidden/>
    <w:rsid w:val="001433E0"/>
    <w:pPr>
      <w:tabs>
        <w:tab w:val="right" w:leader="dot" w:pos="9071"/>
      </w:tabs>
      <w:ind w:left="1701"/>
    </w:pPr>
  </w:style>
  <w:style w:type="paragraph" w:customStyle="1" w:styleId="ListAlpha">
    <w:name w:val="List Alpha"/>
    <w:basedOn w:val="List"/>
    <w:rsid w:val="001433E0"/>
    <w:pPr>
      <w:numPr>
        <w:numId w:val="9"/>
      </w:numPr>
    </w:pPr>
  </w:style>
  <w:style w:type="paragraph" w:customStyle="1" w:styleId="ListAlpha2">
    <w:name w:val="List Alpha 2"/>
    <w:basedOn w:val="List2"/>
    <w:rsid w:val="001433E0"/>
    <w:pPr>
      <w:numPr>
        <w:numId w:val="8"/>
      </w:numPr>
    </w:pPr>
  </w:style>
  <w:style w:type="paragraph" w:styleId="List2">
    <w:name w:val="List 2"/>
    <w:basedOn w:val="BodyText"/>
    <w:rsid w:val="001433E0"/>
    <w:pPr>
      <w:tabs>
        <w:tab w:val="left" w:pos="680"/>
      </w:tabs>
      <w:spacing w:before="60" w:after="60"/>
      <w:ind w:left="680" w:hanging="340"/>
    </w:pPr>
  </w:style>
  <w:style w:type="paragraph" w:styleId="List3">
    <w:name w:val="List 3"/>
    <w:basedOn w:val="BodyText"/>
    <w:rsid w:val="001433E0"/>
    <w:pPr>
      <w:tabs>
        <w:tab w:val="left" w:pos="1021"/>
      </w:tabs>
      <w:spacing w:before="60" w:after="60"/>
      <w:ind w:left="1020" w:hanging="340"/>
    </w:pPr>
  </w:style>
  <w:style w:type="paragraph" w:styleId="List4">
    <w:name w:val="List 4"/>
    <w:basedOn w:val="BodyText"/>
    <w:rsid w:val="001433E0"/>
    <w:pPr>
      <w:tabs>
        <w:tab w:val="left" w:pos="1361"/>
      </w:tabs>
      <w:spacing w:before="60" w:after="60"/>
      <w:ind w:left="1361" w:hanging="340"/>
    </w:pPr>
  </w:style>
  <w:style w:type="paragraph" w:styleId="List5">
    <w:name w:val="List 5"/>
    <w:basedOn w:val="BodyText"/>
    <w:rsid w:val="001433E0"/>
    <w:pPr>
      <w:tabs>
        <w:tab w:val="left" w:pos="1701"/>
      </w:tabs>
      <w:spacing w:before="60" w:after="60"/>
      <w:ind w:left="1701" w:hanging="340"/>
    </w:pPr>
  </w:style>
  <w:style w:type="paragraph" w:styleId="ListBullet3">
    <w:name w:val="List Bullet 3"/>
    <w:basedOn w:val="List3"/>
    <w:rsid w:val="001433E0"/>
    <w:pPr>
      <w:numPr>
        <w:numId w:val="15"/>
      </w:numPr>
      <w:tabs>
        <w:tab w:val="clear" w:pos="1021"/>
      </w:tabs>
      <w:ind w:left="1037" w:hanging="357"/>
    </w:pPr>
  </w:style>
  <w:style w:type="paragraph" w:styleId="ListBullet4">
    <w:name w:val="List Bullet 4"/>
    <w:basedOn w:val="List4"/>
    <w:rsid w:val="001433E0"/>
    <w:pPr>
      <w:numPr>
        <w:numId w:val="3"/>
      </w:numPr>
    </w:pPr>
  </w:style>
  <w:style w:type="paragraph" w:styleId="ListBullet5">
    <w:name w:val="List Bullet 5"/>
    <w:basedOn w:val="List5"/>
    <w:rsid w:val="001433E0"/>
    <w:pPr>
      <w:numPr>
        <w:numId w:val="4"/>
      </w:numPr>
    </w:pPr>
  </w:style>
  <w:style w:type="paragraph" w:styleId="ListContinue2">
    <w:name w:val="List Continue 2"/>
    <w:basedOn w:val="List2"/>
    <w:rsid w:val="001433E0"/>
    <w:pPr>
      <w:ind w:firstLine="0"/>
    </w:pPr>
  </w:style>
  <w:style w:type="paragraph" w:styleId="ListContinue3">
    <w:name w:val="List Continue 3"/>
    <w:basedOn w:val="List3"/>
    <w:rsid w:val="001433E0"/>
    <w:pPr>
      <w:ind w:left="1021" w:firstLine="0"/>
    </w:pPr>
  </w:style>
  <w:style w:type="paragraph" w:styleId="ListContinue4">
    <w:name w:val="List Continue 4"/>
    <w:basedOn w:val="List4"/>
    <w:rsid w:val="001433E0"/>
    <w:pPr>
      <w:ind w:firstLine="0"/>
    </w:pPr>
  </w:style>
  <w:style w:type="paragraph" w:styleId="ListContinue5">
    <w:name w:val="List Continue 5"/>
    <w:basedOn w:val="List5"/>
    <w:rsid w:val="001433E0"/>
    <w:pPr>
      <w:ind w:firstLine="0"/>
    </w:pPr>
  </w:style>
  <w:style w:type="paragraph" w:styleId="ListNumber3">
    <w:name w:val="List Number 3"/>
    <w:basedOn w:val="List3"/>
    <w:rsid w:val="001433E0"/>
    <w:pPr>
      <w:numPr>
        <w:numId w:val="5"/>
      </w:numPr>
    </w:pPr>
  </w:style>
  <w:style w:type="paragraph" w:styleId="ListNumber4">
    <w:name w:val="List Number 4"/>
    <w:basedOn w:val="List4"/>
    <w:rsid w:val="001433E0"/>
    <w:pPr>
      <w:numPr>
        <w:numId w:val="6"/>
      </w:numPr>
    </w:pPr>
  </w:style>
  <w:style w:type="paragraph" w:styleId="ListNumber5">
    <w:name w:val="List Number 5"/>
    <w:basedOn w:val="List5"/>
    <w:rsid w:val="001433E0"/>
    <w:pPr>
      <w:numPr>
        <w:numId w:val="7"/>
      </w:numPr>
    </w:pPr>
  </w:style>
  <w:style w:type="paragraph" w:styleId="BlockText">
    <w:name w:val="Block Text"/>
    <w:basedOn w:val="Normal"/>
    <w:rsid w:val="001433E0"/>
    <w:pPr>
      <w:spacing w:after="120"/>
      <w:ind w:left="1440" w:right="1440"/>
    </w:pPr>
  </w:style>
  <w:style w:type="character" w:customStyle="1" w:styleId="Subscript">
    <w:name w:val="Subscript"/>
    <w:basedOn w:val="DefaultParagraphFont"/>
    <w:rsid w:val="001433E0"/>
    <w:rPr>
      <w:sz w:val="16"/>
      <w:vertAlign w:val="subscript"/>
    </w:rPr>
  </w:style>
  <w:style w:type="character" w:customStyle="1" w:styleId="Superscript">
    <w:name w:val="Superscript"/>
    <w:basedOn w:val="DefaultParagraphFont"/>
    <w:rsid w:val="001433E0"/>
    <w:rPr>
      <w:sz w:val="16"/>
      <w:vertAlign w:val="superscript"/>
    </w:rPr>
  </w:style>
  <w:style w:type="character" w:customStyle="1" w:styleId="Symbols">
    <w:name w:val="Symbols"/>
    <w:basedOn w:val="DefaultParagraphFont"/>
    <w:rsid w:val="001433E0"/>
    <w:rPr>
      <w:rFonts w:ascii="Symbol" w:hAnsi="Symbol"/>
    </w:rPr>
  </w:style>
  <w:style w:type="character" w:customStyle="1" w:styleId="MenuOptions">
    <w:name w:val="Menu Options"/>
    <w:basedOn w:val="DefaultParagraphFont"/>
    <w:rsid w:val="001433E0"/>
    <w:rPr>
      <w:rFonts w:ascii="Arial Narrow" w:hAnsi="Arial Narrow"/>
      <w:smallCaps/>
    </w:rPr>
  </w:style>
  <w:style w:type="character" w:customStyle="1" w:styleId="Buttons">
    <w:name w:val="Buttons"/>
    <w:basedOn w:val="DefaultParagraphFont"/>
    <w:rsid w:val="001433E0"/>
    <w:rPr>
      <w:b/>
    </w:rPr>
  </w:style>
  <w:style w:type="character" w:customStyle="1" w:styleId="Underlined">
    <w:name w:val="Underlined"/>
    <w:basedOn w:val="DefaultParagraphFont"/>
    <w:rsid w:val="001433E0"/>
    <w:rPr>
      <w:u w:val="single"/>
    </w:rPr>
  </w:style>
  <w:style w:type="paragraph" w:customStyle="1" w:styleId="TableBodyTextRight">
    <w:name w:val="Table Body Text Right"/>
    <w:basedOn w:val="TableBodyText"/>
    <w:rsid w:val="001433E0"/>
    <w:pPr>
      <w:widowControl w:val="0"/>
      <w:autoSpaceDE w:val="0"/>
      <w:autoSpaceDN w:val="0"/>
      <w:adjustRightInd w:val="0"/>
      <w:jc w:val="right"/>
    </w:pPr>
    <w:rPr>
      <w:rFonts w:cs="Arial"/>
      <w:szCs w:val="18"/>
    </w:rPr>
  </w:style>
  <w:style w:type="paragraph" w:customStyle="1" w:styleId="CopyrightText">
    <w:name w:val="Copyright Text"/>
    <w:basedOn w:val="BodyText"/>
    <w:rsid w:val="001433E0"/>
    <w:rPr>
      <w:sz w:val="18"/>
    </w:rPr>
  </w:style>
  <w:style w:type="paragraph" w:customStyle="1" w:styleId="BodySmallRight">
    <w:name w:val="Body Small Right"/>
    <w:basedOn w:val="BodyTextRight"/>
    <w:rsid w:val="001433E0"/>
    <w:rPr>
      <w:sz w:val="18"/>
      <w:szCs w:val="18"/>
    </w:rPr>
  </w:style>
  <w:style w:type="paragraph" w:customStyle="1" w:styleId="MarginEdition">
    <w:name w:val="Margin Edition"/>
    <w:basedOn w:val="MarginNote"/>
    <w:rsid w:val="001433E0"/>
    <w:pPr>
      <w:spacing w:before="0" w:after="0"/>
    </w:pPr>
    <w:rPr>
      <w:rFonts w:ascii="Times New Roman" w:hAnsi="Times New Roman"/>
      <w:color w:val="999999"/>
    </w:rPr>
  </w:style>
  <w:style w:type="paragraph" w:customStyle="1" w:styleId="Spacer">
    <w:name w:val="Spacer"/>
    <w:basedOn w:val="Normal"/>
    <w:rsid w:val="001433E0"/>
    <w:rPr>
      <w:sz w:val="2"/>
      <w:szCs w:val="2"/>
    </w:rPr>
  </w:style>
  <w:style w:type="character" w:customStyle="1" w:styleId="Small">
    <w:name w:val="Small"/>
    <w:basedOn w:val="DefaultParagraphFont"/>
    <w:rsid w:val="001433E0"/>
    <w:rPr>
      <w:sz w:val="16"/>
    </w:rPr>
  </w:style>
  <w:style w:type="paragraph" w:customStyle="1" w:styleId="WideTable">
    <w:name w:val="Wide Table"/>
    <w:basedOn w:val="Normal"/>
    <w:rsid w:val="001433E0"/>
    <w:pPr>
      <w:ind w:left="-1418"/>
    </w:pPr>
    <w:rPr>
      <w:sz w:val="2"/>
      <w:szCs w:val="2"/>
    </w:rPr>
  </w:style>
  <w:style w:type="character" w:styleId="PageNumber">
    <w:name w:val="page number"/>
    <w:basedOn w:val="DefaultParagraphFont"/>
    <w:rsid w:val="001433E0"/>
  </w:style>
  <w:style w:type="paragraph" w:styleId="Quote">
    <w:name w:val="Quote"/>
    <w:basedOn w:val="Heading1"/>
    <w:link w:val="QuoteChar"/>
    <w:qFormat/>
    <w:rsid w:val="001433E0"/>
    <w:rPr>
      <w:b w:val="0"/>
      <w:sz w:val="72"/>
      <w:szCs w:val="72"/>
      <w:lang w:val="en-NZ"/>
    </w:rPr>
  </w:style>
  <w:style w:type="character" w:customStyle="1" w:styleId="QuoteChar">
    <w:name w:val="Quote Char"/>
    <w:basedOn w:val="DefaultParagraphFont"/>
    <w:link w:val="Quote"/>
    <w:rsid w:val="001433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33E0"/>
    <w:pPr>
      <w:pageBreakBefore/>
    </w:pPr>
  </w:style>
  <w:style w:type="paragraph" w:customStyle="1" w:styleId="Border">
    <w:name w:val="Border"/>
    <w:basedOn w:val="Normal"/>
    <w:qFormat/>
    <w:rsid w:val="001433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33E0"/>
    <w:rPr>
      <w:b/>
      <w:bCs/>
      <w:i/>
      <w:iCs/>
      <w:color w:val="auto"/>
    </w:rPr>
  </w:style>
  <w:style w:type="paragraph" w:styleId="IntenseQuote">
    <w:name w:val="Intense Quote"/>
    <w:basedOn w:val="Normal"/>
    <w:next w:val="Normal"/>
    <w:link w:val="IntenseQuoteChar"/>
    <w:uiPriority w:val="30"/>
    <w:qFormat/>
    <w:rsid w:val="001433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33E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433E0"/>
    <w:rPr>
      <w:smallCaps/>
      <w:color w:val="auto"/>
      <w:u w:val="single"/>
    </w:rPr>
  </w:style>
  <w:style w:type="character" w:styleId="IntenseReference">
    <w:name w:val="Intense Reference"/>
    <w:basedOn w:val="DefaultParagraphFont"/>
    <w:uiPriority w:val="32"/>
    <w:qFormat/>
    <w:rsid w:val="001433E0"/>
    <w:rPr>
      <w:b/>
      <w:bCs/>
      <w:smallCaps/>
      <w:color w:val="auto"/>
      <w:spacing w:val="5"/>
      <w:u w:val="single"/>
    </w:rPr>
  </w:style>
  <w:style w:type="paragraph" w:customStyle="1" w:styleId="2ColumnHeading">
    <w:name w:val="2Column Heading"/>
    <w:basedOn w:val="BodyText"/>
    <w:qFormat/>
    <w:rsid w:val="001433E0"/>
    <w:pPr>
      <w:spacing w:after="60"/>
      <w:ind w:left="-2268"/>
    </w:pPr>
    <w:rPr>
      <w:b/>
    </w:rPr>
  </w:style>
  <w:style w:type="paragraph" w:customStyle="1" w:styleId="Heading1TOC">
    <w:name w:val="Heading1 TOC"/>
    <w:basedOn w:val="Normal"/>
    <w:qFormat/>
    <w:rsid w:val="001433E0"/>
    <w:pPr>
      <w:spacing w:before="240" w:after="120"/>
    </w:pPr>
    <w:rPr>
      <w:rFonts w:ascii="Times New Roman" w:hAnsi="Times New Roman"/>
      <w:b/>
      <w:sz w:val="32"/>
    </w:rPr>
  </w:style>
  <w:style w:type="paragraph" w:customStyle="1" w:styleId="Heading2TOC">
    <w:name w:val="Heading2 TOC"/>
    <w:basedOn w:val="Normal"/>
    <w:qFormat/>
    <w:rsid w:val="001433E0"/>
    <w:pPr>
      <w:spacing w:before="240" w:after="60"/>
    </w:pPr>
    <w:rPr>
      <w:rFonts w:ascii="Times New Roman" w:hAnsi="Times New Roman"/>
      <w:b/>
      <w:sz w:val="28"/>
    </w:rPr>
  </w:style>
  <w:style w:type="character" w:customStyle="1" w:styleId="Underline">
    <w:name w:val="Underline"/>
    <w:basedOn w:val="DefaultParagraphFont"/>
    <w:qFormat/>
    <w:rsid w:val="001433E0"/>
    <w:rPr>
      <w:u w:val="single"/>
    </w:rPr>
  </w:style>
  <w:style w:type="character" w:customStyle="1" w:styleId="BoldandItalics">
    <w:name w:val="Bold and Italics"/>
    <w:qFormat/>
    <w:rsid w:val="001433E0"/>
    <w:rPr>
      <w:b/>
      <w:i/>
      <w:u w:val="none"/>
    </w:rPr>
  </w:style>
  <w:style w:type="paragraph" w:styleId="BalloonText">
    <w:name w:val="Balloon Text"/>
    <w:basedOn w:val="Normal"/>
    <w:link w:val="BalloonTextChar"/>
    <w:rsid w:val="001433E0"/>
    <w:rPr>
      <w:rFonts w:ascii="Tahoma" w:hAnsi="Tahoma" w:cs="Tahoma"/>
      <w:sz w:val="16"/>
      <w:szCs w:val="16"/>
    </w:rPr>
  </w:style>
  <w:style w:type="character" w:customStyle="1" w:styleId="BalloonTextChar">
    <w:name w:val="Balloon Text Char"/>
    <w:basedOn w:val="DefaultParagraphFont"/>
    <w:link w:val="BalloonText"/>
    <w:rsid w:val="001433E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433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33E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2155</Words>
  <Characters>12574</Characters>
  <Application>Microsoft Office Word</Application>
  <DocSecurity>0</DocSecurity>
  <Lines>477</Lines>
  <Paragraphs>177</Paragraphs>
  <ScaleCrop>false</ScaleCrop>
  <Company>Author-it Software Corporation Ltd.</Company>
  <LinksUpToDate>false</LinksUpToDate>
  <CharactersWithSpaces>14580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UEENEEN021A Repair rail signalling cables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2012-05-26T11:57:00Z</dcterms:created>
  <dcterms:modified xsi:type="dcterms:W3CDTF">2012-05-26T11:57:00Z</dcterms:modified>
</cp:coreProperties>
</file>