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B1D" w:rsidP="00014B1D">
      <w:pPr>
        <w:pStyle w:val="Title"/>
      </w:pPr>
      <w:r>
        <w:fldChar w:fldCharType="begin"/>
      </w:r>
      <w:r>
        <w:instrText xml:space="preserve"> TITLE   \* MERGEFORMAT </w:instrText>
      </w:r>
      <w:r>
        <w:fldChar w:fldCharType="separate"/>
      </w:r>
      <w:r>
        <w:t>UEENEEM073A Verify compliance of repaired reeling, trailing and flexible cables</w:t>
      </w:r>
      <w:r>
        <w:fldChar w:fldCharType="end"/>
      </w:r>
    </w:p>
    <w:p w:rsidR="00014B1D" w:rsidP="00014B1D">
      <w:pPr>
        <w:pStyle w:val="Version"/>
        <w:sectPr w:rsidSect="00196F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6F22" w:rsidP="00196F22">
      <w:pPr>
        <w:pStyle w:val="SuperHeading"/>
      </w:pPr>
      <w:r w:rsidRPr="00196F22">
        <w:t>UEENEEM073A Verify compliance of repaired reeling, trailing and flexible cables</w:t>
      </w:r>
    </w:p>
    <w:p w:rsidR="00000000" w:rsidRPr="00196F22" w:rsidP="00196F22">
      <w:pPr>
        <w:pStyle w:val="Heading1"/>
      </w:pPr>
      <w:bookmarkStart w:id="1" w:name="O_586247"/>
      <w:bookmarkEnd w:id="1"/>
      <w:r w:rsidRPr="00196F22">
        <w:t>Modification History</w:t>
      </w:r>
    </w:p>
    <w:p w:rsidR="00000000" w:rsidRPr="00196F22" w:rsidP="00196F22">
      <w:pPr>
        <w:pStyle w:val="BodyText"/>
      </w:pPr>
      <w:r w:rsidRPr="00196F22">
        <w:t>Not Applicable</w:t>
      </w:r>
    </w:p>
    <w:p w:rsidR="00000000" w:rsidRPr="00196F22" w:rsidP="00196F22">
      <w:pPr>
        <w:pStyle w:val="AllowPageBreak"/>
      </w:pPr>
    </w:p>
    <w:p w:rsidR="00000000" w:rsidRPr="00196F22" w:rsidP="00196F22">
      <w:pPr>
        <w:pStyle w:val="Heading1"/>
      </w:pPr>
      <w:bookmarkStart w:id="2" w:name="O_586246"/>
      <w:bookmarkEnd w:id="2"/>
      <w:r w:rsidRPr="00196F22">
        <w:t>Unit Descriptor</w:t>
      </w:r>
    </w:p>
    <w:tbl>
      <w:tblPr>
        <w:tblW w:w="0" w:type="auto"/>
        <w:tblLayout w:type="fixed"/>
        <w:tblCellMar>
          <w:left w:w="62" w:type="dxa"/>
          <w:right w:w="62" w:type="dxa"/>
        </w:tblCellMar>
        <w:tblLook w:val="0000"/>
      </w:tblPr>
      <w:tblGrid>
        <w:gridCol w:w="2697"/>
        <w:gridCol w:w="5763"/>
      </w:tblGrid>
      <w:tr w:rsidTr="00014B1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1</w:t>
            </w:r>
            <w:r w:rsidRPr="00196F22">
              <w:t xml:space="preserve">) </w:t>
            </w:r>
          </w:p>
          <w:p w:rsidR="00000000" w:rsidP="00196F22">
            <w:pPr>
              <w:pStyle w:val="BodyText"/>
              <w:rPr>
                <w:lang w:val="en-NZ"/>
              </w:rPr>
            </w:pPr>
            <w:r w:rsidRPr="00196F22">
              <w:rPr>
                <w:rStyle w:val="SpecialBold"/>
              </w:rPr>
              <w:t>1</w:t>
            </w:r>
            <w:r w:rsidRPr="00196F22">
              <w:t>.</w:t>
            </w:r>
            <w:r w:rsidRPr="00196F22">
              <w:rPr>
                <w:rStyle w:val="SpecialBold"/>
              </w:rPr>
              <w:t>1</w:t>
            </w:r>
            <w:r w:rsidRPr="00196F22">
              <w:t xml:space="preserve">) </w:t>
            </w:r>
            <w:r w:rsidRPr="00196F22">
              <w:rPr>
                <w:rStyle w:val="SpecialBold"/>
              </w:rPr>
              <w:t>Descriptor</w:t>
            </w:r>
          </w:p>
        </w:tc>
      </w:tr>
      <w:tr w:rsidTr="00014B1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This Competency Standard Unit covers compliance verification of repaired and tested reeling, trailing and flexible cables and their plugs/couplers assemblies by a responsible person. It requires the ability to work safely and to Standards, evaluate repairs</w:t>
            </w:r>
            <w:r w:rsidRPr="00196F22">
              <w:t xml:space="preserve"> against required standard and to maintain required repair records.</w:t>
            </w:r>
          </w:p>
          <w:p w:rsidR="00000000" w:rsidRPr="00196F22" w:rsidP="00196F22">
            <w:pPr>
              <w:pStyle w:val="BodyText"/>
            </w:pPr>
            <w:r w:rsidRPr="00196F22">
              <w:t xml:space="preserve">This unit is directly equivalent to the Unit </w:t>
            </w:r>
            <w:r w:rsidRPr="00196F22">
              <w:rPr>
                <w:rStyle w:val="Emphasis"/>
              </w:rPr>
              <w:t>2</w:t>
            </w:r>
            <w:r w:rsidRPr="00196F22">
              <w:t>.</w:t>
            </w:r>
            <w:r w:rsidRPr="00196F22">
              <w:rPr>
                <w:rStyle w:val="Emphasis"/>
              </w:rPr>
              <w:t>26 Verify compliance of repaired reeling</w:t>
            </w:r>
            <w:r w:rsidRPr="00196F22">
              <w:t xml:space="preserve">, </w:t>
            </w:r>
            <w:r w:rsidRPr="00196F22">
              <w:rPr>
                <w:rStyle w:val="Emphasis"/>
              </w:rPr>
              <w:t>trailing and flexible cables</w:t>
            </w:r>
            <w:r w:rsidRPr="00196F22">
              <w:t xml:space="preserve"> in the Australian/New Zealand Standard </w:t>
            </w:r>
            <w:r w:rsidRPr="00196F22">
              <w:rPr>
                <w:rStyle w:val="Emphasis"/>
              </w:rPr>
              <w:t>AS</w:t>
            </w:r>
            <w:r w:rsidRPr="00196F22">
              <w:t>/</w:t>
            </w:r>
            <w:r w:rsidRPr="00196F22">
              <w:rPr>
                <w:rStyle w:val="Emphasis"/>
              </w:rPr>
              <w:t>NZS 4761</w:t>
            </w:r>
            <w:r w:rsidRPr="00196F22">
              <w:t>.</w:t>
            </w:r>
            <w:r w:rsidRPr="00196F22">
              <w:rPr>
                <w:rStyle w:val="Emphasis"/>
              </w:rPr>
              <w:t xml:space="preserve">1 Competencies for </w:t>
            </w:r>
            <w:r w:rsidRPr="00196F22">
              <w:rPr>
                <w:rStyle w:val="Emphasis"/>
              </w:rPr>
              <w:t>working with electrical equipment for hazardous areas</w:t>
            </w:r>
            <w:r w:rsidRPr="00196F22">
              <w:t xml:space="preserve"> (</w:t>
            </w:r>
            <w:r w:rsidRPr="00196F22">
              <w:rPr>
                <w:rStyle w:val="Emphasis"/>
              </w:rPr>
              <w:t>EEHA</w:t>
            </w:r>
            <w:r w:rsidRPr="00196F22">
              <w:t xml:space="preserve">) </w:t>
            </w:r>
            <w:r w:rsidRPr="00196F22">
              <w:rPr>
                <w:rStyle w:val="Emphasis"/>
              </w:rPr>
              <w:t>Part 1</w:t>
            </w:r>
            <w:r w:rsidRPr="00196F22">
              <w:t xml:space="preserve">: </w:t>
            </w:r>
            <w:r w:rsidRPr="00196F22">
              <w:rPr>
                <w:rStyle w:val="Emphasis"/>
              </w:rPr>
              <w:t>Competency Standards</w:t>
            </w:r>
            <w:r w:rsidRPr="00196F22">
              <w:t>. Equivalence includes endorsement in the explosion-protection techniques listed in the Range statement of this unit.</w:t>
            </w:r>
          </w:p>
          <w:p w:rsidR="00000000" w:rsidRPr="00196F22" w:rsidP="00196F22">
            <w:pPr>
              <w:pStyle w:val="BodyText"/>
            </w:pPr>
            <w:r w:rsidRPr="00196F22">
              <w:t>Note:</w:t>
            </w:r>
          </w:p>
          <w:p w:rsidR="00000000" w:rsidRPr="00196F22" w:rsidP="00196F22">
            <w:pPr>
              <w:pStyle w:val="BodyText"/>
            </w:pPr>
            <w:r w:rsidRPr="00196F22">
              <w:t>Although this unit is primarily intended fo</w:t>
            </w:r>
            <w:r w:rsidRPr="00196F22">
              <w:t xml:space="preserve">r the repair of cable types specified by AS/NZS 1802 and AS/NZS 2802 and used in mining, it may be applied to the repair of other similar cables.  </w:t>
            </w:r>
          </w:p>
        </w:tc>
      </w:tr>
    </w:tbl>
    <w:p w:rsidR="00014B1D" w:rsidP="00196F22">
      <w:pPr>
        <w:pStyle w:val="BodyText"/>
      </w:pPr>
    </w:p>
    <w:p w:rsidR="00014B1D" w:rsidP="00196F22">
      <w:pPr>
        <w:pStyle w:val="BodyText"/>
      </w:pPr>
    </w:p>
    <w:p w:rsidR="00000000" w:rsidRPr="00196F22" w:rsidP="00196F22">
      <w:pPr>
        <w:pStyle w:val="Heading1"/>
      </w:pPr>
      <w:bookmarkStart w:id="3" w:name="O_586245"/>
      <w:bookmarkEnd w:id="3"/>
      <w:r w:rsidRPr="00196F22">
        <w:t>Application of the Unit</w:t>
      </w:r>
    </w:p>
    <w:tbl>
      <w:tblPr>
        <w:tblW w:w="0" w:type="auto"/>
        <w:tblLayout w:type="fixed"/>
        <w:tblCellMar>
          <w:left w:w="62" w:type="dxa"/>
          <w:right w:w="62" w:type="dxa"/>
        </w:tblCellMar>
        <w:tblLook w:val="0000"/>
      </w:tblPr>
      <w:tblGrid>
        <w:gridCol w:w="2697"/>
        <w:gridCol w:w="5763"/>
      </w:tblGrid>
      <w:tr w:rsidTr="00014B1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4</w:t>
            </w:r>
            <w:r w:rsidRPr="00196F22">
              <w:t>)</w:t>
            </w:r>
          </w:p>
        </w:tc>
      </w:tr>
      <w:tr w:rsidTr="00014B1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This unit applies to mining cable and associated equipment overhaul and repair job functions at AQF 3 level or higher. It is suitable for employment-based programs under an approved contract of training.</w:t>
            </w:r>
          </w:p>
        </w:tc>
      </w:tr>
    </w:tbl>
    <w:p w:rsidR="00014B1D" w:rsidP="00196F22">
      <w:pPr>
        <w:pStyle w:val="BodyText"/>
      </w:pPr>
    </w:p>
    <w:p w:rsidR="00014B1D" w:rsidP="00196F22">
      <w:pPr>
        <w:pStyle w:val="BodyText"/>
      </w:pPr>
    </w:p>
    <w:p w:rsidR="00000000" w:rsidRPr="00196F22" w:rsidP="00196F22">
      <w:pPr>
        <w:pStyle w:val="Heading1"/>
      </w:pPr>
      <w:bookmarkStart w:id="4" w:name="O_586244"/>
      <w:bookmarkEnd w:id="4"/>
      <w:r w:rsidRPr="00196F22">
        <w:t>Licensing/Regulatory Information</w:t>
      </w:r>
    </w:p>
    <w:tbl>
      <w:tblPr>
        <w:tblW w:w="0" w:type="auto"/>
        <w:tblLayout w:type="fixed"/>
        <w:tblCellMar>
          <w:left w:w="62" w:type="dxa"/>
          <w:right w:w="62" w:type="dxa"/>
        </w:tblCellMar>
        <w:tblLook w:val="0000"/>
      </w:tblPr>
      <w:tblGrid>
        <w:gridCol w:w="8460"/>
      </w:tblGrid>
      <w:tr w:rsidTr="00014B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1</w:t>
            </w:r>
            <w:r w:rsidRPr="00196F22">
              <w:t>.</w:t>
            </w:r>
            <w:r w:rsidRPr="00196F22">
              <w:rPr>
                <w:rStyle w:val="SpecialBold"/>
              </w:rPr>
              <w:t>2</w:t>
            </w:r>
            <w:r w:rsidRPr="00196F22">
              <w:t xml:space="preserve">) </w:t>
            </w:r>
            <w:r w:rsidRPr="00196F22">
              <w:rPr>
                <w:rStyle w:val="SpecialBold"/>
              </w:rPr>
              <w:t>License to practice</w:t>
            </w:r>
          </w:p>
        </w:tc>
      </w:tr>
      <w:tr w:rsidTr="00014B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 xml:space="preserve">The skills and knowledge described in this unit do not require a license to practice in the work place. However practice in this unit is subject </w:t>
            </w:r>
            <w:r w:rsidRPr="00196F22">
              <w:t>to regulations directly related to occupational health and safe and contracts of training such as new apprenticeships.</w:t>
            </w:r>
          </w:p>
        </w:tc>
      </w:tr>
    </w:tbl>
    <w:p w:rsidR="00014B1D" w:rsidP="00196F22">
      <w:pPr>
        <w:pStyle w:val="BodyText"/>
      </w:pPr>
    </w:p>
    <w:p w:rsidR="00014B1D" w:rsidP="00196F22">
      <w:pPr>
        <w:pStyle w:val="BodyText"/>
      </w:pPr>
    </w:p>
    <w:p w:rsidR="00000000" w:rsidRPr="00196F22" w:rsidP="00196F22">
      <w:pPr>
        <w:pStyle w:val="Heading1"/>
      </w:pPr>
      <w:bookmarkStart w:id="5" w:name="O_586243"/>
      <w:bookmarkEnd w:id="5"/>
      <w:r w:rsidRPr="00196F22">
        <w:t>Pre-Requisites</w:t>
      </w:r>
    </w:p>
    <w:tbl>
      <w:tblPr>
        <w:tblW w:w="0" w:type="auto"/>
        <w:tblLayout w:type="fixed"/>
        <w:tblCellMar>
          <w:left w:w="62" w:type="dxa"/>
          <w:right w:w="62" w:type="dxa"/>
        </w:tblCellMar>
        <w:tblLook w:val="0000"/>
      </w:tblPr>
      <w:tblGrid>
        <w:gridCol w:w="2700"/>
        <w:gridCol w:w="1440"/>
        <w:gridCol w:w="4323"/>
      </w:tblGrid>
      <w:tr w:rsidTr="00014B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 xml:space="preserve">2) </w:t>
            </w:r>
          </w:p>
        </w:tc>
      </w:tr>
      <w:tr w:rsidTr="00014B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6F22">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2.1) Competencies</w:t>
            </w:r>
          </w:p>
        </w:tc>
      </w:tr>
      <w:tr w:rsidTr="00014B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Granting competency in this unit shall be made only after competency in the following unit(s) has/have been confirmed.</w:t>
            </w:r>
          </w:p>
        </w:tc>
      </w:tr>
      <w:tr w:rsidTr="00014B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UEENEEM070A</w:t>
            </w:r>
          </w:p>
        </w:tc>
        <w:tc>
          <w:tcPr>
            <w:tcW w:w="432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Repair reeling, trailing and flexible cable</w:t>
            </w:r>
          </w:p>
        </w:tc>
      </w:tr>
      <w:tr w:rsidTr="00014B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UEENEEM071A</w:t>
            </w:r>
          </w:p>
        </w:tc>
        <w:tc>
          <w:tcPr>
            <w:tcW w:w="432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Test reeling, trailing and flexible cables</w:t>
            </w:r>
          </w:p>
        </w:tc>
      </w:tr>
      <w:tr w:rsidTr="00014B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UEENEEM072A</w:t>
            </w:r>
          </w:p>
        </w:tc>
        <w:tc>
          <w:tcPr>
            <w:tcW w:w="432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Inspect and fit plugs/couplers for reeling, trailing and flexible cables</w:t>
            </w:r>
          </w:p>
        </w:tc>
      </w:tr>
    </w:tbl>
    <w:p w:rsidR="00014B1D" w:rsidP="00196F22">
      <w:pPr>
        <w:pStyle w:val="BodyText"/>
      </w:pPr>
    </w:p>
    <w:p w:rsidR="00014B1D" w:rsidP="00196F22">
      <w:pPr>
        <w:pStyle w:val="BodyText"/>
      </w:pPr>
    </w:p>
    <w:p w:rsidR="00000000" w:rsidRPr="00196F22" w:rsidP="00196F22">
      <w:pPr>
        <w:pStyle w:val="Heading1"/>
      </w:pPr>
      <w:bookmarkStart w:id="6" w:name="O_586242"/>
      <w:bookmarkEnd w:id="6"/>
      <w:r w:rsidRPr="00196F22">
        <w:t>Employability Skills Information</w:t>
      </w:r>
    </w:p>
    <w:tbl>
      <w:tblPr>
        <w:tblW w:w="0" w:type="auto"/>
        <w:tblLayout w:type="fixed"/>
        <w:tblCellMar>
          <w:left w:w="62" w:type="dxa"/>
          <w:right w:w="62" w:type="dxa"/>
        </w:tblCellMar>
        <w:tblLook w:val="0000"/>
      </w:tblPr>
      <w:tblGrid>
        <w:gridCol w:w="2697"/>
        <w:gridCol w:w="5763"/>
      </w:tblGrid>
      <w:tr w:rsidTr="00014B1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3</w:t>
            </w:r>
            <w:r w:rsidRPr="00196F22">
              <w:t>)</w:t>
            </w:r>
          </w:p>
          <w:p w:rsidR="00000000" w:rsidRPr="00196F22" w:rsidP="00196F22">
            <w:pPr>
              <w:pStyle w:val="BodyText"/>
            </w:pPr>
            <w:r w:rsidRPr="00196F22">
              <w:t>The required outcomes described in this unit of competency contain applicable facets of Employability Skil</w:t>
            </w:r>
            <w:r w:rsidRPr="00196F22">
              <w:t>ls. The Employability Skills Summary of the qualification in which this unit of competency is packaged will assist in identifying Employability Skill requirements.</w:t>
            </w:r>
          </w:p>
        </w:tc>
      </w:tr>
    </w:tbl>
    <w:p w:rsidR="00014B1D" w:rsidP="00196F22">
      <w:pPr>
        <w:pStyle w:val="BodyText"/>
      </w:pPr>
    </w:p>
    <w:p w:rsidR="00014B1D" w:rsidP="00196F22">
      <w:pPr>
        <w:pStyle w:val="BodyText"/>
      </w:pPr>
    </w:p>
    <w:p w:rsidR="00000000" w:rsidRPr="00196F22" w:rsidP="00196F22">
      <w:pPr>
        <w:pStyle w:val="Heading1"/>
      </w:pPr>
      <w:bookmarkStart w:id="7" w:name="O_586241"/>
      <w:bookmarkEnd w:id="7"/>
      <w:r w:rsidRPr="00196F22">
        <w:t>Elements and Performance Criteria Pre-Content</w:t>
      </w:r>
    </w:p>
    <w:tbl>
      <w:tblPr>
        <w:tblW w:w="0" w:type="auto"/>
        <w:tblLayout w:type="fixed"/>
        <w:tblCellMar>
          <w:left w:w="62" w:type="dxa"/>
          <w:right w:w="62" w:type="dxa"/>
        </w:tblCellMar>
        <w:tblLook w:val="0000"/>
      </w:tblPr>
      <w:tblGrid>
        <w:gridCol w:w="2697"/>
        <w:gridCol w:w="5763"/>
      </w:tblGrid>
      <w:tr w:rsidTr="00014B1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6</w:t>
            </w:r>
            <w:r w:rsidRPr="00196F22">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Performance criteria describe the required performance needed to demonstrate achievement of the element. Assessment of performance is to be consistent with the evidence guide.</w:t>
            </w:r>
          </w:p>
        </w:tc>
      </w:tr>
    </w:tbl>
    <w:p w:rsidR="00000000" w:rsidRPr="00196F22" w:rsidP="00196F22">
      <w:pPr>
        <w:pStyle w:val="BodyText"/>
      </w:pPr>
    </w:p>
    <w:p w:rsidR="00000000" w:rsidRPr="00196F22" w:rsidP="00196F22">
      <w:pPr>
        <w:pStyle w:val="AllowPageBreak"/>
      </w:pPr>
    </w:p>
    <w:p w:rsidR="00000000" w:rsidRPr="00196F22" w:rsidP="00196F22">
      <w:pPr>
        <w:pStyle w:val="Heading1"/>
      </w:pPr>
      <w:bookmarkStart w:id="8" w:name="O_586240"/>
      <w:bookmarkEnd w:id="8"/>
      <w:r w:rsidRPr="00196F22">
        <w:t>Elements</w:t>
      </w:r>
      <w:r w:rsidRPr="00196F22">
        <w:t xml:space="preserve"> and Performance Criteria</w:t>
      </w:r>
    </w:p>
    <w:tbl>
      <w:tblPr>
        <w:tblW w:w="0" w:type="auto"/>
        <w:tblLayout w:type="fixed"/>
        <w:tblCellMar>
          <w:left w:w="62" w:type="dxa"/>
          <w:right w:w="62" w:type="dxa"/>
        </w:tblCellMar>
        <w:tblLook w:val="0000"/>
      </w:tblPr>
      <w:tblGrid>
        <w:gridCol w:w="403"/>
        <w:gridCol w:w="2294"/>
        <w:gridCol w:w="900"/>
        <w:gridCol w:w="4863"/>
      </w:tblGrid>
      <w:tr w:rsidTr="00014B1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PERFORMANCE CRITERIA</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1</w:t>
            </w:r>
          </w:p>
        </w:tc>
        <w:tc>
          <w:tcPr>
            <w:tcW w:w="2294" w:type="dxa"/>
            <w:vMerge w:val="restart"/>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Prepare to verify compliance of repaired cables</w:t>
            </w: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1.1</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OHS policies and procedures for entering a work site are followed.</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1.2</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Specifications and instructions for cable repair are received and expected outcomes of the work confirmed with appropriate personnel.</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1.3</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Cable history test records are reviewed to identify potential issues and ascertain the viability of repair.</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1.4</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Certification documentation for plugs/couplers are sought and received in order to check that the equipment complies with the certification.</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1.5</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Tools, equipment and testing devices needed to verify compliance are obtained and checked for correct operat</w:t>
            </w:r>
            <w:r w:rsidRPr="00196F22">
              <w:t>ion, safety and currency of calibration certification.</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w:t>
            </w:r>
          </w:p>
        </w:tc>
        <w:tc>
          <w:tcPr>
            <w:tcW w:w="2294" w:type="dxa"/>
            <w:vMerge w:val="restart"/>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 xml:space="preserve">Carry out verification of compliance </w:t>
            </w: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2.1</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OHS policies and procedures for carrying out verification are followed.</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2.2</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Documentation of pre and post repair test results are compared with requirements of compliance standards.</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2.3</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Compliance verification measurements, tests and inspections carried out on the repair cable and fitted plugs/couplers assemblies are in accordance with OHS and other established procedures.</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2.4</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Actions are taken to have any non-compliance shown by measu</w:t>
            </w:r>
            <w:r w:rsidRPr="00196F22">
              <w:t>rements, tests and inspections results rectified in accordance with established procedures.</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3</w:t>
            </w:r>
          </w:p>
        </w:tc>
        <w:tc>
          <w:tcPr>
            <w:tcW w:w="229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3.1</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OHS policies and procedures for completing verification work are followed.</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3.2</w:t>
            </w:r>
          </w:p>
        </w:tc>
        <w:tc>
          <w:tcPr>
            <w:tcW w:w="48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 xml:space="preserve">Verification of compliance is documented, including update of cable test history records in accordance with established quality procedures. </w:t>
            </w:r>
          </w:p>
        </w:tc>
      </w:tr>
      <w:tr w:rsidTr="00014B1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Complete and document cable repair work</w:t>
            </w:r>
          </w:p>
        </w:tc>
        <w:tc>
          <w:tcPr>
            <w:tcW w:w="90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3.3</w:t>
            </w:r>
          </w:p>
        </w:tc>
        <w:tc>
          <w:tcPr>
            <w:tcW w:w="48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Verification of compliance is issued to the appropriate persons in ac</w:t>
            </w:r>
            <w:r w:rsidRPr="00196F22">
              <w:t xml:space="preserve">cordance with established quality procedures. </w:t>
            </w:r>
          </w:p>
        </w:tc>
      </w:tr>
    </w:tbl>
    <w:p w:rsidR="00014B1D" w:rsidP="00196F22">
      <w:pPr>
        <w:pStyle w:val="BodyText"/>
      </w:pPr>
    </w:p>
    <w:p w:rsidR="00014B1D" w:rsidP="00196F22">
      <w:pPr>
        <w:pStyle w:val="BodyText"/>
      </w:pPr>
    </w:p>
    <w:p w:rsidR="00000000" w:rsidRPr="00196F22" w:rsidP="00196F22">
      <w:pPr>
        <w:pStyle w:val="Heading1"/>
      </w:pPr>
      <w:bookmarkStart w:id="9" w:name="O_586239"/>
      <w:bookmarkEnd w:id="9"/>
      <w:r w:rsidRPr="00196F22">
        <w:t>Required Skills and Knowledge</w:t>
      </w:r>
    </w:p>
    <w:tbl>
      <w:tblPr>
        <w:tblW w:w="0" w:type="auto"/>
        <w:tblLayout w:type="fixed"/>
        <w:tblCellMar>
          <w:left w:w="62" w:type="dxa"/>
          <w:right w:w="62" w:type="dxa"/>
        </w:tblCellMar>
        <w:tblLook w:val="0000"/>
      </w:tblPr>
      <w:tblGrid>
        <w:gridCol w:w="1530"/>
        <w:gridCol w:w="6930"/>
      </w:tblGrid>
      <w:tr w:rsidTr="00014B1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REQUIRED SKILLS AND KNOWLEDGE</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 xml:space="preserve">7) </w:t>
            </w:r>
            <w:r w:rsidRPr="00196F22">
              <w:t>This describes the essential skills and knowledge and their level, required for this unit.</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Evidence shall show that knowledge has been acquired of safe working practices and testing installations in hazardous areas.</w:t>
            </w:r>
          </w:p>
          <w:p w:rsidR="00000000" w:rsidP="00196F22">
            <w:pPr>
              <w:pStyle w:val="BodyText"/>
              <w:rPr>
                <w:lang w:val="en-NZ"/>
              </w:rPr>
            </w:pPr>
            <w:r w:rsidRPr="00196F22">
              <w:t>All knowledge and skills detailed in this unit should be contextualised to current industry practices and technologies.</w:t>
            </w:r>
          </w:p>
        </w:tc>
      </w:tr>
      <w:tr w:rsidTr="00014B1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KS01-EM07</w:t>
            </w:r>
            <w:r w:rsidRPr="00196F22">
              <w:rPr>
                <w:rStyle w:val="SpecialBold"/>
              </w:rPr>
              <w:t>3A</w:t>
            </w:r>
          </w:p>
        </w:tc>
        <w:tc>
          <w:tcPr>
            <w:tcW w:w="693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Ex reeling cable repair - verification</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Evidence shall show an understanding of Ex reeling cable repair - verification to an extent indicated by the following aspects:</w:t>
            </w:r>
          </w:p>
        </w:tc>
      </w:tr>
      <w:tr w:rsidTr="00014B1D">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T1</w:t>
            </w:r>
            <w:r w:rsidRPr="00196F22">
              <w:tab/>
              <w:t>Cable types encompassing:</w:t>
            </w:r>
          </w:p>
          <w:p w:rsidR="00000000" w:rsidRPr="00196F22" w:rsidP="00196F22">
            <w:pPr>
              <w:pStyle w:val="ListBullet2"/>
            </w:pPr>
            <w:r w:rsidRPr="00196F22">
              <w:t>cable construction, materials and design features;</w:t>
            </w:r>
          </w:p>
          <w:p w:rsidR="00000000" w:rsidRPr="00196F22" w:rsidP="00196F22">
            <w:pPr>
              <w:pStyle w:val="ListBullet2"/>
            </w:pPr>
            <w:r w:rsidRPr="00196F22">
              <w:t>function of each design feature;</w:t>
            </w:r>
          </w:p>
          <w:p w:rsidR="00000000" w:rsidRPr="00196F22" w:rsidP="00196F22">
            <w:pPr>
              <w:pStyle w:val="ListBullet2"/>
            </w:pPr>
            <w:r w:rsidRPr="00196F22">
              <w:t>conditions under which cables should be stored;</w:t>
            </w:r>
          </w:p>
          <w:p w:rsidR="00000000" w:rsidRPr="00196F22" w:rsidP="00196F22">
            <w:pPr>
              <w:pStyle w:val="ListBullet2"/>
            </w:pPr>
            <w:r w:rsidRPr="00196F22">
              <w:t>Standards to which cables are manufactured; and</w:t>
            </w:r>
          </w:p>
          <w:p w:rsidR="00000000" w:rsidP="00196F22">
            <w:pPr>
              <w:pStyle w:val="ListBullet2"/>
              <w:rPr>
                <w:lang w:val="en-NZ"/>
              </w:rPr>
            </w:pPr>
            <w:r w:rsidRPr="00196F22">
              <w:t>typical applications.</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T2</w:t>
            </w:r>
            <w:r w:rsidRPr="00196F22">
              <w:tab/>
              <w:t>Cable repair preparation and conductor splicing methods encompassing:</w:t>
            </w:r>
          </w:p>
          <w:p w:rsidR="00000000" w:rsidRPr="00196F22" w:rsidP="00196F22">
            <w:pPr>
              <w:pStyle w:val="ListBullet2"/>
            </w:pPr>
            <w:r w:rsidRPr="00196F22">
              <w:t xml:space="preserve">criteria for determining the </w:t>
            </w:r>
            <w:r w:rsidRPr="00196F22">
              <w:t>section of cable suitable to be joined;</w:t>
            </w:r>
          </w:p>
          <w:p w:rsidR="00000000" w:rsidRPr="00196F22" w:rsidP="00196F22">
            <w:pPr>
              <w:pStyle w:val="ListBullet2"/>
            </w:pPr>
            <w:r w:rsidRPr="00196F22">
              <w:t>cable preparation and methods; and</w:t>
            </w:r>
          </w:p>
          <w:p w:rsidR="00000000" w:rsidP="00196F22">
            <w:pPr>
              <w:pStyle w:val="ListBullet2"/>
              <w:rPr>
                <w:lang w:val="en-NZ"/>
              </w:rPr>
            </w:pPr>
            <w:r w:rsidRPr="00196F22">
              <w:t>splicing methods and application for power, pilot and earthing conductors.</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T3</w:t>
            </w:r>
            <w:r w:rsidRPr="00196F22">
              <w:tab/>
              <w:t>Replacement of cable insulation encompassing:</w:t>
            </w:r>
          </w:p>
          <w:p w:rsidR="00000000" w:rsidRPr="00196F22" w:rsidP="00196F22">
            <w:pPr>
              <w:pStyle w:val="ListBullet2"/>
            </w:pPr>
            <w:r w:rsidRPr="00196F22">
              <w:t>preparation of a power conductors prior to the application of insulation;</w:t>
            </w:r>
          </w:p>
          <w:p w:rsidR="00000000" w:rsidRPr="00196F22" w:rsidP="00196F22">
            <w:pPr>
              <w:pStyle w:val="ListBullet2"/>
            </w:pPr>
            <w:r w:rsidRPr="00196F22">
              <w:t>types of insulation repair tapes and their application; and</w:t>
            </w:r>
          </w:p>
          <w:p w:rsidR="00000000" w:rsidP="00196F22">
            <w:pPr>
              <w:pStyle w:val="ListBullet2"/>
              <w:rPr>
                <w:lang w:val="en-NZ"/>
              </w:rPr>
            </w:pPr>
            <w:r w:rsidRPr="00196F22">
              <w:t>techniques for applying insulation repair tape.</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T4</w:t>
            </w:r>
            <w:r w:rsidRPr="00196F22">
              <w:tab/>
              <w:t>Techniques for joining pliable wire armour.</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T5</w:t>
            </w:r>
            <w:r w:rsidRPr="00196F22">
              <w:tab/>
              <w:t>Replacing and repair</w:t>
            </w:r>
            <w:r w:rsidRPr="00196F22">
              <w:t>ing cable sheath encompassing:</w:t>
            </w:r>
          </w:p>
          <w:p w:rsidR="00000000" w:rsidRPr="00196F22" w:rsidP="00196F22">
            <w:pPr>
              <w:pStyle w:val="ListBullet2"/>
            </w:pPr>
            <w:r w:rsidRPr="00196F22">
              <w:t>techniques used in replacing cable sheath;</w:t>
            </w:r>
          </w:p>
          <w:p w:rsidR="00000000" w:rsidRPr="00196F22" w:rsidP="00196F22">
            <w:pPr>
              <w:pStyle w:val="ListBullet2"/>
            </w:pPr>
            <w:r w:rsidRPr="00196F22">
              <w:t>setting up a vulcanizer to vulcanize a repair; and</w:t>
            </w:r>
          </w:p>
          <w:p w:rsidR="00000000" w:rsidP="00196F22">
            <w:pPr>
              <w:pStyle w:val="ListBullet2"/>
              <w:rPr>
                <w:lang w:val="en-NZ"/>
              </w:rPr>
            </w:pPr>
            <w:r w:rsidRPr="00196F22">
              <w:t>vulcanizing techniques and issues.</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T6</w:t>
            </w:r>
            <w:r w:rsidRPr="00196F22">
              <w:tab/>
              <w:t>Electrical fundamentals and testing techniques encompassing:</w:t>
            </w:r>
          </w:p>
          <w:p w:rsidR="00000000" w:rsidRPr="00196F22" w:rsidP="00196F22">
            <w:pPr>
              <w:pStyle w:val="ListBullet2"/>
            </w:pPr>
            <w:r w:rsidRPr="00196F22">
              <w:t>Nature of electrical current and charge.</w:t>
            </w:r>
          </w:p>
          <w:p w:rsidR="00000000" w:rsidRPr="00196F22" w:rsidP="00196F22">
            <w:pPr>
              <w:pStyle w:val="ListBullet2"/>
            </w:pPr>
            <w:r w:rsidRPr="00196F22">
              <w:t>Sources of electricity.</w:t>
            </w:r>
          </w:p>
          <w:p w:rsidR="00000000" w:rsidRPr="00196F22" w:rsidP="00196F22">
            <w:pPr>
              <w:pStyle w:val="ListBullet2"/>
            </w:pPr>
            <w:r w:rsidRPr="00196F22">
              <w:t>Effects of current.</w:t>
            </w:r>
          </w:p>
          <w:p w:rsidR="00000000" w:rsidRPr="00196F22" w:rsidP="00196F22">
            <w:pPr>
              <w:pStyle w:val="ListBullet2"/>
            </w:pPr>
            <w:r w:rsidRPr="00196F22">
              <w:t>Single-source single-load circuits — components that make up the circuit;</w:t>
            </w:r>
          </w:p>
          <w:p w:rsidR="00000000" w:rsidRPr="00196F22" w:rsidP="00196F22">
            <w:pPr>
              <w:pStyle w:val="ListBullet2"/>
            </w:pPr>
            <w:r w:rsidRPr="00196F22">
              <w:t>the relationship between voltage and current.</w:t>
            </w:r>
          </w:p>
          <w:p w:rsidR="00000000" w:rsidRPr="00196F22" w:rsidP="00196F22">
            <w:pPr>
              <w:pStyle w:val="ListBullet3"/>
            </w:pPr>
            <w:r w:rsidRPr="00196F22">
              <w:t>Consequences of a short-circuit and an open-circui</w:t>
            </w:r>
            <w:r w:rsidRPr="00196F22">
              <w:t>t.</w:t>
            </w:r>
          </w:p>
          <w:p w:rsidR="00000000" w:rsidRPr="00196F22" w:rsidP="00196F22">
            <w:pPr>
              <w:pStyle w:val="ListBullet2"/>
            </w:pPr>
            <w:r w:rsidRPr="00196F22">
              <w:t>Insulation materials and properties; and types and applications in cable technology.</w:t>
            </w:r>
          </w:p>
          <w:p w:rsidR="00000000" w:rsidRPr="00196F22" w:rsidP="00196F22">
            <w:pPr>
              <w:pStyle w:val="ListBullet2"/>
            </w:pPr>
            <w:r w:rsidRPr="00196F22">
              <w:t xml:space="preserve">Conducting materials, properties; factor affecting resistance; </w:t>
            </w:r>
          </w:p>
          <w:p w:rsidR="00000000" w:rsidRPr="00196F22" w:rsidP="00196F22">
            <w:pPr>
              <w:pStyle w:val="ListBullet2"/>
            </w:pPr>
            <w:r w:rsidRPr="00196F22">
              <w:t>types and applications in cable technology.</w:t>
            </w:r>
          </w:p>
          <w:p w:rsidR="00000000" w:rsidRPr="00196F22" w:rsidP="00196F22">
            <w:pPr>
              <w:pStyle w:val="ListBullet2"/>
            </w:pPr>
            <w:r w:rsidRPr="00196F22">
              <w:t>Semiconducting materials and semiconducting properties;</w:t>
            </w:r>
          </w:p>
          <w:p w:rsidR="00000000" w:rsidRPr="00196F22" w:rsidP="00196F22">
            <w:pPr>
              <w:pStyle w:val="ListBullet2"/>
            </w:pPr>
            <w:r w:rsidRPr="00196F22">
              <w:t>types and applications in cable technology.</w:t>
            </w:r>
          </w:p>
          <w:p w:rsidR="00000000" w:rsidRPr="00196F22" w:rsidP="00196F22">
            <w:pPr>
              <w:pStyle w:val="ListBullet3"/>
            </w:pPr>
            <w:r w:rsidRPr="00196F22">
              <w:t>Electrical parameters of cables and their measurement.</w:t>
            </w:r>
          </w:p>
          <w:p w:rsidR="00000000" w:rsidRPr="00196F22" w:rsidP="00196F22">
            <w:pPr>
              <w:pStyle w:val="ListBullet3"/>
            </w:pPr>
            <w:r w:rsidRPr="00196F22">
              <w:t>Care and handling of testing devices and requirement of measuring instruments to have current calibration certification.</w:t>
            </w:r>
          </w:p>
          <w:p w:rsidR="00000000" w:rsidP="00196F22">
            <w:pPr>
              <w:pStyle w:val="ListBullet3"/>
              <w:rPr>
                <w:lang w:val="en-NZ"/>
              </w:rPr>
            </w:pPr>
            <w:r w:rsidRPr="00196F22">
              <w:t>Types of devices used for testing c</w:t>
            </w:r>
            <w:r w:rsidRPr="00196F22">
              <w:t>ables.</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T7</w:t>
            </w:r>
            <w:r w:rsidRPr="00196F22">
              <w:tab/>
              <w:t>Testing design parameters of cables and cable assemblies encompassing—</w:t>
            </w:r>
          </w:p>
          <w:p w:rsidR="00000000" w:rsidRPr="00196F22" w:rsidP="00196F22">
            <w:pPr>
              <w:pStyle w:val="ListBullet2"/>
            </w:pPr>
            <w:r w:rsidRPr="00196F22">
              <w:t>causes of inaccuracies and overcoming them;</w:t>
            </w:r>
          </w:p>
          <w:p w:rsidR="00000000" w:rsidRPr="00196F22" w:rsidP="00196F22">
            <w:pPr>
              <w:pStyle w:val="ListBullet2"/>
            </w:pPr>
            <w:r w:rsidRPr="00196F22">
              <w:t>test device set up and safety procedures;</w:t>
            </w:r>
          </w:p>
          <w:p w:rsidR="00000000" w:rsidRPr="00196F22" w:rsidP="00196F22">
            <w:pPr>
              <w:pStyle w:val="ListBullet2"/>
            </w:pPr>
            <w:r w:rsidRPr="00196F22">
              <w:t>interpreting test readings; and</w:t>
            </w:r>
          </w:p>
          <w:p w:rsidR="00000000" w:rsidRPr="00196F22" w:rsidP="00196F22">
            <w:pPr>
              <w:pStyle w:val="ListBullet2"/>
            </w:pPr>
            <w:r w:rsidRPr="00196F22">
              <w:t>test results that show a cable complies with the Standards requirements.</w:t>
            </w:r>
          </w:p>
          <w:p w:rsidR="00000000" w:rsidP="00196F22">
            <w:pPr>
              <w:pStyle w:val="BodyText"/>
              <w:rPr>
                <w:lang w:val="en-NZ"/>
              </w:rPr>
            </w:pPr>
            <w:r w:rsidRPr="00196F22">
              <w:t>NOTE: Cable tests include continuity, phase rotation, insulation resistance, high-voltage proof test, partial break test, symmetrical load test and sheath hardness tests.</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T8</w:t>
            </w:r>
            <w:r w:rsidRPr="00196F22">
              <w:tab/>
              <w:t>Reeling</w:t>
            </w:r>
            <w:r w:rsidRPr="00196F22">
              <w:t>, trailing and flexible cable plug and coupler inspection and fitting techniques encompassing:</w:t>
            </w:r>
          </w:p>
          <w:p w:rsidR="00000000" w:rsidRPr="00196F22" w:rsidP="00196F22">
            <w:pPr>
              <w:pStyle w:val="ListBullet2"/>
            </w:pPr>
            <w:r w:rsidRPr="00196F22">
              <w:t>Types of plugs and couplers.</w:t>
            </w:r>
          </w:p>
          <w:p w:rsidR="00000000" w:rsidRPr="00196F22" w:rsidP="00196F22">
            <w:pPr>
              <w:pStyle w:val="ListBullet2"/>
            </w:pPr>
            <w:r w:rsidRPr="00196F22">
              <w:t>Inspection process and techniques:-</w:t>
            </w:r>
          </w:p>
          <w:p w:rsidR="00000000" w:rsidRPr="00196F22" w:rsidP="00196F22">
            <w:pPr>
              <w:pStyle w:val="ListBullet3"/>
            </w:pPr>
            <w:r w:rsidRPr="00196F22">
              <w:t>parts of plug and couplers that are required to be inspected;</w:t>
            </w:r>
          </w:p>
          <w:p w:rsidR="00000000" w:rsidRPr="00196F22" w:rsidP="00196F22">
            <w:pPr>
              <w:pStyle w:val="ListBullet3"/>
            </w:pPr>
            <w:r w:rsidRPr="00196F22">
              <w:t>inspection procedures; and</w:t>
            </w:r>
          </w:p>
          <w:p w:rsidR="00000000" w:rsidRPr="00196F22" w:rsidP="00196F22">
            <w:pPr>
              <w:pStyle w:val="ListBullet3"/>
            </w:pPr>
            <w:r w:rsidRPr="00196F22">
              <w:t>condition of each part effecting fitness for service.</w:t>
            </w:r>
          </w:p>
          <w:p w:rsidR="00000000" w:rsidRPr="00196F22" w:rsidP="00196F22">
            <w:pPr>
              <w:pStyle w:val="ListBullet2"/>
            </w:pPr>
            <w:r w:rsidRPr="00196F22">
              <w:t>Fitting processes and techniques:-</w:t>
            </w:r>
          </w:p>
          <w:p w:rsidR="00000000" w:rsidRPr="00196F22" w:rsidP="00196F22">
            <w:pPr>
              <w:pStyle w:val="ListBullet3"/>
            </w:pPr>
            <w:r w:rsidRPr="00196F22">
              <w:t>factors affecting the correct fitting of plug and coupler;</w:t>
            </w:r>
          </w:p>
          <w:p w:rsidR="00000000" w:rsidRPr="00196F22" w:rsidP="00196F22">
            <w:pPr>
              <w:pStyle w:val="ListBullet3"/>
            </w:pPr>
            <w:r w:rsidRPr="00196F22">
              <w:t>cable preparation requirements and techniques; and</w:t>
            </w:r>
          </w:p>
          <w:p w:rsidR="00000000" w:rsidRPr="00196F22" w:rsidP="00196F22">
            <w:pPr>
              <w:pStyle w:val="ListBullet3"/>
            </w:pPr>
            <w:r w:rsidRPr="00196F22">
              <w:t>conductor termination methods and techniques.</w:t>
            </w:r>
          </w:p>
        </w:tc>
      </w:tr>
    </w:tbl>
    <w:p w:rsidR="00000000" w:rsidRPr="00196F22" w:rsidP="00196F22">
      <w:pPr>
        <w:pStyle w:val="BodyText"/>
      </w:pPr>
    </w:p>
    <w:p w:rsidR="00000000" w:rsidRPr="00196F22" w:rsidP="00196F22">
      <w:pPr>
        <w:pStyle w:val="AllowPageBreak"/>
      </w:pPr>
    </w:p>
    <w:p w:rsidR="00000000" w:rsidRPr="00196F22" w:rsidP="00196F22">
      <w:pPr>
        <w:pStyle w:val="Heading1"/>
      </w:pPr>
      <w:bookmarkStart w:id="10" w:name="O_586238"/>
      <w:bookmarkEnd w:id="10"/>
      <w:r w:rsidRPr="00196F22">
        <w:t>Evidence Guide</w:t>
      </w:r>
    </w:p>
    <w:tbl>
      <w:tblPr>
        <w:tblW w:w="0" w:type="auto"/>
        <w:tblLayout w:type="fixed"/>
        <w:tblCellMar>
          <w:left w:w="62" w:type="dxa"/>
          <w:right w:w="62" w:type="dxa"/>
        </w:tblCellMar>
        <w:tblLook w:val="0000"/>
      </w:tblPr>
      <w:tblGrid>
        <w:gridCol w:w="2157"/>
        <w:gridCol w:w="720"/>
        <w:gridCol w:w="540"/>
        <w:gridCol w:w="5043"/>
      </w:tblGrid>
      <w:tr w:rsidTr="00014B1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EVIDENCE GUIDE</w:t>
            </w:r>
          </w:p>
        </w:tc>
      </w:tr>
      <w:tr w:rsidTr="00014B1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9</w:t>
            </w:r>
            <w:r w:rsidRPr="00196F22">
              <w:t>) This provides essential advice for assessment of the unit and must be read in conjunction with the performance criteria and the range statement of the unit and the Training Package Assessment Guidelines.</w:t>
            </w:r>
          </w:p>
          <w:p w:rsidR="00000000" w:rsidP="00196F22">
            <w:pPr>
              <w:pStyle w:val="BodyText"/>
              <w:rPr>
                <w:lang w:val="en-NZ"/>
              </w:rPr>
            </w:pPr>
            <w:r w:rsidRPr="00196F22">
              <w:t>The Evidence Guide forms an integral part of this unit. It must be used in conjunction with all components parts of this unit and performed in accordance with the Assessment Guidelines of this Training Package.</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9</w:t>
            </w:r>
            <w:r w:rsidRPr="00196F22">
              <w:t>.</w:t>
            </w:r>
            <w:r w:rsidRPr="00196F22">
              <w:rPr>
                <w:rStyle w:val="SpecialBold"/>
              </w:rPr>
              <w:t>1</w:t>
            </w:r>
            <w:r w:rsidRPr="00196F22">
              <w:t xml:space="preserve">) </w:t>
            </w:r>
          </w:p>
          <w:p w:rsidR="00000000" w:rsidRPr="00196F22" w:rsidP="00196F22">
            <w:pPr>
              <w:pStyle w:val="BodyText"/>
            </w:pPr>
            <w:r w:rsidRPr="00196F22">
              <w:t>Longitudinal competency development approaches to assessment, such as Profiling, require data to be reliably gathered in a form that can be consistently interpreted over time. This approach is best utilised in Apprenticeship programs and reduces assessment</w:t>
            </w:r>
            <w:r w:rsidRPr="00196F2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96F22">
              <w:t>ncy in a realistically simulated work environment. It is recognised that, in some circumstances, assessment in part or full can occur outside the workplace. However, it must be in accord with industry and regulatory policy.</w:t>
            </w:r>
          </w:p>
          <w:p w:rsidR="00000000" w:rsidRPr="00196F22" w:rsidP="00196F22">
            <w:pPr>
              <w:pStyle w:val="BodyText"/>
            </w:pPr>
            <w:r w:rsidRPr="00196F22">
              <w:t xml:space="preserve">Methods chosen for a particular </w:t>
            </w:r>
            <w:r w:rsidRPr="00196F22">
              <w:t>assessment will be influenced by various factors. These include the extent of the assessment, the most effective locations for the assessment activities to take place, access to physical resources, additional safety measures that may be required and the cr</w:t>
            </w:r>
            <w:r w:rsidRPr="00196F22">
              <w:t>itical nature of the competencies being assessed.</w:t>
            </w:r>
          </w:p>
          <w:p w:rsidR="00000000" w:rsidRPr="00196F22" w:rsidP="00196F22">
            <w:pPr>
              <w:pStyle w:val="BodyText"/>
            </w:pPr>
            <w:r w:rsidRPr="00196F22">
              <w:t xml:space="preserve">The critical safety nature of working with electricity, electrical equipment, gas or any other hazardous substance/material carries risk in deeming a person competent. Sources of evidence need to be 'rich' </w:t>
            </w:r>
            <w:r w:rsidRPr="00196F22">
              <w:t>in nature to minimise error in judgment.</w:t>
            </w:r>
          </w:p>
          <w:p w:rsidR="00000000" w:rsidP="00196F22">
            <w:pPr>
              <w:pStyle w:val="BodyText"/>
              <w:rPr>
                <w:lang w:val="en-NZ"/>
              </w:rPr>
            </w:pPr>
            <w:r w:rsidRPr="00196F22">
              <w:t xml:space="preserve">Activities associated with normal everyday work influence decisions about how/how much the data gathered will contribute to its 'richness'. Some skills are more critical to safety and operational requirements while </w:t>
            </w:r>
            <w:r w:rsidRPr="00196F22">
              <w:t>the same skills may be more or less frequently practised. These points are raised for the assessors to consider when choosing an assessment method and developing assessment instruments. Sample assessment instruments are included for Assessors in the Assess</w:t>
            </w:r>
            <w:r w:rsidRPr="00196F22">
              <w:t>ment Guidelines of this Training Package.</w:t>
            </w:r>
          </w:p>
        </w:tc>
      </w:tr>
      <w:tr w:rsidTr="00014B1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9</w:t>
            </w:r>
            <w:r w:rsidRPr="00196F22">
              <w:t>.</w:t>
            </w:r>
            <w:r w:rsidRPr="00196F22">
              <w:rPr>
                <w:rStyle w:val="SpecialBold"/>
              </w:rPr>
              <w:t>2</w:t>
            </w:r>
            <w:r w:rsidRPr="00196F22">
              <w:t xml:space="preserve">) </w:t>
            </w:r>
          </w:p>
          <w:p w:rsidR="00000000" w:rsidP="00196F22">
            <w:pPr>
              <w:pStyle w:val="BodyText"/>
              <w:rPr>
                <w:lang w:val="en-NZ"/>
              </w:rPr>
            </w:pPr>
            <w:r w:rsidRPr="00196F22">
              <w:t>Before the critical aspects of evidence are considered all prerequisites shall be met.</w:t>
            </w:r>
          </w:p>
        </w:tc>
      </w:tr>
      <w:tr w:rsidTr="00014B1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196F22">
            <w:pPr>
              <w:pStyle w:val="ListBullet"/>
              <w:rPr>
                <w:lang w:val="en-NZ"/>
              </w:rPr>
            </w:pPr>
            <w:r w:rsidRPr="00196F22">
              <w:t>A representative body of work performance demonstrated within the timeframes typically expected of the discipline, work function and industrial environment. In particular this shall incorporate evidence that shows a candidate is able to:</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ListBullet2"/>
            </w:pPr>
            <w:r w:rsidRPr="00196F22">
              <w:t>Implement Occupational Health and Safety workplace procedures and practices, including the use of risk control measures as specified in the performance criteria and range statement</w:t>
            </w:r>
          </w:p>
          <w:p w:rsidR="00000000" w:rsidRPr="00196F22" w:rsidP="00196F22">
            <w:pPr>
              <w:pStyle w:val="ListBullet2"/>
            </w:pPr>
            <w:r w:rsidRPr="00196F22">
              <w:t>Apply sustainable energy principles and practices as specified in the perfo</w:t>
            </w:r>
            <w:r w:rsidRPr="00196F22">
              <w:t>rmance criteria and range statement</w:t>
            </w:r>
          </w:p>
          <w:p w:rsidR="00000000" w:rsidRPr="00196F22" w:rsidP="00196F22">
            <w:pPr>
              <w:pStyle w:val="ListBullet2"/>
            </w:pPr>
            <w:r w:rsidRPr="00196F22">
              <w:t>Demonstrate an understanding of the essential knowledge and associated skills as described in this unit.  It may be required by some jurisdictions that RTOs provide a percentile graded result for the purpose of regulator</w:t>
            </w:r>
            <w:r w:rsidRPr="00196F22">
              <w:t>y or licensing requirements.</w:t>
            </w:r>
          </w:p>
          <w:p w:rsidR="00000000" w:rsidRPr="00196F22" w:rsidP="00196F22">
            <w:pPr>
              <w:pStyle w:val="ListBullet2"/>
            </w:pPr>
            <w:r w:rsidRPr="00196F22">
              <w:t>Demonstrate an appropriate level of skills enabling employment</w:t>
            </w:r>
          </w:p>
          <w:p w:rsidR="00000000" w:rsidP="00196F22">
            <w:pPr>
              <w:pStyle w:val="ListBullet2"/>
              <w:rPr>
                <w:lang w:val="en-NZ"/>
              </w:rPr>
            </w:pPr>
            <w:r w:rsidRPr="00196F22">
              <w:t>Conduct work observing the relevant Anti Discrimination legislation, regulations, polices and workplace procedures</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96F22">
            <w:pPr>
              <w:pStyle w:val="ListBullet"/>
              <w:rPr>
                <w:lang w:val="en-NZ"/>
              </w:rPr>
            </w:pPr>
            <w:r w:rsidRPr="00196F22">
              <w:t>Demonstrated consistent performance across a</w:t>
            </w:r>
            <w:r w:rsidRPr="00196F22">
              <w:t xml:space="preserve"> representative range of contexts from the prescribed items below:</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96F22">
            <w:pPr>
              <w:pStyle w:val="ListBullet2"/>
              <w:rPr>
                <w:lang w:val="en-NZ"/>
              </w:rPr>
            </w:pPr>
            <w:r w:rsidRPr="00196F22">
              <w:t>as described in 8) and including:</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A</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Following OHS procedures.</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B</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Reviewing and ascertaining the viability of repair.</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Confirming expected outcomes of the repair work.</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D</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 xml:space="preserve">Comparing pre and post repair test results with requirements of compliance standards.  </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E</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Carrying out compliance measurements, tests and inspections correctly and safely.</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F</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Identifying non-compliance aspects of repaired cable and plugs/couplers assemblies from pre and post repair test results and compliance measurements, tests and inspections.</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G</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Documenting and issuing verification of compliance in accordance with establis</w:t>
            </w:r>
            <w:r w:rsidRPr="00196F22">
              <w:t>hed quality procedures.</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H</w:t>
            </w:r>
          </w:p>
        </w:tc>
        <w:tc>
          <w:tcPr>
            <w:tcW w:w="504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Applying relevant contingency management skills.</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9</w:t>
            </w:r>
            <w:r w:rsidRPr="00196F22">
              <w:t>.</w:t>
            </w:r>
            <w:r w:rsidRPr="00196F22">
              <w:rPr>
                <w:rStyle w:val="SpecialBold"/>
              </w:rPr>
              <w:t>3</w:t>
            </w:r>
            <w:r w:rsidRPr="00196F22">
              <w:t xml:space="preserve">) </w:t>
            </w:r>
          </w:p>
          <w:p w:rsidR="00000000" w:rsidRPr="00196F22" w:rsidP="00196F22">
            <w:pPr>
              <w:pStyle w:val="BodyText"/>
            </w:pPr>
            <w:r w:rsidRPr="00196F22">
              <w:t xml:space="preserve">This unit should be assessed as it relates to normal work practice using procedures, information and resources typical of </w:t>
            </w:r>
            <w:r w:rsidRPr="00196F22">
              <w:t>a workplace. This should include:</w:t>
            </w:r>
          </w:p>
          <w:p w:rsidR="00000000" w:rsidRPr="00196F22" w:rsidP="00196F22">
            <w:pPr>
              <w:pStyle w:val="ListBullet"/>
            </w:pPr>
            <w:r w:rsidRPr="00196F22">
              <w:t>OHS policy and work procedures and instructions.</w:t>
            </w:r>
          </w:p>
          <w:p w:rsidR="00000000" w:rsidRPr="00196F22" w:rsidP="00196F22">
            <w:pPr>
              <w:pStyle w:val="ListBullet"/>
            </w:pPr>
            <w:r w:rsidRPr="00196F22">
              <w:t>Suitable work environment, facilities, equipment and materials to undertake actual work as prescribed by this unit.</w:t>
            </w:r>
          </w:p>
          <w:p w:rsidR="00000000" w:rsidRPr="00196F22" w:rsidP="00196F22">
            <w:pPr>
              <w:pStyle w:val="BodyText"/>
            </w:pPr>
            <w:r w:rsidRPr="00196F22">
              <w:t>These should also be part of the formal learning/assessment environment.</w:t>
            </w:r>
          </w:p>
          <w:p w:rsidR="00000000" w:rsidRPr="00196F22" w:rsidP="00196F22">
            <w:pPr>
              <w:pStyle w:val="BodyText"/>
            </w:pPr>
            <w:r w:rsidRPr="00196F22">
              <w:t>Note:</w:t>
            </w:r>
          </w:p>
          <w:p w:rsidR="00000000" w:rsidP="00196F22">
            <w:pPr>
              <w:pStyle w:val="BodyText"/>
              <w:rPr>
                <w:lang w:val="en-NZ"/>
              </w:rPr>
            </w:pPr>
            <w:r w:rsidRPr="00196F22">
              <w:t>Where simulation is considered a suitable strategy for assessment, conditions must be authentic and as far as possible reproduce and replicate the workplace and be consistent wi</w:t>
            </w:r>
            <w:r w:rsidRPr="00196F22">
              <w:t>th the approved industry simulation policy.</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The resources used for assessment should reflect current industry practices in relation to testing installations in hazardous areas.</w:t>
            </w:r>
          </w:p>
        </w:tc>
      </w:tr>
      <w:tr w:rsidTr="00014B1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9</w:t>
            </w:r>
            <w:r w:rsidRPr="00196F22">
              <w:t>.</w:t>
            </w:r>
            <w:r w:rsidRPr="00196F22">
              <w:rPr>
                <w:rStyle w:val="SpecialBold"/>
              </w:rPr>
              <w:t>4</w:t>
            </w:r>
            <w:r w:rsidRPr="00196F22">
              <w:t xml:space="preserve">) </w:t>
            </w:r>
          </w:p>
          <w:p w:rsidR="00000000" w:rsidRPr="00196F22" w:rsidP="00196F22">
            <w:pPr>
              <w:pStyle w:val="BodyText"/>
            </w:pPr>
            <w:r w:rsidRPr="00196F22">
              <w:t>This unit shall be assessed by methods given in Volume 1, Part 3 'Assessment Guidelines'.</w:t>
            </w:r>
          </w:p>
          <w:p w:rsidR="00000000" w:rsidRPr="00196F22" w:rsidP="00196F22">
            <w:pPr>
              <w:pStyle w:val="BodyText"/>
            </w:pPr>
            <w:r w:rsidRPr="00196F22">
              <w:t>Note:</w:t>
            </w:r>
          </w:p>
          <w:p w:rsidR="00000000" w:rsidP="00196F22">
            <w:pPr>
              <w:pStyle w:val="BodyText"/>
              <w:rPr>
                <w:lang w:val="en-NZ"/>
              </w:rPr>
            </w:pPr>
            <w:r w:rsidRPr="00196F22">
              <w:t>Competent performance with inherent safe working practices is expected in the Industry to which this unit applies. This requires assessment in a structured envi</w:t>
            </w:r>
            <w:r w:rsidRPr="00196F22">
              <w:t>ronment primarily intended for learning/assessment which incorporates all necessary equipment and facilities for learners to develop and demonstrate the essential knowledge and skills described in this unit.</w:t>
            </w:r>
          </w:p>
        </w:tc>
      </w:tr>
      <w:tr w:rsidTr="00014B1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Concurrent assessment and relationship with o</w:t>
            </w:r>
            <w:r w:rsidRPr="00196F22">
              <w:rPr>
                <w:rStyle w:val="SpecialBold"/>
              </w:rPr>
              <w:t>ther units</w:t>
            </w:r>
          </w:p>
        </w:tc>
        <w:tc>
          <w:tcPr>
            <w:tcW w:w="6303" w:type="dxa"/>
            <w:gridSpan w:val="3"/>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9</w:t>
            </w:r>
            <w:r w:rsidRPr="00196F22">
              <w:t>.</w:t>
            </w:r>
            <w:r w:rsidRPr="00196F22">
              <w:rPr>
                <w:rStyle w:val="SpecialBold"/>
              </w:rPr>
              <w:t>5</w:t>
            </w:r>
            <w:r w:rsidRPr="00196F22">
              <w:t>)</w:t>
            </w:r>
          </w:p>
        </w:tc>
      </w:tr>
      <w:tr w:rsidTr="00014B1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For optimisation of training and assessment effort, competency development in this unit may be arranged concurrently with any of the following units:</w:t>
            </w:r>
          </w:p>
          <w:p w:rsidR="00000000" w:rsidRPr="00196F22" w:rsidP="00196F22">
            <w:pPr>
              <w:pStyle w:val="BodyText"/>
            </w:pPr>
            <w:r w:rsidRPr="00196F22">
              <w:t>UEENEEM070A</w:t>
            </w:r>
            <w:r w:rsidRPr="00196F22">
              <w:tab/>
              <w:t>Repair reeling, trailing and flexible cables</w:t>
            </w:r>
          </w:p>
          <w:p w:rsidR="00000000" w:rsidRPr="00196F22" w:rsidP="00196F22">
            <w:pPr>
              <w:pStyle w:val="BodyText"/>
            </w:pPr>
            <w:r w:rsidRPr="00196F22">
              <w:t>UEENEEM071A</w:t>
            </w:r>
            <w:r w:rsidRPr="00196F22">
              <w:tab/>
              <w:t>Test reeling, tra</w:t>
            </w:r>
            <w:r w:rsidRPr="00196F22">
              <w:t>iling and flexible cables</w:t>
            </w:r>
          </w:p>
          <w:p w:rsidR="00000000" w:rsidRPr="00196F22" w:rsidP="00196F22">
            <w:pPr>
              <w:pStyle w:val="BodyText"/>
            </w:pPr>
            <w:r w:rsidRPr="00196F22">
              <w:t>UEENEEM072A</w:t>
            </w:r>
            <w:r w:rsidRPr="00196F22">
              <w:tab/>
              <w:t>Inspect and fit plugs/couplers for reeling, trailing and flexible cables</w:t>
            </w:r>
          </w:p>
        </w:tc>
      </w:tr>
    </w:tbl>
    <w:p w:rsidR="00014B1D" w:rsidP="00196F22">
      <w:pPr>
        <w:pStyle w:val="BodyText"/>
      </w:pPr>
    </w:p>
    <w:p w:rsidR="00014B1D" w:rsidP="00196F22">
      <w:pPr>
        <w:pStyle w:val="BodyText"/>
      </w:pPr>
    </w:p>
    <w:p w:rsidR="00000000" w:rsidRPr="00196F22" w:rsidP="00196F22">
      <w:pPr>
        <w:pStyle w:val="Heading1"/>
      </w:pPr>
      <w:bookmarkStart w:id="11" w:name="O_586237"/>
      <w:bookmarkEnd w:id="11"/>
      <w:r w:rsidRPr="00196F22">
        <w:t>Range Statement</w:t>
      </w:r>
    </w:p>
    <w:tbl>
      <w:tblPr>
        <w:tblW w:w="0" w:type="auto"/>
        <w:tblLayout w:type="fixed"/>
        <w:tblCellMar>
          <w:left w:w="62" w:type="dxa"/>
          <w:right w:w="62" w:type="dxa"/>
        </w:tblCellMar>
        <w:tblLook w:val="0000"/>
      </w:tblPr>
      <w:tblGrid>
        <w:gridCol w:w="4227"/>
        <w:gridCol w:w="4233"/>
      </w:tblGrid>
      <w:tr w:rsidTr="00014B1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RANGE STATEMENT</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8</w:t>
            </w:r>
            <w:r w:rsidRPr="00196F22">
              <w:t>) This relates to the unit as a whole providing the range of contexts and conditions to which the performance criteria apply. It allows for different work environments and situations that will affect performance.</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Competency in this unit shall be demonstrated in relation to compliance verification of the repair of at least four separate cables, including the fitting of the plugs/couplers certified for each explosion-protection technique of flameproof (Ex 'd'), incre</w:t>
            </w:r>
            <w:r w:rsidRPr="00196F22">
              <w:t xml:space="preserve">ased safety (Ex 'e'), intrinsically safe (Ex 'i') and encapsulation-dusts (Ex 'mD'). Among the four cables for which competency is demonstrated, all of the following features shall be included: </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Cable features</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AS</w:t>
            </w:r>
            <w:r w:rsidRPr="00196F22">
              <w:t>/</w:t>
            </w:r>
            <w:r w:rsidRPr="00196F22">
              <w:rPr>
                <w:rStyle w:val="SpecialBold"/>
              </w:rPr>
              <w:t>NZS designated cable type</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Standard conductor construction</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209; 210; 240; 241; 260; 275; 409; 412.1; 440; 441.1; 441; 450; 455.</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Super flexible</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245.</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HV-EP-90 insulated</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441; 450; 455.</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Semi conductive extruded screens</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241; 245; 441.1; 441; 450; 455.</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Metal braided screens</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209; 210; 240; 260; 409; 440; 450.</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Interstitial earths</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241; 245; 275; 412.1; 441.1; 441; 450; 455.</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Interstitial pilots</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240; 260; 440; 450; 455.</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Central pilot</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209; 210; 241; 245; 275; 409; 441.1; 441.</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Pliable armour</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260; 412.1.</w:t>
            </w:r>
          </w:p>
        </w:tc>
      </w:tr>
      <w:tr w:rsidTr="00014B1D">
        <w:tblPrEx>
          <w:tblW w:w="0" w:type="auto"/>
          <w:tblLayout w:type="fixed"/>
          <w:tblCellMar>
            <w:left w:w="62" w:type="dxa"/>
            <w:right w:w="62" w:type="dxa"/>
          </w:tblCellMar>
          <w:tblLook w:val="0000"/>
        </w:tblPrEx>
        <w:tc>
          <w:tcPr>
            <w:tcW w:w="4227"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Sheath reinforcement</w:t>
            </w:r>
          </w:p>
        </w:tc>
        <w:tc>
          <w:tcPr>
            <w:tcW w:w="423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241</w:t>
            </w:r>
            <w:r w:rsidRPr="00196F22">
              <w:t>; 245; 274; 441.1; 441; 450; 455.</w:t>
            </w:r>
          </w:p>
        </w:tc>
      </w:tr>
      <w:tr w:rsidTr="00014B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Generic terms used throughout this Vocational Standard shall be regarded as part of the Range Statement in which competency is demonstrated. The definition of these and other terms that apply are given in Volume 2, Part 2</w:t>
            </w:r>
            <w:r w:rsidRPr="00196F22">
              <w:t>.1.</w:t>
            </w:r>
          </w:p>
        </w:tc>
      </w:tr>
    </w:tbl>
    <w:p w:rsidR="00014B1D" w:rsidP="00196F22">
      <w:pPr>
        <w:pStyle w:val="BodyText"/>
      </w:pPr>
    </w:p>
    <w:p w:rsidR="00014B1D" w:rsidP="00196F22">
      <w:pPr>
        <w:pStyle w:val="BodyText"/>
      </w:pPr>
    </w:p>
    <w:p w:rsidR="00000000" w:rsidRPr="00196F22" w:rsidP="00196F22">
      <w:pPr>
        <w:pStyle w:val="Heading1"/>
      </w:pPr>
      <w:bookmarkStart w:id="12" w:name="O_586236"/>
      <w:bookmarkEnd w:id="12"/>
      <w:r w:rsidRPr="00196F22">
        <w:t>Unit Sector(s)</w:t>
      </w:r>
    </w:p>
    <w:p w:rsidR="00000000" w:rsidRPr="00196F22" w:rsidP="00196F22">
      <w:pPr>
        <w:pStyle w:val="BodyText"/>
      </w:pPr>
      <w:r w:rsidRPr="00196F22">
        <w:t>Not Applicable</w:t>
      </w:r>
    </w:p>
    <w:p w:rsidR="00000000" w:rsidRPr="00196F22" w:rsidP="00196F22">
      <w:pPr>
        <w:pStyle w:val="AllowPageBreak"/>
      </w:pPr>
    </w:p>
    <w:p w:rsidR="00000000" w:rsidRPr="00196F22" w:rsidP="00196F22">
      <w:pPr>
        <w:pStyle w:val="Heading1"/>
      </w:pPr>
      <w:bookmarkStart w:id="13" w:name="O_586235"/>
      <w:bookmarkEnd w:id="13"/>
      <w:r w:rsidRPr="00196F22">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014B1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2</w:t>
            </w:r>
            <w:r w:rsidRPr="00196F22">
              <w:t>.</w:t>
            </w:r>
            <w:r w:rsidRPr="00196F22">
              <w:rPr>
                <w:rStyle w:val="SpecialBold"/>
              </w:rPr>
              <w:t>2</w:t>
            </w:r>
            <w:r w:rsidRPr="00196F22">
              <w:t xml:space="preserve">) </w:t>
            </w:r>
            <w:r w:rsidRPr="00196F22">
              <w:rPr>
                <w:rStyle w:val="SpecialBold"/>
              </w:rPr>
              <w:t>Literacy and numeracy skills</w:t>
            </w:r>
          </w:p>
          <w:p w:rsidR="00000000" w:rsidP="00196F22">
            <w:pPr>
              <w:pStyle w:val="BodyText"/>
              <w:rPr>
                <w:lang w:val="en-NZ"/>
              </w:rPr>
            </w:pPr>
            <w:r w:rsidRPr="00196F22">
              <w:t>Participants are best equipped to achieve competency in this unit if they have reading, writing and numeracy skills indicated by the following scales. Description of each scale is given in Volume 2, Part 3 'Literacy and Numeracy'</w:t>
            </w:r>
          </w:p>
        </w:tc>
      </w:tr>
      <w:tr w:rsidTr="00014B1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Reading</w:t>
            </w:r>
          </w:p>
        </w:tc>
        <w:tc>
          <w:tcPr>
            <w:tcW w:w="1182"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3</w:t>
            </w:r>
          </w:p>
        </w:tc>
        <w:tc>
          <w:tcPr>
            <w:tcW w:w="1738"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Writing</w:t>
            </w:r>
          </w:p>
        </w:tc>
        <w:tc>
          <w:tcPr>
            <w:tcW w:w="1182"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3</w:t>
            </w:r>
          </w:p>
        </w:tc>
        <w:tc>
          <w:tcPr>
            <w:tcW w:w="1720"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t>Numeracy</w:t>
            </w:r>
          </w:p>
        </w:tc>
        <w:tc>
          <w:tcPr>
            <w:tcW w:w="1186"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3</w:t>
            </w:r>
          </w:p>
        </w:tc>
      </w:tr>
    </w:tbl>
    <w:p w:rsidR="00014B1D" w:rsidP="00196F22">
      <w:pPr>
        <w:pStyle w:val="BodyText"/>
      </w:pPr>
    </w:p>
    <w:p w:rsidR="00014B1D" w:rsidP="00196F22">
      <w:pPr>
        <w:pStyle w:val="BodyText"/>
      </w:pPr>
    </w:p>
    <w:p w:rsidR="00000000" w:rsidRPr="00196F22" w:rsidP="00196F22">
      <w:pPr>
        <w:pStyle w:val="Heading1"/>
      </w:pPr>
      <w:bookmarkStart w:id="14" w:name="O_586234"/>
      <w:bookmarkEnd w:id="14"/>
      <w:r w:rsidRPr="00196F22">
        <w:t>Custom Content Section</w:t>
      </w:r>
    </w:p>
    <w:tbl>
      <w:tblPr>
        <w:tblW w:w="0" w:type="auto"/>
        <w:tblLayout w:type="fixed"/>
        <w:tblCellMar>
          <w:left w:w="62" w:type="dxa"/>
          <w:right w:w="62" w:type="dxa"/>
        </w:tblCellMar>
        <w:tblLook w:val="0000"/>
      </w:tblPr>
      <w:tblGrid>
        <w:gridCol w:w="2697"/>
        <w:gridCol w:w="5763"/>
      </w:tblGrid>
      <w:tr w:rsidTr="00014B1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196F22">
            <w:pPr>
              <w:pStyle w:val="BodyText"/>
              <w:rPr>
                <w:lang w:val="en-NZ"/>
              </w:rPr>
            </w:pPr>
            <w:r w:rsidRPr="00196F22">
              <w:rPr>
                <w:rStyle w:val="SpecialBold"/>
              </w:rPr>
              <w:t>5</w:t>
            </w:r>
            <w:r w:rsidRPr="00196F22">
              <w:t>)</w:t>
            </w:r>
          </w:p>
        </w:tc>
      </w:tr>
      <w:tr w:rsidTr="00014B1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96F22" w:rsidP="00196F22">
            <w:pPr>
              <w:pStyle w:val="BodyText"/>
            </w:pPr>
            <w:r w:rsidRPr="00196F22">
              <w:t>Hazards</w:t>
            </w:r>
          </w:p>
        </w:tc>
      </w:tr>
    </w:tbl>
    <w:p w:rsidR="00014B1D" w:rsidP="00196F22">
      <w:pPr>
        <w:pStyle w:val="BodyText"/>
      </w:pPr>
    </w:p>
    <w:p w:rsidR="00014B1D" w:rsidP="00196F22">
      <w:pPr>
        <w:pStyle w:val="BodyText"/>
      </w:pPr>
    </w:p>
    <w:p w:rsidR="00000000" w:rsidRPr="00196F22" w:rsidP="00196F22"/>
    <w:sectPr w:rsidSect="00196F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22" w:rsidRPr="00014B1D" w:rsidP="00014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1D" w:rsidP="00196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4B1D" w:rsidP="00196F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4B1D" w:rsidP="00196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22" w:rsidRPr="00014B1D" w:rsidP="00014B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1D" w:rsidRPr="002D2AF8" w:rsidP="00196F22">
    <w:pPr>
      <w:pStyle w:val="Header"/>
      <w:framePr w:wrap="around"/>
    </w:pPr>
    <w:r>
      <w:fldChar w:fldCharType="begin"/>
    </w:r>
    <w:r>
      <w:instrText xml:space="preserve"> TITLE   \* MERGEFORMAT </w:instrText>
    </w:r>
    <w:r>
      <w:fldChar w:fldCharType="separate"/>
    </w:r>
    <w:r>
      <w:t>UEENEEM073A Verify compliance of repaired reeling, trailing and flexible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14B1D" w:rsidP="00196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CF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8F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A26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F22"/>
    <w:pPr>
      <w:spacing w:before="360" w:after="60"/>
      <w:outlineLvl w:val="0"/>
    </w:pPr>
    <w:rPr>
      <w:sz w:val="32"/>
    </w:rPr>
  </w:style>
  <w:style w:type="paragraph" w:styleId="Heading2">
    <w:name w:val="heading 2"/>
    <w:basedOn w:val="HeadingBase"/>
    <w:next w:val="BodyText"/>
    <w:link w:val="Heading2Char"/>
    <w:qFormat/>
    <w:rsid w:val="00196F22"/>
    <w:pPr>
      <w:keepLines/>
      <w:spacing w:before="240" w:after="120"/>
      <w:outlineLvl w:val="1"/>
    </w:pPr>
    <w:rPr>
      <w:sz w:val="28"/>
      <w:szCs w:val="40"/>
    </w:rPr>
  </w:style>
  <w:style w:type="paragraph" w:styleId="Heading3">
    <w:name w:val="heading 3"/>
    <w:basedOn w:val="HeadingBase"/>
    <w:next w:val="BodyText"/>
    <w:link w:val="Heading3Char"/>
    <w:qFormat/>
    <w:rsid w:val="00196F22"/>
    <w:pPr>
      <w:spacing w:before="180" w:after="120"/>
      <w:outlineLvl w:val="2"/>
    </w:pPr>
    <w:rPr>
      <w:spacing w:val="-10"/>
      <w:kern w:val="32"/>
    </w:rPr>
  </w:style>
  <w:style w:type="paragraph" w:styleId="Heading4">
    <w:name w:val="heading 4"/>
    <w:basedOn w:val="HeadingBase"/>
    <w:next w:val="BodyText"/>
    <w:link w:val="Heading4Char"/>
    <w:qFormat/>
    <w:rsid w:val="00196F22"/>
    <w:pPr>
      <w:spacing w:before="160" w:after="120"/>
      <w:outlineLvl w:val="3"/>
    </w:pPr>
    <w:rPr>
      <w:sz w:val="22"/>
    </w:rPr>
  </w:style>
  <w:style w:type="paragraph" w:styleId="Heading5">
    <w:name w:val="heading 5"/>
    <w:basedOn w:val="HeadingBase"/>
    <w:next w:val="Normal"/>
    <w:link w:val="Heading5Char"/>
    <w:qFormat/>
    <w:rsid w:val="00196F22"/>
    <w:pPr>
      <w:spacing w:before="80"/>
      <w:outlineLvl w:val="4"/>
    </w:pPr>
    <w:rPr>
      <w:color w:val="918585"/>
      <w:sz w:val="20"/>
    </w:rPr>
  </w:style>
  <w:style w:type="paragraph" w:styleId="Heading6">
    <w:name w:val="heading 6"/>
    <w:basedOn w:val="HeadingBase"/>
    <w:next w:val="Normal"/>
    <w:link w:val="Heading6Char"/>
    <w:qFormat/>
    <w:rsid w:val="00196F22"/>
    <w:pPr>
      <w:spacing w:before="60"/>
      <w:outlineLvl w:val="5"/>
    </w:pPr>
    <w:rPr>
      <w:color w:val="918585"/>
      <w:sz w:val="20"/>
    </w:rPr>
  </w:style>
  <w:style w:type="paragraph" w:styleId="Heading7">
    <w:name w:val="heading 7"/>
    <w:basedOn w:val="Normal"/>
    <w:next w:val="Normal"/>
    <w:link w:val="Heading7Char"/>
    <w:qFormat/>
    <w:rsid w:val="00196F22"/>
    <w:pPr>
      <w:ind w:left="720"/>
      <w:outlineLvl w:val="6"/>
    </w:pPr>
    <w:rPr>
      <w:i/>
    </w:rPr>
  </w:style>
  <w:style w:type="paragraph" w:styleId="Heading8">
    <w:name w:val="heading 8"/>
    <w:basedOn w:val="Normal"/>
    <w:next w:val="Normal"/>
    <w:link w:val="Heading8Char"/>
    <w:qFormat/>
    <w:rsid w:val="00196F22"/>
    <w:pPr>
      <w:ind w:left="720"/>
      <w:outlineLvl w:val="7"/>
    </w:pPr>
    <w:rPr>
      <w:i/>
    </w:rPr>
  </w:style>
  <w:style w:type="paragraph" w:styleId="Heading9">
    <w:name w:val="heading 9"/>
    <w:basedOn w:val="Normal"/>
    <w:next w:val="Normal"/>
    <w:link w:val="Heading9Char"/>
    <w:qFormat/>
    <w:rsid w:val="00196F22"/>
    <w:pPr>
      <w:ind w:left="720"/>
      <w:outlineLvl w:val="8"/>
    </w:pPr>
    <w:rPr>
      <w:i/>
    </w:rPr>
  </w:style>
  <w:style w:type="character" w:default="1" w:styleId="DefaultParagraphFont">
    <w:name w:val="Default Paragraph Font"/>
    <w:uiPriority w:val="1"/>
    <w:unhideWhenUsed/>
    <w:rsid w:val="00196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F22"/>
  </w:style>
  <w:style w:type="character" w:customStyle="1" w:styleId="Heading1Char">
    <w:name w:val="Heading 1 Char"/>
    <w:basedOn w:val="DefaultParagraphFont"/>
    <w:link w:val="Heading1"/>
    <w:rsid w:val="00196F22"/>
    <w:rPr>
      <w:rFonts w:ascii="Times New Roman" w:eastAsia="Times New Roman" w:hAnsi="Times New Roman" w:cs="Times New Roman"/>
      <w:b/>
      <w:sz w:val="32"/>
      <w:szCs w:val="20"/>
      <w:lang w:eastAsia="en-US"/>
    </w:rPr>
  </w:style>
  <w:style w:type="paragraph" w:styleId="BodyText">
    <w:name w:val="Body Text"/>
    <w:basedOn w:val="Normal"/>
    <w:link w:val="BodyTextChar"/>
    <w:rsid w:val="00196F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F22"/>
    <w:rPr>
      <w:rFonts w:ascii="Times New Roman" w:eastAsia="Times New Roman" w:hAnsi="Times New Roman" w:cs="Times New Roman"/>
      <w:sz w:val="24"/>
      <w:lang w:eastAsia="en-US"/>
    </w:rPr>
  </w:style>
  <w:style w:type="paragraph" w:styleId="ListBullet">
    <w:name w:val="List Bullet"/>
    <w:basedOn w:val="List"/>
    <w:rsid w:val="00196F22"/>
    <w:pPr>
      <w:numPr>
        <w:numId w:val="14"/>
      </w:numPr>
      <w:tabs>
        <w:tab w:val="clear" w:pos="340"/>
      </w:tabs>
      <w:spacing w:before="40" w:after="40"/>
    </w:pPr>
  </w:style>
  <w:style w:type="character" w:customStyle="1" w:styleId="SpecialBold">
    <w:name w:val="Special Bold"/>
    <w:basedOn w:val="DefaultParagraphFont"/>
    <w:rsid w:val="00196F22"/>
    <w:rPr>
      <w:b/>
      <w:spacing w:val="0"/>
    </w:rPr>
  </w:style>
  <w:style w:type="paragraph" w:styleId="ListBullet2">
    <w:name w:val="List Bullet 2"/>
    <w:basedOn w:val="List2"/>
    <w:rsid w:val="00196F22"/>
    <w:pPr>
      <w:numPr>
        <w:numId w:val="15"/>
      </w:numPr>
      <w:tabs>
        <w:tab w:val="clear" w:pos="680"/>
      </w:tabs>
    </w:pPr>
  </w:style>
  <w:style w:type="character" w:styleId="Emphasis">
    <w:name w:val="Emphasis"/>
    <w:basedOn w:val="DefaultParagraphFont"/>
    <w:qFormat/>
    <w:rsid w:val="00196F22"/>
    <w:rPr>
      <w:i/>
    </w:rPr>
  </w:style>
  <w:style w:type="paragraph" w:customStyle="1" w:styleId="SuperHeading">
    <w:name w:val="SuperHeading"/>
    <w:basedOn w:val="Normal"/>
    <w:rsid w:val="00196F22"/>
    <w:pPr>
      <w:spacing w:before="240" w:after="120"/>
      <w:outlineLvl w:val="0"/>
    </w:pPr>
    <w:rPr>
      <w:rFonts w:ascii="Times New Roman" w:hAnsi="Times New Roman"/>
      <w:b/>
      <w:sz w:val="32"/>
    </w:rPr>
  </w:style>
  <w:style w:type="paragraph" w:customStyle="1" w:styleId="AllowPageBreak">
    <w:name w:val="AllowPageBreak"/>
    <w:rsid w:val="00196F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6F22"/>
    <w:pPr>
      <w:numPr>
        <w:numId w:val="3"/>
      </w:numPr>
      <w:tabs>
        <w:tab w:val="clear" w:pos="1021"/>
      </w:tabs>
      <w:ind w:left="1037" w:hanging="357"/>
    </w:pPr>
  </w:style>
  <w:style w:type="character" w:customStyle="1" w:styleId="Heading2Char">
    <w:name w:val="Heading 2 Char"/>
    <w:basedOn w:val="DefaultParagraphFont"/>
    <w:link w:val="Heading2"/>
    <w:rsid w:val="00196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F22"/>
    <w:rPr>
      <w:rFonts w:ascii="Courier New" w:eastAsia="Times New Roman" w:hAnsi="Courier New" w:cs="Times New Roman"/>
      <w:i/>
      <w:szCs w:val="20"/>
      <w:lang w:eastAsia="en-US"/>
    </w:rPr>
  </w:style>
  <w:style w:type="paragraph" w:customStyle="1" w:styleId="HeadingBase">
    <w:name w:val="Heading Base"/>
    <w:rsid w:val="00196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F22"/>
    <w:pPr>
      <w:tabs>
        <w:tab w:val="right" w:leader="dot" w:pos="9072"/>
      </w:tabs>
      <w:ind w:left="567"/>
    </w:pPr>
    <w:rPr>
      <w:szCs w:val="22"/>
    </w:rPr>
  </w:style>
  <w:style w:type="paragraph" w:customStyle="1" w:styleId="TOCBase">
    <w:name w:val="TOC Base"/>
    <w:rsid w:val="00196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F22"/>
    <w:pPr>
      <w:tabs>
        <w:tab w:val="right" w:leader="dot" w:pos="9072"/>
      </w:tabs>
      <w:spacing w:before="40" w:after="40"/>
      <w:ind w:left="284"/>
    </w:pPr>
    <w:rPr>
      <w:rFonts w:ascii="Times New Roman" w:hAnsi="Times New Roman"/>
    </w:rPr>
  </w:style>
  <w:style w:type="paragraph" w:styleId="TOC1">
    <w:name w:val="toc 1"/>
    <w:basedOn w:val="TOCBase"/>
    <w:next w:val="Normal"/>
    <w:rsid w:val="00196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F22"/>
    <w:rPr>
      <w:rFonts w:ascii="Times New Roman" w:eastAsia="Times New Roman" w:hAnsi="Times New Roman" w:cs="Times New Roman"/>
      <w:sz w:val="16"/>
      <w:lang w:eastAsia="en-US"/>
    </w:rPr>
  </w:style>
  <w:style w:type="paragraph" w:styleId="Title">
    <w:name w:val="Title"/>
    <w:basedOn w:val="HeadingBase"/>
    <w:link w:val="TitleChar"/>
    <w:qFormat/>
    <w:rsid w:val="00196F22"/>
    <w:pPr>
      <w:spacing w:before="5040"/>
      <w:jc w:val="center"/>
    </w:pPr>
    <w:rPr>
      <w:sz w:val="48"/>
      <w:szCs w:val="72"/>
      <w:lang w:val="en-US"/>
    </w:rPr>
  </w:style>
  <w:style w:type="character" w:customStyle="1" w:styleId="TitleChar">
    <w:name w:val="Title Char"/>
    <w:basedOn w:val="DefaultParagraphFont"/>
    <w:link w:val="Title"/>
    <w:rsid w:val="00196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F22"/>
    <w:pPr>
      <w:tabs>
        <w:tab w:val="left" w:pos="3600"/>
        <w:tab w:val="left" w:pos="3958"/>
      </w:tabs>
    </w:pPr>
  </w:style>
  <w:style w:type="paragraph" w:styleId="List">
    <w:name w:val="List"/>
    <w:basedOn w:val="BodyText"/>
    <w:next w:val="BodyText"/>
    <w:rsid w:val="00196F22"/>
    <w:pPr>
      <w:tabs>
        <w:tab w:val="left" w:pos="340"/>
      </w:tabs>
      <w:spacing w:before="60" w:after="60"/>
      <w:ind w:left="340" w:hanging="340"/>
    </w:pPr>
  </w:style>
  <w:style w:type="paragraph" w:customStyle="1" w:styleId="Note">
    <w:name w:val="Note"/>
    <w:basedOn w:val="BodyText"/>
    <w:rsid w:val="00196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F22"/>
    <w:pPr>
      <w:framePr w:wrap="auto" w:hAnchor="text" w:y="6049"/>
    </w:pPr>
    <w:rPr>
      <w:color w:val="000000"/>
      <w:sz w:val="40"/>
    </w:rPr>
  </w:style>
  <w:style w:type="paragraph" w:customStyle="1" w:styleId="TOCTitle">
    <w:name w:val="TOCTitle"/>
    <w:basedOn w:val="Heading1"/>
    <w:rsid w:val="00196F22"/>
    <w:pPr>
      <w:spacing w:after="240"/>
      <w:jc w:val="center"/>
      <w:outlineLvl w:val="9"/>
    </w:pPr>
    <w:rPr>
      <w:caps/>
    </w:rPr>
  </w:style>
  <w:style w:type="paragraph" w:customStyle="1" w:styleId="Version">
    <w:name w:val="Version"/>
    <w:rsid w:val="00196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F22"/>
    <w:pPr>
      <w:keepNext w:val="0"/>
      <w:tabs>
        <w:tab w:val="right" w:pos="4176"/>
      </w:tabs>
      <w:ind w:left="198" w:hanging="198"/>
    </w:pPr>
    <w:rPr>
      <w:rFonts w:ascii="Garamond" w:hAnsi="Garamond"/>
    </w:rPr>
  </w:style>
  <w:style w:type="paragraph" w:styleId="IndexHeading">
    <w:name w:val="index heading"/>
    <w:basedOn w:val="Normal"/>
    <w:next w:val="Index1"/>
    <w:semiHidden/>
    <w:rsid w:val="00196F22"/>
    <w:pPr>
      <w:spacing w:before="120" w:after="120"/>
    </w:pPr>
    <w:rPr>
      <w:rFonts w:ascii="Arial" w:hAnsi="Arial"/>
      <w:b/>
      <w:color w:val="918585"/>
      <w:sz w:val="24"/>
    </w:rPr>
  </w:style>
  <w:style w:type="paragraph" w:styleId="Header">
    <w:name w:val="header"/>
    <w:basedOn w:val="Normal"/>
    <w:link w:val="HeaderChar"/>
    <w:rsid w:val="00196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F22"/>
    <w:rPr>
      <w:rFonts w:ascii="Times New Roman" w:eastAsia="Times New Roman" w:hAnsi="Times New Roman" w:cs="Times New Roman"/>
      <w:sz w:val="16"/>
      <w:szCs w:val="20"/>
      <w:lang w:val="en-GB" w:eastAsia="en-US"/>
    </w:rPr>
  </w:style>
  <w:style w:type="paragraph" w:customStyle="1" w:styleId="Chapter">
    <w:name w:val="Chapter"/>
    <w:basedOn w:val="Normal"/>
    <w:rsid w:val="00196F22"/>
    <w:pPr>
      <w:spacing w:before="240"/>
    </w:pPr>
    <w:rPr>
      <w:rFonts w:ascii="Times New Roman" w:hAnsi="Times New Roman"/>
      <w:smallCaps/>
      <w:spacing w:val="80"/>
      <w:sz w:val="28"/>
    </w:rPr>
  </w:style>
  <w:style w:type="paragraph" w:customStyle="1" w:styleId="InChapter">
    <w:name w:val="InChapter"/>
    <w:basedOn w:val="Heading3"/>
    <w:rsid w:val="00196F22"/>
    <w:pPr>
      <w:spacing w:after="240"/>
      <w:outlineLvl w:val="9"/>
    </w:pPr>
    <w:rPr>
      <w:noProof/>
    </w:rPr>
  </w:style>
  <w:style w:type="paragraph" w:styleId="Index2">
    <w:name w:val="index 2"/>
    <w:basedOn w:val="Normal"/>
    <w:next w:val="Normal"/>
    <w:semiHidden/>
    <w:rsid w:val="00196F22"/>
    <w:pPr>
      <w:tabs>
        <w:tab w:val="right" w:pos="4176"/>
      </w:tabs>
      <w:ind w:left="568" w:hanging="284"/>
    </w:pPr>
    <w:rPr>
      <w:rFonts w:ascii="Garamond" w:hAnsi="Garamond"/>
    </w:rPr>
  </w:style>
  <w:style w:type="paragraph" w:customStyle="1" w:styleId="Byline">
    <w:name w:val="Byline"/>
    <w:rsid w:val="00196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F22"/>
    <w:pPr>
      <w:tabs>
        <w:tab w:val="clear" w:pos="3600"/>
        <w:tab w:val="clear" w:pos="3958"/>
      </w:tabs>
      <w:jc w:val="right"/>
    </w:pPr>
  </w:style>
  <w:style w:type="paragraph" w:styleId="Caption">
    <w:name w:val="caption"/>
    <w:basedOn w:val="BodyText"/>
    <w:next w:val="Normal"/>
    <w:qFormat/>
    <w:rsid w:val="00196F22"/>
    <w:pPr>
      <w:framePr w:w="2268" w:hSpace="181" w:vSpace="181" w:wrap="around" w:vAnchor="text" w:hAnchor="page" w:x="1135" w:y="285" w:anchorLock="1"/>
    </w:pPr>
    <w:rPr>
      <w:i/>
    </w:rPr>
  </w:style>
  <w:style w:type="paragraph" w:customStyle="1" w:styleId="MiniTOCTitle">
    <w:name w:val="MiniTOCTitle"/>
    <w:basedOn w:val="Heading4"/>
    <w:rsid w:val="00196F22"/>
    <w:pPr>
      <w:spacing w:before="240"/>
      <w:outlineLvl w:val="9"/>
    </w:pPr>
    <w:rPr>
      <w:noProof/>
      <w:sz w:val="24"/>
    </w:rPr>
  </w:style>
  <w:style w:type="paragraph" w:customStyle="1" w:styleId="MiniTOCItem">
    <w:name w:val="MiniTOCItem"/>
    <w:basedOn w:val="ListBullet"/>
    <w:rsid w:val="00196F22"/>
    <w:pPr>
      <w:numPr>
        <w:numId w:val="0"/>
      </w:numPr>
      <w:tabs>
        <w:tab w:val="right" w:leader="dot" w:pos="6521"/>
      </w:tabs>
      <w:spacing w:before="0" w:after="0"/>
    </w:pPr>
  </w:style>
  <w:style w:type="paragraph" w:customStyle="1" w:styleId="TOFTitle">
    <w:name w:val="TOFTitle"/>
    <w:basedOn w:val="TOCTitle"/>
    <w:rsid w:val="00196F22"/>
  </w:style>
  <w:style w:type="paragraph" w:styleId="TableofFigures">
    <w:name w:val="table of figures"/>
    <w:basedOn w:val="Normal"/>
    <w:next w:val="Normal"/>
    <w:semiHidden/>
    <w:rsid w:val="00196F22"/>
    <w:pPr>
      <w:tabs>
        <w:tab w:val="right" w:leader="dot" w:pos="9072"/>
      </w:tabs>
      <w:ind w:left="970" w:hanging="403"/>
    </w:pPr>
    <w:rPr>
      <w:rFonts w:ascii="Times New Roman" w:hAnsi="Times New Roman"/>
      <w:b/>
    </w:rPr>
  </w:style>
  <w:style w:type="paragraph" w:styleId="ListNumber">
    <w:name w:val="List Number"/>
    <w:basedOn w:val="List"/>
    <w:rsid w:val="00196F22"/>
    <w:pPr>
      <w:numPr>
        <w:numId w:val="12"/>
      </w:numPr>
    </w:pPr>
  </w:style>
  <w:style w:type="character" w:customStyle="1" w:styleId="WingdingSymbols">
    <w:name w:val="Wingding Symbols"/>
    <w:rsid w:val="00196F22"/>
    <w:rPr>
      <w:rFonts w:ascii="Wingdings" w:hAnsi="Wingdings"/>
    </w:rPr>
  </w:style>
  <w:style w:type="paragraph" w:customStyle="1" w:styleId="TableHeading">
    <w:name w:val="Table Heading"/>
    <w:basedOn w:val="HeadingBase"/>
    <w:rsid w:val="00196F22"/>
    <w:pPr>
      <w:keepLines/>
      <w:pBdr>
        <w:bottom w:val="single" w:sz="6" w:space="1" w:color="918585"/>
      </w:pBdr>
      <w:spacing w:before="240"/>
    </w:pPr>
  </w:style>
  <w:style w:type="character" w:customStyle="1" w:styleId="HotSpot">
    <w:name w:val="HotSpot"/>
    <w:rsid w:val="00196F22"/>
    <w:rPr>
      <w:color w:val="0033CC"/>
      <w:u w:val="none"/>
    </w:rPr>
  </w:style>
  <w:style w:type="paragraph" w:customStyle="1" w:styleId="BodyTextRight">
    <w:name w:val="Body Text Right"/>
    <w:basedOn w:val="BodyText"/>
    <w:rsid w:val="00196F22"/>
    <w:pPr>
      <w:spacing w:before="0" w:after="0"/>
      <w:jc w:val="right"/>
    </w:pPr>
  </w:style>
  <w:style w:type="paragraph" w:styleId="Index3">
    <w:name w:val="index 3"/>
    <w:basedOn w:val="ListNumber2"/>
    <w:next w:val="Normal"/>
    <w:semiHidden/>
    <w:rsid w:val="00196F22"/>
    <w:pPr>
      <w:numPr>
        <w:numId w:val="0"/>
      </w:numPr>
      <w:tabs>
        <w:tab w:val="right" w:leader="dot" w:pos="4176"/>
      </w:tabs>
    </w:pPr>
  </w:style>
  <w:style w:type="paragraph" w:styleId="ListNumber2">
    <w:name w:val="List Number 2"/>
    <w:basedOn w:val="List2"/>
    <w:rsid w:val="00196F22"/>
    <w:pPr>
      <w:numPr>
        <w:numId w:val="11"/>
      </w:numPr>
      <w:tabs>
        <w:tab w:val="clear" w:pos="1060"/>
      </w:tabs>
    </w:pPr>
  </w:style>
  <w:style w:type="paragraph" w:customStyle="1" w:styleId="MarginNote">
    <w:name w:val="Margin Note"/>
    <w:basedOn w:val="BodyText"/>
    <w:rsid w:val="00196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F22"/>
    <w:rPr>
      <w:sz w:val="32"/>
    </w:rPr>
  </w:style>
  <w:style w:type="paragraph" w:customStyle="1" w:styleId="HeadingProcedure">
    <w:name w:val="Heading Procedure"/>
    <w:basedOn w:val="HeadingBase"/>
    <w:next w:val="Normal"/>
    <w:rsid w:val="00196F22"/>
    <w:pPr>
      <w:tabs>
        <w:tab w:val="left" w:pos="0"/>
      </w:tabs>
      <w:spacing w:before="120" w:after="60"/>
    </w:pPr>
    <w:rPr>
      <w:i/>
      <w:color w:val="918585"/>
      <w:sz w:val="22"/>
    </w:rPr>
  </w:style>
  <w:style w:type="paragraph" w:customStyle="1" w:styleId="TableBodyText">
    <w:name w:val="Table Body Text"/>
    <w:basedOn w:val="BodyText"/>
    <w:rsid w:val="00196F22"/>
    <w:pPr>
      <w:spacing w:before="60" w:after="60"/>
    </w:pPr>
  </w:style>
  <w:style w:type="paragraph" w:styleId="ListContinue">
    <w:name w:val="List Continue"/>
    <w:basedOn w:val="List"/>
    <w:rsid w:val="00196F22"/>
    <w:pPr>
      <w:ind w:firstLine="0"/>
    </w:pPr>
  </w:style>
  <w:style w:type="paragraph" w:customStyle="1" w:styleId="ListNote">
    <w:name w:val="List Note"/>
    <w:basedOn w:val="List"/>
    <w:rsid w:val="00196F22"/>
    <w:pPr>
      <w:pBdr>
        <w:top w:val="single" w:sz="6" w:space="2" w:color="918585"/>
        <w:bottom w:val="single" w:sz="6" w:space="2" w:color="918585"/>
      </w:pBdr>
      <w:tabs>
        <w:tab w:val="left" w:pos="1021"/>
      </w:tabs>
      <w:ind w:firstLine="0"/>
    </w:pPr>
  </w:style>
  <w:style w:type="paragraph" w:customStyle="1" w:styleId="Warning">
    <w:name w:val="Warning"/>
    <w:basedOn w:val="BodyText"/>
    <w:rsid w:val="00196F22"/>
    <w:pPr>
      <w:shd w:val="clear" w:color="auto" w:fill="D9D9D9"/>
      <w:tabs>
        <w:tab w:val="left" w:pos="992"/>
      </w:tabs>
      <w:ind w:left="119" w:right="119"/>
    </w:pPr>
    <w:rPr>
      <w:sz w:val="20"/>
    </w:rPr>
  </w:style>
  <w:style w:type="paragraph" w:customStyle="1" w:styleId="MarginIcons">
    <w:name w:val="Margin Icons"/>
    <w:basedOn w:val="BodyText"/>
    <w:rsid w:val="00196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F22"/>
    <w:rPr>
      <w:rFonts w:ascii="Courier New" w:hAnsi="Courier New"/>
    </w:rPr>
  </w:style>
  <w:style w:type="paragraph" w:customStyle="1" w:styleId="NoteBullet">
    <w:name w:val="Note Bullet"/>
    <w:basedOn w:val="Note"/>
    <w:rsid w:val="00196F22"/>
    <w:pPr>
      <w:tabs>
        <w:tab w:val="clear" w:pos="680"/>
      </w:tabs>
      <w:spacing w:before="60" w:after="60"/>
    </w:pPr>
  </w:style>
  <w:style w:type="paragraph" w:customStyle="1" w:styleId="SubHeading2">
    <w:name w:val="SubHeading2"/>
    <w:basedOn w:val="HeadingBase"/>
    <w:rsid w:val="00196F22"/>
    <w:pPr>
      <w:spacing w:before="240" w:after="60"/>
    </w:pPr>
    <w:rPr>
      <w:sz w:val="20"/>
    </w:rPr>
  </w:style>
  <w:style w:type="paragraph" w:customStyle="1" w:styleId="SubHeading1">
    <w:name w:val="SubHeading1"/>
    <w:basedOn w:val="HeadingBase"/>
    <w:rsid w:val="00196F22"/>
    <w:pPr>
      <w:spacing w:before="240" w:after="60"/>
    </w:pPr>
    <w:rPr>
      <w:color w:val="918585"/>
      <w:sz w:val="22"/>
    </w:rPr>
  </w:style>
  <w:style w:type="paragraph" w:customStyle="1" w:styleId="SideHeading">
    <w:name w:val="Side Heading"/>
    <w:basedOn w:val="HeadingBase"/>
    <w:rsid w:val="00196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F22"/>
    <w:pPr>
      <w:numPr>
        <w:numId w:val="13"/>
      </w:numPr>
    </w:pPr>
  </w:style>
  <w:style w:type="paragraph" w:styleId="PlainText">
    <w:name w:val="Plain Text"/>
    <w:basedOn w:val="Normal"/>
    <w:link w:val="PlainTextChar"/>
    <w:rsid w:val="00196F22"/>
    <w:rPr>
      <w:sz w:val="20"/>
    </w:rPr>
  </w:style>
  <w:style w:type="character" w:customStyle="1" w:styleId="PlainTextChar">
    <w:name w:val="Plain Text Char"/>
    <w:basedOn w:val="DefaultParagraphFont"/>
    <w:link w:val="PlainText"/>
    <w:rsid w:val="00196F22"/>
    <w:rPr>
      <w:rFonts w:ascii="Courier New" w:eastAsia="Times New Roman" w:hAnsi="Courier New" w:cs="Times New Roman"/>
      <w:sz w:val="20"/>
      <w:szCs w:val="20"/>
      <w:lang w:eastAsia="en-US"/>
    </w:rPr>
  </w:style>
  <w:style w:type="character" w:customStyle="1" w:styleId="MenuOption">
    <w:name w:val="Menu Option"/>
    <w:basedOn w:val="DefaultParagraphFont"/>
    <w:rsid w:val="00196F22"/>
    <w:rPr>
      <w:b/>
      <w:smallCaps/>
    </w:rPr>
  </w:style>
  <w:style w:type="paragraph" w:customStyle="1" w:styleId="TableListNumber">
    <w:name w:val="Table List Number"/>
    <w:basedOn w:val="ListNumber"/>
    <w:rsid w:val="00196F22"/>
    <w:pPr>
      <w:numPr>
        <w:numId w:val="0"/>
      </w:numPr>
    </w:pPr>
  </w:style>
  <w:style w:type="paragraph" w:styleId="TOC4">
    <w:name w:val="toc 4"/>
    <w:basedOn w:val="TOCBase"/>
    <w:next w:val="Normal"/>
    <w:semiHidden/>
    <w:rsid w:val="00196F22"/>
    <w:pPr>
      <w:tabs>
        <w:tab w:val="right" w:leader="dot" w:pos="9071"/>
      </w:tabs>
      <w:ind w:left="1701"/>
    </w:pPr>
  </w:style>
  <w:style w:type="paragraph" w:customStyle="1" w:styleId="ListAlpha">
    <w:name w:val="List Alpha"/>
    <w:basedOn w:val="List"/>
    <w:rsid w:val="00196F22"/>
    <w:pPr>
      <w:numPr>
        <w:numId w:val="10"/>
      </w:numPr>
    </w:pPr>
  </w:style>
  <w:style w:type="paragraph" w:customStyle="1" w:styleId="ListAlpha2">
    <w:name w:val="List Alpha 2"/>
    <w:basedOn w:val="List2"/>
    <w:rsid w:val="00196F22"/>
    <w:pPr>
      <w:numPr>
        <w:numId w:val="9"/>
      </w:numPr>
    </w:pPr>
  </w:style>
  <w:style w:type="paragraph" w:styleId="List2">
    <w:name w:val="List 2"/>
    <w:basedOn w:val="BodyText"/>
    <w:rsid w:val="00196F22"/>
    <w:pPr>
      <w:tabs>
        <w:tab w:val="left" w:pos="680"/>
      </w:tabs>
      <w:spacing w:before="60" w:after="60"/>
      <w:ind w:left="680" w:hanging="340"/>
    </w:pPr>
  </w:style>
  <w:style w:type="paragraph" w:styleId="List3">
    <w:name w:val="List 3"/>
    <w:basedOn w:val="BodyText"/>
    <w:rsid w:val="00196F22"/>
    <w:pPr>
      <w:tabs>
        <w:tab w:val="left" w:pos="1021"/>
      </w:tabs>
      <w:spacing w:before="60" w:after="60"/>
      <w:ind w:left="1020" w:hanging="340"/>
    </w:pPr>
  </w:style>
  <w:style w:type="paragraph" w:styleId="List4">
    <w:name w:val="List 4"/>
    <w:basedOn w:val="BodyText"/>
    <w:rsid w:val="00196F22"/>
    <w:pPr>
      <w:tabs>
        <w:tab w:val="left" w:pos="1361"/>
      </w:tabs>
      <w:spacing w:before="60" w:after="60"/>
      <w:ind w:left="1361" w:hanging="340"/>
    </w:pPr>
  </w:style>
  <w:style w:type="paragraph" w:styleId="List5">
    <w:name w:val="List 5"/>
    <w:basedOn w:val="BodyText"/>
    <w:rsid w:val="00196F22"/>
    <w:pPr>
      <w:tabs>
        <w:tab w:val="left" w:pos="1701"/>
      </w:tabs>
      <w:spacing w:before="60" w:after="60"/>
      <w:ind w:left="1701" w:hanging="340"/>
    </w:pPr>
  </w:style>
  <w:style w:type="paragraph" w:styleId="ListBullet4">
    <w:name w:val="List Bullet 4"/>
    <w:basedOn w:val="List4"/>
    <w:rsid w:val="00196F22"/>
    <w:pPr>
      <w:numPr>
        <w:numId w:val="4"/>
      </w:numPr>
    </w:pPr>
  </w:style>
  <w:style w:type="paragraph" w:styleId="ListBullet5">
    <w:name w:val="List Bullet 5"/>
    <w:basedOn w:val="List5"/>
    <w:rsid w:val="00196F22"/>
    <w:pPr>
      <w:numPr>
        <w:numId w:val="5"/>
      </w:numPr>
    </w:pPr>
  </w:style>
  <w:style w:type="paragraph" w:styleId="ListContinue2">
    <w:name w:val="List Continue 2"/>
    <w:basedOn w:val="List2"/>
    <w:rsid w:val="00196F22"/>
    <w:pPr>
      <w:ind w:firstLine="0"/>
    </w:pPr>
  </w:style>
  <w:style w:type="paragraph" w:styleId="ListContinue3">
    <w:name w:val="List Continue 3"/>
    <w:basedOn w:val="List3"/>
    <w:rsid w:val="00196F22"/>
    <w:pPr>
      <w:ind w:left="1021" w:firstLine="0"/>
    </w:pPr>
  </w:style>
  <w:style w:type="paragraph" w:styleId="ListContinue4">
    <w:name w:val="List Continue 4"/>
    <w:basedOn w:val="List4"/>
    <w:rsid w:val="00196F22"/>
    <w:pPr>
      <w:ind w:firstLine="0"/>
    </w:pPr>
  </w:style>
  <w:style w:type="paragraph" w:styleId="ListContinue5">
    <w:name w:val="List Continue 5"/>
    <w:basedOn w:val="List5"/>
    <w:rsid w:val="00196F22"/>
    <w:pPr>
      <w:ind w:firstLine="0"/>
    </w:pPr>
  </w:style>
  <w:style w:type="paragraph" w:styleId="ListNumber3">
    <w:name w:val="List Number 3"/>
    <w:basedOn w:val="List3"/>
    <w:rsid w:val="00196F22"/>
    <w:pPr>
      <w:numPr>
        <w:numId w:val="6"/>
      </w:numPr>
    </w:pPr>
  </w:style>
  <w:style w:type="paragraph" w:styleId="ListNumber4">
    <w:name w:val="List Number 4"/>
    <w:basedOn w:val="List4"/>
    <w:rsid w:val="00196F22"/>
    <w:pPr>
      <w:numPr>
        <w:numId w:val="7"/>
      </w:numPr>
    </w:pPr>
  </w:style>
  <w:style w:type="paragraph" w:styleId="ListNumber5">
    <w:name w:val="List Number 5"/>
    <w:basedOn w:val="List5"/>
    <w:rsid w:val="00196F22"/>
    <w:pPr>
      <w:numPr>
        <w:numId w:val="8"/>
      </w:numPr>
    </w:pPr>
  </w:style>
  <w:style w:type="paragraph" w:styleId="BlockText">
    <w:name w:val="Block Text"/>
    <w:basedOn w:val="Normal"/>
    <w:rsid w:val="00196F22"/>
    <w:pPr>
      <w:spacing w:after="120"/>
      <w:ind w:left="1440" w:right="1440"/>
    </w:pPr>
  </w:style>
  <w:style w:type="character" w:customStyle="1" w:styleId="Subscript">
    <w:name w:val="Subscript"/>
    <w:basedOn w:val="DefaultParagraphFont"/>
    <w:rsid w:val="00196F22"/>
    <w:rPr>
      <w:sz w:val="16"/>
      <w:vertAlign w:val="subscript"/>
    </w:rPr>
  </w:style>
  <w:style w:type="character" w:customStyle="1" w:styleId="Superscript">
    <w:name w:val="Superscript"/>
    <w:basedOn w:val="DefaultParagraphFont"/>
    <w:rsid w:val="00196F22"/>
    <w:rPr>
      <w:sz w:val="16"/>
      <w:vertAlign w:val="superscript"/>
    </w:rPr>
  </w:style>
  <w:style w:type="character" w:customStyle="1" w:styleId="Symbols">
    <w:name w:val="Symbols"/>
    <w:basedOn w:val="DefaultParagraphFont"/>
    <w:rsid w:val="00196F22"/>
    <w:rPr>
      <w:rFonts w:ascii="Symbol" w:hAnsi="Symbol"/>
    </w:rPr>
  </w:style>
  <w:style w:type="character" w:customStyle="1" w:styleId="MenuOptions">
    <w:name w:val="Menu Options"/>
    <w:basedOn w:val="DefaultParagraphFont"/>
    <w:rsid w:val="00196F22"/>
    <w:rPr>
      <w:rFonts w:ascii="Arial Narrow" w:hAnsi="Arial Narrow"/>
      <w:smallCaps/>
    </w:rPr>
  </w:style>
  <w:style w:type="character" w:customStyle="1" w:styleId="Buttons">
    <w:name w:val="Buttons"/>
    <w:basedOn w:val="DefaultParagraphFont"/>
    <w:rsid w:val="00196F22"/>
    <w:rPr>
      <w:b/>
    </w:rPr>
  </w:style>
  <w:style w:type="character" w:customStyle="1" w:styleId="Underlined">
    <w:name w:val="Underlined"/>
    <w:basedOn w:val="DefaultParagraphFont"/>
    <w:rsid w:val="00196F22"/>
    <w:rPr>
      <w:u w:val="single"/>
    </w:rPr>
  </w:style>
  <w:style w:type="paragraph" w:customStyle="1" w:styleId="TableBodyTextRight">
    <w:name w:val="Table Body Text Right"/>
    <w:basedOn w:val="TableBodyText"/>
    <w:rsid w:val="00196F22"/>
    <w:pPr>
      <w:widowControl w:val="0"/>
      <w:autoSpaceDE w:val="0"/>
      <w:autoSpaceDN w:val="0"/>
      <w:adjustRightInd w:val="0"/>
      <w:jc w:val="right"/>
    </w:pPr>
    <w:rPr>
      <w:rFonts w:cs="Arial"/>
      <w:szCs w:val="18"/>
    </w:rPr>
  </w:style>
  <w:style w:type="paragraph" w:customStyle="1" w:styleId="CopyrightText">
    <w:name w:val="Copyright Text"/>
    <w:basedOn w:val="BodyText"/>
    <w:rsid w:val="00196F22"/>
    <w:rPr>
      <w:sz w:val="18"/>
    </w:rPr>
  </w:style>
  <w:style w:type="paragraph" w:customStyle="1" w:styleId="BodySmallRight">
    <w:name w:val="Body Small Right"/>
    <w:basedOn w:val="BodyTextRight"/>
    <w:rsid w:val="00196F22"/>
    <w:rPr>
      <w:sz w:val="18"/>
      <w:szCs w:val="18"/>
    </w:rPr>
  </w:style>
  <w:style w:type="paragraph" w:customStyle="1" w:styleId="MarginEdition">
    <w:name w:val="Margin Edition"/>
    <w:basedOn w:val="MarginNote"/>
    <w:rsid w:val="00196F22"/>
    <w:pPr>
      <w:spacing w:before="0" w:after="0"/>
    </w:pPr>
    <w:rPr>
      <w:rFonts w:ascii="Times New Roman" w:hAnsi="Times New Roman"/>
      <w:color w:val="999999"/>
    </w:rPr>
  </w:style>
  <w:style w:type="paragraph" w:customStyle="1" w:styleId="Spacer">
    <w:name w:val="Spacer"/>
    <w:basedOn w:val="Normal"/>
    <w:rsid w:val="00196F22"/>
    <w:rPr>
      <w:sz w:val="2"/>
      <w:szCs w:val="2"/>
    </w:rPr>
  </w:style>
  <w:style w:type="character" w:customStyle="1" w:styleId="Small">
    <w:name w:val="Small"/>
    <w:basedOn w:val="DefaultParagraphFont"/>
    <w:rsid w:val="00196F22"/>
    <w:rPr>
      <w:sz w:val="16"/>
    </w:rPr>
  </w:style>
  <w:style w:type="paragraph" w:customStyle="1" w:styleId="WideTable">
    <w:name w:val="Wide Table"/>
    <w:basedOn w:val="Normal"/>
    <w:rsid w:val="00196F22"/>
    <w:pPr>
      <w:ind w:left="-1418"/>
    </w:pPr>
    <w:rPr>
      <w:sz w:val="2"/>
      <w:szCs w:val="2"/>
    </w:rPr>
  </w:style>
  <w:style w:type="character" w:styleId="PageNumber">
    <w:name w:val="page number"/>
    <w:basedOn w:val="DefaultParagraphFont"/>
    <w:rsid w:val="00196F22"/>
  </w:style>
  <w:style w:type="paragraph" w:styleId="Quote">
    <w:name w:val="Quote"/>
    <w:basedOn w:val="Heading1"/>
    <w:link w:val="QuoteChar"/>
    <w:qFormat/>
    <w:rsid w:val="00196F22"/>
    <w:rPr>
      <w:b w:val="0"/>
      <w:sz w:val="72"/>
      <w:szCs w:val="72"/>
      <w:lang w:val="en-NZ"/>
    </w:rPr>
  </w:style>
  <w:style w:type="character" w:customStyle="1" w:styleId="QuoteChar">
    <w:name w:val="Quote Char"/>
    <w:basedOn w:val="DefaultParagraphFont"/>
    <w:link w:val="Quote"/>
    <w:rsid w:val="00196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F22"/>
    <w:pPr>
      <w:pageBreakBefore/>
    </w:pPr>
  </w:style>
  <w:style w:type="paragraph" w:customStyle="1" w:styleId="Border">
    <w:name w:val="Border"/>
    <w:basedOn w:val="Normal"/>
    <w:qFormat/>
    <w:rsid w:val="00196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F22"/>
    <w:rPr>
      <w:b/>
      <w:bCs/>
      <w:i/>
      <w:iCs/>
      <w:color w:val="auto"/>
    </w:rPr>
  </w:style>
  <w:style w:type="paragraph" w:styleId="IntenseQuote">
    <w:name w:val="Intense Quote"/>
    <w:basedOn w:val="Normal"/>
    <w:next w:val="Normal"/>
    <w:link w:val="IntenseQuoteChar"/>
    <w:uiPriority w:val="30"/>
    <w:qFormat/>
    <w:rsid w:val="00196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F22"/>
    <w:rPr>
      <w:smallCaps/>
      <w:color w:val="auto"/>
      <w:u w:val="single"/>
    </w:rPr>
  </w:style>
  <w:style w:type="character" w:styleId="IntenseReference">
    <w:name w:val="Intense Reference"/>
    <w:basedOn w:val="DefaultParagraphFont"/>
    <w:uiPriority w:val="32"/>
    <w:qFormat/>
    <w:rsid w:val="00196F22"/>
    <w:rPr>
      <w:b/>
      <w:bCs/>
      <w:smallCaps/>
      <w:color w:val="auto"/>
      <w:spacing w:val="5"/>
      <w:u w:val="single"/>
    </w:rPr>
  </w:style>
  <w:style w:type="paragraph" w:customStyle="1" w:styleId="2ColumnHeading">
    <w:name w:val="2Column Heading"/>
    <w:basedOn w:val="BodyText"/>
    <w:qFormat/>
    <w:rsid w:val="00196F22"/>
    <w:pPr>
      <w:spacing w:after="60"/>
      <w:ind w:left="-2268"/>
    </w:pPr>
    <w:rPr>
      <w:b/>
    </w:rPr>
  </w:style>
  <w:style w:type="paragraph" w:customStyle="1" w:styleId="Heading1TOC">
    <w:name w:val="Heading1 TOC"/>
    <w:basedOn w:val="Normal"/>
    <w:qFormat/>
    <w:rsid w:val="00196F22"/>
    <w:pPr>
      <w:spacing w:before="240" w:after="120"/>
    </w:pPr>
    <w:rPr>
      <w:rFonts w:ascii="Times New Roman" w:hAnsi="Times New Roman"/>
      <w:b/>
      <w:sz w:val="32"/>
    </w:rPr>
  </w:style>
  <w:style w:type="paragraph" w:customStyle="1" w:styleId="Heading2TOC">
    <w:name w:val="Heading2 TOC"/>
    <w:basedOn w:val="Normal"/>
    <w:qFormat/>
    <w:rsid w:val="00196F22"/>
    <w:pPr>
      <w:spacing w:before="240" w:after="60"/>
    </w:pPr>
    <w:rPr>
      <w:rFonts w:ascii="Times New Roman" w:hAnsi="Times New Roman"/>
      <w:b/>
      <w:sz w:val="28"/>
    </w:rPr>
  </w:style>
  <w:style w:type="character" w:customStyle="1" w:styleId="Underline">
    <w:name w:val="Underline"/>
    <w:basedOn w:val="DefaultParagraphFont"/>
    <w:qFormat/>
    <w:rsid w:val="00196F22"/>
    <w:rPr>
      <w:u w:val="single"/>
    </w:rPr>
  </w:style>
  <w:style w:type="character" w:customStyle="1" w:styleId="BoldandItalics">
    <w:name w:val="Bold and Italics"/>
    <w:qFormat/>
    <w:rsid w:val="00196F22"/>
    <w:rPr>
      <w:b/>
      <w:i/>
      <w:u w:val="none"/>
    </w:rPr>
  </w:style>
  <w:style w:type="paragraph" w:styleId="BalloonText">
    <w:name w:val="Balloon Text"/>
    <w:basedOn w:val="Normal"/>
    <w:link w:val="BalloonTextChar"/>
    <w:rsid w:val="00196F22"/>
    <w:rPr>
      <w:rFonts w:ascii="Tahoma" w:hAnsi="Tahoma" w:cs="Tahoma"/>
      <w:sz w:val="16"/>
      <w:szCs w:val="16"/>
    </w:rPr>
  </w:style>
  <w:style w:type="character" w:customStyle="1" w:styleId="BalloonTextChar">
    <w:name w:val="Balloon Text Char"/>
    <w:basedOn w:val="DefaultParagraphFont"/>
    <w:link w:val="BalloonText"/>
    <w:rsid w:val="00196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F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F22"/>
    <w:rPr>
      <w:b/>
      <w:color w:val="660033"/>
      <w:spacing w:val="0"/>
    </w:rPr>
  </w:style>
  <w:style w:type="paragraph" w:customStyle="1" w:styleId="Nameditemlist">
    <w:name w:val="Named item list"/>
    <w:basedOn w:val="BodyText"/>
    <w:qFormat/>
    <w:rsid w:val="00196F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2251</Words>
  <Characters>13580</Characters>
  <Application>Microsoft Office Word</Application>
  <DocSecurity>0</DocSecurity>
  <Lines>485</Lines>
  <Paragraphs>229</Paragraphs>
  <ScaleCrop>false</ScaleCrop>
  <Company>Author-it Software Corporation Ltd.</Company>
  <LinksUpToDate>false</LinksUpToDate>
  <CharactersWithSpaces>15671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UEENEEM073A Verify compliance of repaired reeling, trailing and flexible cables</dc:title>
  <dc:subject>Approved</dc:subject>
  <dc:creator>E-OZ Training Standards</dc:creator>
  <cp:keywords>Release: 3</cp:keywords>
  <dc:description>Review Date: 12 April 2008</dc:description>
  <cp:lastModifiedBy>HSD_TPCMSd.prod</cp:lastModifiedBy>
  <cp:revision>3</cp:revision>
  <dcterms:created xsi:type="dcterms:W3CDTF">2013-08-14T06:19:00Z</dcterms:created>
  <dcterms:modified xsi:type="dcterms:W3CDTF">2013-08-14T06:19:00Z</dcterms:modified>
</cp:coreProperties>
</file>