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15F7" w:rsidP="008E15F7">
      <w:pPr>
        <w:pStyle w:val="Title"/>
      </w:pPr>
      <w:r>
        <w:fldChar w:fldCharType="begin"/>
      </w:r>
      <w:r>
        <w:instrText xml:space="preserve"> TITLE   \* MERGEFORMAT </w:instrText>
      </w:r>
      <w:r>
        <w:fldChar w:fldCharType="separate"/>
      </w:r>
      <w:r>
        <w:t>UEENEEM070A Repair reeling, trailing and flexible cables</w:t>
      </w:r>
      <w:r>
        <w:fldChar w:fldCharType="end"/>
      </w:r>
    </w:p>
    <w:p w:rsidR="008E15F7" w:rsidP="008E15F7">
      <w:pPr>
        <w:pStyle w:val="Version"/>
        <w:sectPr w:rsidSect="00B519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519E2" w:rsidP="00B519E2">
      <w:pPr>
        <w:pStyle w:val="SuperHeading"/>
      </w:pPr>
      <w:r w:rsidRPr="00B519E2">
        <w:t>UEENEEM070A Repair reeling, trailing and flexible cables</w:t>
      </w:r>
    </w:p>
    <w:p w:rsidR="00000000" w:rsidRPr="00B519E2" w:rsidP="00B519E2">
      <w:pPr>
        <w:pStyle w:val="Heading1"/>
      </w:pPr>
      <w:bookmarkStart w:id="1" w:name="O_586173"/>
      <w:bookmarkEnd w:id="1"/>
      <w:r w:rsidRPr="00B519E2">
        <w:t>Modification History</w:t>
      </w:r>
    </w:p>
    <w:p w:rsidR="00000000" w:rsidRPr="00B519E2" w:rsidP="00B519E2">
      <w:pPr>
        <w:pStyle w:val="BodyText"/>
      </w:pPr>
      <w:r w:rsidRPr="00B519E2">
        <w:t>Not Applicable</w:t>
      </w:r>
    </w:p>
    <w:p w:rsidR="00000000" w:rsidRPr="00B519E2" w:rsidP="00B519E2">
      <w:pPr>
        <w:pStyle w:val="AllowPageBreak"/>
      </w:pPr>
    </w:p>
    <w:p w:rsidR="00000000" w:rsidRPr="00B519E2" w:rsidP="00B519E2">
      <w:pPr>
        <w:pStyle w:val="Heading1"/>
      </w:pPr>
      <w:bookmarkStart w:id="2" w:name="O_586172"/>
      <w:bookmarkEnd w:id="2"/>
      <w:r w:rsidRPr="00B519E2">
        <w:t>Unit Descriptor</w:t>
      </w:r>
    </w:p>
    <w:tbl>
      <w:tblPr>
        <w:tblW w:w="0" w:type="auto"/>
        <w:tblLayout w:type="fixed"/>
        <w:tblCellMar>
          <w:left w:w="62" w:type="dxa"/>
          <w:right w:w="62" w:type="dxa"/>
        </w:tblCellMar>
        <w:tblLook w:val="0000"/>
      </w:tblPr>
      <w:tblGrid>
        <w:gridCol w:w="2700"/>
        <w:gridCol w:w="5760"/>
      </w:tblGrid>
      <w:tr w:rsidTr="008E15F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19E2" w:rsidP="00B519E2">
            <w:pPr>
              <w:pStyle w:val="BodyText"/>
            </w:pPr>
            <w:r w:rsidRPr="00B519E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B519E2" w:rsidP="00B519E2">
            <w:pPr>
              <w:pStyle w:val="BodyText"/>
            </w:pPr>
            <w:r w:rsidRPr="00B519E2">
              <w:rPr>
                <w:rStyle w:val="SpecialBold"/>
              </w:rPr>
              <w:t>1</w:t>
            </w:r>
            <w:r w:rsidRPr="00B519E2">
              <w:t xml:space="preserve">) </w:t>
            </w:r>
          </w:p>
          <w:p w:rsidR="00000000" w:rsidP="00B519E2">
            <w:pPr>
              <w:pStyle w:val="BodyText"/>
              <w:rPr>
                <w:lang w:val="en-NZ"/>
              </w:rPr>
            </w:pPr>
            <w:r w:rsidRPr="00B519E2">
              <w:rPr>
                <w:rStyle w:val="SpecialBold"/>
              </w:rPr>
              <w:t>1</w:t>
            </w:r>
            <w:r w:rsidRPr="00B519E2">
              <w:t>.</w:t>
            </w:r>
            <w:r w:rsidRPr="00B519E2">
              <w:rPr>
                <w:rStyle w:val="SpecialBold"/>
              </w:rPr>
              <w:t>1</w:t>
            </w:r>
            <w:r w:rsidRPr="00B519E2">
              <w:t xml:space="preserve">) </w:t>
            </w:r>
            <w:r w:rsidRPr="00B519E2">
              <w:rPr>
                <w:rStyle w:val="SpecialBold"/>
              </w:rPr>
              <w:t>Descriptor</w:t>
            </w:r>
          </w:p>
        </w:tc>
      </w:tr>
      <w:tr w:rsidTr="008E1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519E2" w:rsidP="00B519E2">
            <w:pPr>
              <w:pStyle w:val="BodyText"/>
            </w:pPr>
            <w:r w:rsidRPr="00B519E2">
              <w:t>This Competency Standard Unit covers sheathing, insulation and conductor repair of reeling, trailing and flexible cables. It requires</w:t>
            </w:r>
            <w:r w:rsidRPr="00B519E2">
              <w:t xml:space="preserve"> the ability to work safely and to Standards, follow repair instructions, apply repair techniques and document the repair work.</w:t>
            </w:r>
          </w:p>
          <w:p w:rsidR="00000000" w:rsidRPr="00B519E2" w:rsidP="00B519E2">
            <w:pPr>
              <w:pStyle w:val="BodyText"/>
            </w:pPr>
            <w:r w:rsidRPr="00B519E2">
              <w:t xml:space="preserve">This unit is directly equivalent to the Unit </w:t>
            </w:r>
            <w:r w:rsidRPr="00B519E2">
              <w:rPr>
                <w:rStyle w:val="Emphasis"/>
              </w:rPr>
              <w:t>2</w:t>
            </w:r>
            <w:r w:rsidRPr="00B519E2">
              <w:t>.</w:t>
            </w:r>
            <w:r w:rsidRPr="00B519E2">
              <w:rPr>
                <w:rStyle w:val="Emphasis"/>
              </w:rPr>
              <w:t>23 Repair reeling</w:t>
            </w:r>
            <w:r w:rsidRPr="00B519E2">
              <w:t xml:space="preserve">, </w:t>
            </w:r>
            <w:r w:rsidRPr="00B519E2">
              <w:rPr>
                <w:rStyle w:val="Emphasis"/>
              </w:rPr>
              <w:t>trailing and flexible cables</w:t>
            </w:r>
            <w:r w:rsidRPr="00B519E2">
              <w:t xml:space="preserve"> in the Australian/New Zealand Sta</w:t>
            </w:r>
            <w:r w:rsidRPr="00B519E2">
              <w:t xml:space="preserve">ndard </w:t>
            </w:r>
            <w:r w:rsidRPr="00B519E2">
              <w:rPr>
                <w:rStyle w:val="Emphasis"/>
              </w:rPr>
              <w:t>AS</w:t>
            </w:r>
            <w:r w:rsidRPr="00B519E2">
              <w:t>/</w:t>
            </w:r>
            <w:r w:rsidRPr="00B519E2">
              <w:rPr>
                <w:rStyle w:val="Emphasis"/>
              </w:rPr>
              <w:t>NZS 4761</w:t>
            </w:r>
            <w:r w:rsidRPr="00B519E2">
              <w:t>.</w:t>
            </w:r>
            <w:r w:rsidRPr="00B519E2">
              <w:rPr>
                <w:rStyle w:val="Emphasis"/>
              </w:rPr>
              <w:t>1 Competencies for working with electrical equipment for hazardous areas</w:t>
            </w:r>
            <w:r w:rsidRPr="00B519E2">
              <w:t xml:space="preserve"> (</w:t>
            </w:r>
            <w:r w:rsidRPr="00B519E2">
              <w:rPr>
                <w:rStyle w:val="Emphasis"/>
              </w:rPr>
              <w:t>EEHA</w:t>
            </w:r>
            <w:r w:rsidRPr="00B519E2">
              <w:t xml:space="preserve">) </w:t>
            </w:r>
            <w:r w:rsidRPr="00B519E2">
              <w:rPr>
                <w:rStyle w:val="Emphasis"/>
              </w:rPr>
              <w:t>Part 1</w:t>
            </w:r>
            <w:r w:rsidRPr="00B519E2">
              <w:t xml:space="preserve">: </w:t>
            </w:r>
            <w:r w:rsidRPr="00B519E2">
              <w:rPr>
                <w:rStyle w:val="Emphasis"/>
              </w:rPr>
              <w:t>Competency Standards</w:t>
            </w:r>
            <w:r w:rsidRPr="00B519E2">
              <w:t>. Equivalence includes endorsement in the explosion-protection techniques listed in the Range statement of this unit.</w:t>
            </w:r>
          </w:p>
          <w:p w:rsidR="00000000" w:rsidRPr="00B519E2" w:rsidP="00B519E2">
            <w:pPr>
              <w:pStyle w:val="BodyText"/>
            </w:pPr>
            <w:r w:rsidRPr="00B519E2">
              <w:t>Note:</w:t>
            </w:r>
          </w:p>
          <w:p w:rsidR="00000000" w:rsidRPr="00B519E2" w:rsidP="00B519E2">
            <w:pPr>
              <w:pStyle w:val="BodyText"/>
            </w:pPr>
            <w:r w:rsidRPr="00B519E2">
              <w:t>Althou</w:t>
            </w:r>
            <w:r w:rsidRPr="00B519E2">
              <w:t xml:space="preserve">gh this unit is primarily intended for the repair of cable types specified by AS/NZS 1802 and AS/NZS 2802 and used in mining, it may be applied to the repair of other similar cables. </w:t>
            </w:r>
          </w:p>
        </w:tc>
      </w:tr>
    </w:tbl>
    <w:p w:rsidR="008E15F7" w:rsidP="00B519E2">
      <w:pPr>
        <w:pStyle w:val="BodyText"/>
      </w:pPr>
    </w:p>
    <w:p w:rsidR="008E15F7" w:rsidP="00B519E2">
      <w:pPr>
        <w:pStyle w:val="BodyText"/>
      </w:pPr>
    </w:p>
    <w:p w:rsidR="00000000" w:rsidRPr="00B519E2" w:rsidP="00B519E2">
      <w:pPr>
        <w:pStyle w:val="Heading1"/>
      </w:pPr>
      <w:bookmarkStart w:id="3" w:name="O_586171"/>
      <w:bookmarkEnd w:id="3"/>
      <w:r w:rsidRPr="00B519E2">
        <w:t>Application of the Unit</w:t>
      </w:r>
    </w:p>
    <w:tbl>
      <w:tblPr>
        <w:tblW w:w="0" w:type="auto"/>
        <w:tblLayout w:type="fixed"/>
        <w:tblCellMar>
          <w:left w:w="62" w:type="dxa"/>
          <w:right w:w="62" w:type="dxa"/>
        </w:tblCellMar>
        <w:tblLook w:val="0000"/>
      </w:tblPr>
      <w:tblGrid>
        <w:gridCol w:w="2700"/>
        <w:gridCol w:w="5760"/>
      </w:tblGrid>
      <w:tr w:rsidTr="008E15F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19E2" w:rsidP="00B519E2">
            <w:pPr>
              <w:pStyle w:val="BodyText"/>
            </w:pPr>
            <w:r w:rsidRPr="00B519E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rPr>
                <w:rStyle w:val="SpecialBold"/>
              </w:rPr>
              <w:t>4</w:t>
            </w:r>
            <w:r w:rsidRPr="00B519E2">
              <w:t>)</w:t>
            </w:r>
          </w:p>
        </w:tc>
      </w:tr>
      <w:tr w:rsidTr="008E1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519E2" w:rsidP="00B519E2">
            <w:pPr>
              <w:pStyle w:val="BodyText"/>
            </w:pPr>
            <w:r w:rsidRPr="00B519E2">
              <w:t xml:space="preserve">This unit applies to mining cable and associated equipment overhaul and repair job functions at AQF 2 level or higher. It is suitable for employment-based programs under an approved contract of training. </w:t>
            </w:r>
          </w:p>
        </w:tc>
      </w:tr>
    </w:tbl>
    <w:p w:rsidR="008E15F7" w:rsidP="00B519E2">
      <w:pPr>
        <w:pStyle w:val="BodyText"/>
      </w:pPr>
    </w:p>
    <w:p w:rsidR="008E15F7" w:rsidP="00B519E2">
      <w:pPr>
        <w:pStyle w:val="BodyText"/>
      </w:pPr>
    </w:p>
    <w:p w:rsidR="00000000" w:rsidRPr="00B519E2" w:rsidP="00B519E2">
      <w:pPr>
        <w:pStyle w:val="Heading1"/>
      </w:pPr>
      <w:bookmarkStart w:id="4" w:name="O_586170"/>
      <w:bookmarkEnd w:id="4"/>
      <w:r w:rsidRPr="00B519E2">
        <w:t>Licensing/Regulatory Informati</w:t>
      </w:r>
      <w:r w:rsidRPr="00B519E2">
        <w:t>on</w:t>
      </w:r>
    </w:p>
    <w:tbl>
      <w:tblPr>
        <w:tblW w:w="0" w:type="auto"/>
        <w:tblLayout w:type="fixed"/>
        <w:tblCellMar>
          <w:left w:w="62" w:type="dxa"/>
          <w:right w:w="62" w:type="dxa"/>
        </w:tblCellMar>
        <w:tblLook w:val="0000"/>
      </w:tblPr>
      <w:tblGrid>
        <w:gridCol w:w="8460"/>
      </w:tblGrid>
      <w:tr w:rsidTr="008E15F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rPr>
                <w:rStyle w:val="SpecialBold"/>
              </w:rPr>
              <w:t>1</w:t>
            </w:r>
            <w:r w:rsidRPr="00B519E2">
              <w:t>.</w:t>
            </w:r>
            <w:r w:rsidRPr="00B519E2">
              <w:rPr>
                <w:rStyle w:val="SpecialBold"/>
              </w:rPr>
              <w:t>2</w:t>
            </w:r>
            <w:r w:rsidRPr="00B519E2">
              <w:t xml:space="preserve">) </w:t>
            </w:r>
            <w:r w:rsidRPr="00B519E2">
              <w:rPr>
                <w:rStyle w:val="SpecialBold"/>
              </w:rPr>
              <w:t>License to practice</w:t>
            </w:r>
          </w:p>
        </w:tc>
      </w:tr>
      <w:tr w:rsidTr="008E15F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519E2" w:rsidP="00B519E2">
            <w:pPr>
              <w:pStyle w:val="BodyText"/>
            </w:pPr>
            <w:r w:rsidRPr="00B519E2">
              <w:t>The skills and knowledge described in this unit do not require a license to practice in the work place. However practice in this unit is subject to</w:t>
            </w:r>
            <w:r w:rsidRPr="00B519E2">
              <w:t xml:space="preserve"> regulations directly related to occupational health and safe and contracts of training such as new apprenticeships.</w:t>
            </w:r>
          </w:p>
        </w:tc>
      </w:tr>
    </w:tbl>
    <w:p w:rsidR="008E15F7" w:rsidP="00B519E2">
      <w:pPr>
        <w:pStyle w:val="BodyText"/>
      </w:pPr>
    </w:p>
    <w:p w:rsidR="008E15F7" w:rsidP="00B519E2">
      <w:pPr>
        <w:pStyle w:val="BodyText"/>
      </w:pPr>
    </w:p>
    <w:p w:rsidR="00000000" w:rsidRPr="00B519E2" w:rsidP="00B519E2">
      <w:pPr>
        <w:pStyle w:val="Heading1"/>
      </w:pPr>
      <w:bookmarkStart w:id="5" w:name="O_586169"/>
      <w:bookmarkEnd w:id="5"/>
      <w:r w:rsidRPr="00B519E2">
        <w:t>Pre-Requisites</w:t>
      </w:r>
    </w:p>
    <w:tbl>
      <w:tblPr>
        <w:tblW w:w="0" w:type="auto"/>
        <w:tblLayout w:type="fixed"/>
        <w:tblCellMar>
          <w:left w:w="62" w:type="dxa"/>
          <w:right w:w="62" w:type="dxa"/>
        </w:tblCellMar>
        <w:tblLook w:val="0000"/>
      </w:tblPr>
      <w:tblGrid>
        <w:gridCol w:w="2700"/>
        <w:gridCol w:w="5760"/>
      </w:tblGrid>
      <w:tr w:rsidTr="008E15F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19E2" w:rsidP="00B519E2">
            <w:pPr>
              <w:pStyle w:val="BodyText"/>
            </w:pPr>
            <w:r w:rsidRPr="00B519E2">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rPr>
                <w:rStyle w:val="SpecialBold"/>
              </w:rPr>
              <w:t xml:space="preserve">2) </w:t>
            </w:r>
          </w:p>
        </w:tc>
      </w:tr>
      <w:tr w:rsidTr="008E1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519E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rPr>
                <w:rStyle w:val="SpecialBold"/>
              </w:rPr>
              <w:t>2.1) Competencies</w:t>
            </w:r>
          </w:p>
        </w:tc>
      </w:tr>
      <w:tr w:rsidTr="008E15F7">
        <w:tblPrEx>
          <w:tblW w:w="0" w:type="auto"/>
          <w:tblLayout w:type="fixed"/>
          <w:tblCellMar>
            <w:left w:w="62" w:type="dxa"/>
            <w:right w:w="62" w:type="dxa"/>
          </w:tblCellMar>
          <w:tblLook w:val="0000"/>
        </w:tblPrEx>
        <w:trPr>
          <w:trHeight w:val="950"/>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519E2" w:rsidP="00B519E2">
            <w:pPr>
              <w:pStyle w:val="BodyText"/>
            </w:pPr>
            <w:r w:rsidRPr="00B519E2">
              <w:t>There are no prerequisites specified for this unit; however, competencies in general overhaul or repair work would assist in achieving this unit.</w:t>
            </w:r>
          </w:p>
        </w:tc>
      </w:tr>
    </w:tbl>
    <w:p w:rsidR="008E15F7" w:rsidP="00B519E2">
      <w:pPr>
        <w:pStyle w:val="BodyText"/>
      </w:pPr>
    </w:p>
    <w:p w:rsidR="008E15F7" w:rsidP="00B519E2">
      <w:pPr>
        <w:pStyle w:val="BodyText"/>
      </w:pPr>
    </w:p>
    <w:p w:rsidR="00000000" w:rsidRPr="00B519E2" w:rsidP="00B519E2">
      <w:pPr>
        <w:pStyle w:val="Heading1"/>
      </w:pPr>
      <w:bookmarkStart w:id="6" w:name="O_586168"/>
      <w:bookmarkEnd w:id="6"/>
      <w:r w:rsidRPr="00B519E2">
        <w:t>Employability Skills Information</w:t>
      </w:r>
    </w:p>
    <w:tbl>
      <w:tblPr>
        <w:tblW w:w="0" w:type="auto"/>
        <w:tblLayout w:type="fixed"/>
        <w:tblCellMar>
          <w:left w:w="62" w:type="dxa"/>
          <w:right w:w="62" w:type="dxa"/>
        </w:tblCellMar>
        <w:tblLook w:val="0000"/>
      </w:tblPr>
      <w:tblGrid>
        <w:gridCol w:w="2700"/>
        <w:gridCol w:w="5760"/>
      </w:tblGrid>
      <w:tr w:rsidTr="008E15F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19E2" w:rsidP="00B519E2">
            <w:pPr>
              <w:pStyle w:val="BodyText"/>
            </w:pPr>
            <w:r w:rsidRPr="00B519E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B519E2" w:rsidP="00B519E2">
            <w:pPr>
              <w:pStyle w:val="BodyText"/>
            </w:pPr>
            <w:r w:rsidRPr="00B519E2">
              <w:rPr>
                <w:rStyle w:val="SpecialBold"/>
              </w:rPr>
              <w:t>3</w:t>
            </w:r>
            <w:r w:rsidRPr="00B519E2">
              <w:t>)</w:t>
            </w:r>
          </w:p>
          <w:p w:rsidR="00000000" w:rsidRPr="00B519E2" w:rsidP="00B519E2">
            <w:pPr>
              <w:pStyle w:val="BodyText"/>
            </w:pPr>
            <w:r w:rsidRPr="00B519E2">
              <w:t>The required outcomes described i</w:t>
            </w:r>
            <w:r w:rsidRPr="00B519E2">
              <w:t>n this unit of competency contain applicable facets of Employability Skills. The Employability Skills Summary of the qualification in which this unit of competency is packaged will assist in identifying Employability Skill requirements.</w:t>
            </w:r>
          </w:p>
        </w:tc>
      </w:tr>
    </w:tbl>
    <w:p w:rsidR="008E15F7" w:rsidP="00B519E2">
      <w:pPr>
        <w:pStyle w:val="BodyText"/>
      </w:pPr>
    </w:p>
    <w:p w:rsidR="008E15F7" w:rsidP="00B519E2">
      <w:pPr>
        <w:pStyle w:val="BodyText"/>
      </w:pPr>
    </w:p>
    <w:p w:rsidR="00000000" w:rsidRPr="00B519E2" w:rsidP="00B519E2">
      <w:pPr>
        <w:pStyle w:val="Heading1"/>
      </w:pPr>
      <w:bookmarkStart w:id="7" w:name="O_586167"/>
      <w:bookmarkEnd w:id="7"/>
      <w:r w:rsidRPr="00B519E2">
        <w:t>Elements and Performance Criteria Pre-Content</w:t>
      </w:r>
    </w:p>
    <w:tbl>
      <w:tblPr>
        <w:tblW w:w="0" w:type="auto"/>
        <w:tblLayout w:type="fixed"/>
        <w:tblCellMar>
          <w:left w:w="62" w:type="dxa"/>
          <w:right w:w="62" w:type="dxa"/>
        </w:tblCellMar>
        <w:tblLook w:val="0000"/>
      </w:tblPr>
      <w:tblGrid>
        <w:gridCol w:w="2700"/>
        <w:gridCol w:w="5760"/>
      </w:tblGrid>
      <w:tr w:rsidTr="008E1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rPr>
                <w:rStyle w:val="SpecialBold"/>
              </w:rPr>
              <w:t>6</w:t>
            </w:r>
            <w:r w:rsidRPr="00B519E2">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B519E2" w:rsidP="00B519E2">
            <w:pPr>
              <w:pStyle w:val="BodyText"/>
            </w:pPr>
            <w:r w:rsidRPr="00B519E2">
              <w:t>Performance criteria describe the required performance needed to demonstrate achievement of the element. Assessment of performance is to be consiste</w:t>
            </w:r>
            <w:r w:rsidRPr="00B519E2">
              <w:t>nt with the evidence guide.</w:t>
            </w:r>
          </w:p>
        </w:tc>
      </w:tr>
    </w:tbl>
    <w:p w:rsidR="00000000" w:rsidRPr="00B519E2" w:rsidP="00B519E2">
      <w:pPr>
        <w:pStyle w:val="BodyText"/>
      </w:pPr>
    </w:p>
    <w:p w:rsidR="00000000" w:rsidRPr="00B519E2" w:rsidP="00B519E2">
      <w:pPr>
        <w:pStyle w:val="AllowPageBreak"/>
      </w:pPr>
    </w:p>
    <w:p w:rsidR="00000000" w:rsidRPr="00B519E2" w:rsidP="00B519E2">
      <w:pPr>
        <w:pStyle w:val="Heading1"/>
      </w:pPr>
      <w:bookmarkStart w:id="8" w:name="O_586166"/>
      <w:bookmarkEnd w:id="8"/>
      <w:r w:rsidRPr="00B519E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E15F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519E2" w:rsidP="00B519E2">
            <w:pPr>
              <w:pStyle w:val="BodyText"/>
            </w:pPr>
            <w:r w:rsidRPr="00B519E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rPr>
                <w:rStyle w:val="SpecialBold"/>
              </w:rPr>
              <w:t>PERFORMANCE CRITERIA</w:t>
            </w:r>
          </w:p>
        </w:tc>
      </w:tr>
      <w:tr w:rsidTr="008E15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1</w:t>
            </w:r>
          </w:p>
        </w:tc>
        <w:tc>
          <w:tcPr>
            <w:tcW w:w="2296" w:type="dxa"/>
            <w:vMerge w:val="restart"/>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Prepare to repair cable</w:t>
            </w:r>
          </w:p>
        </w:tc>
        <w:tc>
          <w:tcPr>
            <w:tcW w:w="90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1.1</w:t>
            </w:r>
          </w:p>
        </w:tc>
        <w:tc>
          <w:tcPr>
            <w:tcW w:w="486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OHS policies and procedures for entering a work site are followed.</w:t>
            </w:r>
          </w:p>
        </w:tc>
      </w:tr>
      <w:tr w:rsidTr="008E15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1.2</w:t>
            </w:r>
          </w:p>
        </w:tc>
        <w:tc>
          <w:tcPr>
            <w:tcW w:w="486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Cable to be repaired and repair specifications are confirmed with appropriate personnel.</w:t>
            </w:r>
          </w:p>
        </w:tc>
      </w:tr>
      <w:tr w:rsidTr="008E15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1.3</w:t>
            </w:r>
          </w:p>
        </w:tc>
        <w:tc>
          <w:tcPr>
            <w:tcW w:w="486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Materials required for the repair are obtained in accordance with established procedures.</w:t>
            </w:r>
          </w:p>
        </w:tc>
      </w:tr>
      <w:tr w:rsidTr="008E15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1.4</w:t>
            </w:r>
          </w:p>
        </w:tc>
        <w:tc>
          <w:tcPr>
            <w:tcW w:w="486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Special tools, equipment and testing devices needed to carry out the repair work are obtained and checked for correct operation, safety and currency of calibration certification.</w:t>
            </w:r>
          </w:p>
        </w:tc>
      </w:tr>
      <w:tr w:rsidTr="008E15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2</w:t>
            </w:r>
          </w:p>
        </w:tc>
        <w:tc>
          <w:tcPr>
            <w:tcW w:w="2296" w:type="dxa"/>
            <w:vMerge w:val="restart"/>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 xml:space="preserve">Carry out cable repair </w:t>
            </w:r>
          </w:p>
        </w:tc>
        <w:tc>
          <w:tcPr>
            <w:tcW w:w="90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2.1</w:t>
            </w:r>
          </w:p>
        </w:tc>
        <w:tc>
          <w:tcPr>
            <w:tcW w:w="486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OHS policies and procedures for carrying out c</w:t>
            </w:r>
            <w:r w:rsidRPr="00B519E2">
              <w:t>able repair are followed.</w:t>
            </w:r>
          </w:p>
        </w:tc>
      </w:tr>
      <w:tr w:rsidTr="008E15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2.2</w:t>
            </w:r>
          </w:p>
        </w:tc>
        <w:tc>
          <w:tcPr>
            <w:tcW w:w="486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Specifications and instructions for the cable repair are followed in accordance with established procedures.</w:t>
            </w:r>
          </w:p>
        </w:tc>
      </w:tr>
      <w:tr w:rsidTr="008E15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2.3</w:t>
            </w:r>
          </w:p>
        </w:tc>
        <w:tc>
          <w:tcPr>
            <w:tcW w:w="486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 xml:space="preserve">Damaged cable material is removed and cables appropriately prepared for joining. </w:t>
            </w:r>
          </w:p>
        </w:tc>
      </w:tr>
      <w:tr w:rsidTr="008E15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2.4</w:t>
            </w:r>
          </w:p>
        </w:tc>
        <w:tc>
          <w:tcPr>
            <w:tcW w:w="486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An acceptable method is applied to splicing and joining conductors.</w:t>
            </w:r>
          </w:p>
        </w:tc>
      </w:tr>
      <w:tr w:rsidTr="008E15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2.5</w:t>
            </w:r>
          </w:p>
        </w:tc>
        <w:tc>
          <w:tcPr>
            <w:tcW w:w="486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Insulation and covering is replaced on all cores and out sheath correctly using appropriate materials.</w:t>
            </w:r>
          </w:p>
        </w:tc>
      </w:tr>
      <w:tr w:rsidTr="008E15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2.6</w:t>
            </w:r>
          </w:p>
        </w:tc>
        <w:tc>
          <w:tcPr>
            <w:tcW w:w="486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 xml:space="preserve">An acceptable method is used to join pliable cable armour. </w:t>
            </w:r>
          </w:p>
        </w:tc>
      </w:tr>
      <w:tr w:rsidTr="008E15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2.7</w:t>
            </w:r>
          </w:p>
        </w:tc>
        <w:tc>
          <w:tcPr>
            <w:tcW w:w="486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Cabl</w:t>
            </w:r>
            <w:r w:rsidRPr="00B519E2">
              <w:t>e sheath is repaired using the appropriate sheath tape and vulcanised at the required temperature and time to ensure as new electrical and mechanical properties are retained.</w:t>
            </w:r>
          </w:p>
        </w:tc>
      </w:tr>
      <w:tr w:rsidTr="008E15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2.8</w:t>
            </w:r>
          </w:p>
        </w:tc>
        <w:tc>
          <w:tcPr>
            <w:tcW w:w="486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Cable repair is done in a manner that does not reduce the operating parameters for the cable type.</w:t>
            </w:r>
          </w:p>
        </w:tc>
      </w:tr>
      <w:tr w:rsidTr="008E15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3</w:t>
            </w:r>
          </w:p>
        </w:tc>
        <w:tc>
          <w:tcPr>
            <w:tcW w:w="2296" w:type="dxa"/>
            <w:vMerge w:val="restart"/>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Complete and document cable repair work</w:t>
            </w:r>
          </w:p>
        </w:tc>
        <w:tc>
          <w:tcPr>
            <w:tcW w:w="90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3.1</w:t>
            </w:r>
          </w:p>
        </w:tc>
        <w:tc>
          <w:tcPr>
            <w:tcW w:w="486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OHS policies and procedures for completing cables repair work are followed.</w:t>
            </w:r>
          </w:p>
        </w:tc>
      </w:tr>
      <w:tr w:rsidTr="008E15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3.2</w:t>
            </w:r>
          </w:p>
        </w:tc>
        <w:tc>
          <w:tcPr>
            <w:tcW w:w="486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Cable repair work carried o</w:t>
            </w:r>
            <w:r w:rsidRPr="00B519E2">
              <w:t xml:space="preserve">ut is documented in accordance with established quality procedures. </w:t>
            </w:r>
          </w:p>
        </w:tc>
      </w:tr>
      <w:tr w:rsidTr="008E15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3.3</w:t>
            </w:r>
          </w:p>
        </w:tc>
        <w:tc>
          <w:tcPr>
            <w:tcW w:w="4860" w:type="dxa"/>
            <w:tcBorders>
              <w:top w:val="nil"/>
              <w:left w:val="nil"/>
              <w:bottom w:val="nil"/>
              <w:right w:val="nil"/>
            </w:tcBorders>
            <w:tcMar>
              <w:top w:w="0" w:type="dxa"/>
              <w:left w:w="62" w:type="dxa"/>
              <w:bottom w:w="0" w:type="dxa"/>
              <w:right w:w="62" w:type="dxa"/>
            </w:tcMar>
          </w:tcPr>
          <w:p w:rsidR="00000000" w:rsidRPr="00B519E2" w:rsidP="00B519E2">
            <w:pPr>
              <w:pStyle w:val="BodyText"/>
            </w:pPr>
            <w:r w:rsidRPr="00B519E2">
              <w:t xml:space="preserve">Appropriate personnel are notified of the completion of the work in accordance with established quality procedures. </w:t>
            </w:r>
          </w:p>
        </w:tc>
      </w:tr>
    </w:tbl>
    <w:p w:rsidR="008E15F7" w:rsidP="00B519E2">
      <w:pPr>
        <w:pStyle w:val="BodyText"/>
      </w:pPr>
    </w:p>
    <w:p w:rsidR="008E15F7" w:rsidP="00B519E2">
      <w:pPr>
        <w:pStyle w:val="BodyText"/>
      </w:pPr>
    </w:p>
    <w:p w:rsidR="00000000" w:rsidRPr="00B519E2" w:rsidP="00B519E2">
      <w:pPr>
        <w:pStyle w:val="Heading1"/>
      </w:pPr>
      <w:bookmarkStart w:id="9" w:name="O_586165"/>
      <w:bookmarkEnd w:id="9"/>
      <w:r w:rsidRPr="00B519E2">
        <w:t>Required Skills and Knowledge</w:t>
      </w:r>
    </w:p>
    <w:tbl>
      <w:tblPr>
        <w:tblW w:w="0" w:type="auto"/>
        <w:tblLayout w:type="fixed"/>
        <w:tblCellMar>
          <w:left w:w="62" w:type="dxa"/>
          <w:right w:w="62" w:type="dxa"/>
        </w:tblCellMar>
        <w:tblLook w:val="0000"/>
      </w:tblPr>
      <w:tblGrid>
        <w:gridCol w:w="1440"/>
        <w:gridCol w:w="7020"/>
      </w:tblGrid>
      <w:tr w:rsidTr="008E15F7">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rPr>
                <w:rStyle w:val="SpecialBold"/>
              </w:rPr>
              <w:t>REQUIRED SKILLS AND KNOWLEDGE</w:t>
            </w:r>
          </w:p>
        </w:tc>
      </w:tr>
      <w:tr w:rsidTr="008E15F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rPr>
                <w:rStyle w:val="SpecialBold"/>
              </w:rPr>
              <w:t>7)</w:t>
            </w:r>
            <w:r w:rsidRPr="00B519E2">
              <w:t xml:space="preserve"> This describes the essential skills and knowledge and their level, required for this unit.</w:t>
            </w:r>
          </w:p>
        </w:tc>
      </w:tr>
      <w:tr w:rsidTr="008E15F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519E2" w:rsidP="00B519E2">
            <w:pPr>
              <w:pStyle w:val="BodyText"/>
            </w:pPr>
            <w:r w:rsidRPr="00B519E2">
              <w:t>Evidence shall show that knowledge has been acquired of safe working practices and testing installations in hazardous areas.</w:t>
            </w:r>
          </w:p>
          <w:p w:rsidR="00000000" w:rsidP="00B519E2">
            <w:pPr>
              <w:pStyle w:val="BodyText"/>
              <w:rPr>
                <w:lang w:val="en-NZ"/>
              </w:rPr>
            </w:pPr>
            <w:r w:rsidRPr="00B519E2">
              <w:t>All knowledge and skills detailed in this unit should be contextualised to current industry practices and technologies.</w:t>
            </w:r>
          </w:p>
        </w:tc>
      </w:tr>
      <w:tr w:rsidTr="008E15F7">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RPr="00B519E2" w:rsidP="00B519E2">
            <w:pPr>
              <w:pStyle w:val="BodyText"/>
            </w:pPr>
            <w:r w:rsidRPr="00B519E2">
              <w:rPr>
                <w:rStyle w:val="SpecialBold"/>
              </w:rPr>
              <w:t>KS01-EM070A</w:t>
            </w:r>
          </w:p>
        </w:tc>
        <w:tc>
          <w:tcPr>
            <w:tcW w:w="702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rPr>
                <w:rStyle w:val="SpecialBold"/>
              </w:rPr>
              <w:t>Ex reeling cable repairs</w:t>
            </w:r>
          </w:p>
        </w:tc>
      </w:tr>
      <w:tr w:rsidTr="008E15F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Evidence shall show an understanding of Ex reeling cable repairs to an extent indicated by the f</w:t>
            </w:r>
            <w:r w:rsidRPr="00B519E2">
              <w:t>ollowing aspects:</w:t>
            </w:r>
          </w:p>
        </w:tc>
      </w:tr>
      <w:tr w:rsidTr="008E15F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519E2" w:rsidP="00B519E2">
            <w:pPr>
              <w:pStyle w:val="BodyText"/>
            </w:pPr>
            <w:r w:rsidRPr="00B519E2">
              <w:t>T1</w:t>
            </w:r>
            <w:r w:rsidRPr="00B519E2">
              <w:tab/>
              <w:t>Occupational Health and Safety responsibilities related to hazardous areas encompassing:</w:t>
            </w:r>
          </w:p>
          <w:p w:rsidR="00000000" w:rsidRPr="00B519E2" w:rsidP="00B519E2">
            <w:pPr>
              <w:pStyle w:val="ListBullet2"/>
            </w:pPr>
            <w:r w:rsidRPr="00B519E2">
              <w:t>the main features and purpose of a ‘clearance to work’ system (includes hot work permit systems).</w:t>
            </w:r>
          </w:p>
          <w:p w:rsidR="00000000" w:rsidRPr="00B519E2" w:rsidP="00B519E2">
            <w:pPr>
              <w:pStyle w:val="ListBullet2"/>
            </w:pPr>
            <w:r w:rsidRPr="00B519E2">
              <w:t>typical safety procedures that should be f</w:t>
            </w:r>
            <w:r w:rsidRPr="00B519E2">
              <w:t>ollowed before entering a hazardous area;</w:t>
            </w:r>
          </w:p>
          <w:p w:rsidR="00000000" w:rsidRPr="00B519E2" w:rsidP="00B519E2">
            <w:pPr>
              <w:pStyle w:val="ListBullet2"/>
            </w:pPr>
            <w:r w:rsidRPr="00B519E2">
              <w:t>the purpose of gas detectors and their limitations;</w:t>
            </w:r>
          </w:p>
          <w:p w:rsidR="00000000" w:rsidRPr="00B519E2" w:rsidP="00B519E2">
            <w:pPr>
              <w:pStyle w:val="ListBullet2"/>
            </w:pPr>
            <w:r w:rsidRPr="00B519E2">
              <w:t>effects of temperature on gas and vapour detection;</w:t>
            </w:r>
          </w:p>
          <w:p w:rsidR="00000000" w:rsidRPr="00B519E2" w:rsidP="00B519E2">
            <w:pPr>
              <w:pStyle w:val="ListBullet2"/>
            </w:pPr>
            <w:r w:rsidRPr="00B519E2">
              <w:t>frequency of monitoring for presence of gas or vapours, i.e. effects of temperature rise;</w:t>
            </w:r>
          </w:p>
          <w:p w:rsidR="00000000" w:rsidRPr="00B519E2" w:rsidP="00B519E2">
            <w:pPr>
              <w:pStyle w:val="ListBullet2"/>
            </w:pPr>
            <w:r w:rsidRPr="00B519E2">
              <w:t>factors affecting th</w:t>
            </w:r>
            <w:r w:rsidRPr="00B519E2">
              <w:t>e accuracy of gas detectors, for example, contamination, condensation, temperature;</w:t>
            </w:r>
          </w:p>
          <w:p w:rsidR="00000000" w:rsidRPr="00B519E2" w:rsidP="00B519E2">
            <w:pPr>
              <w:pStyle w:val="ListBullet2"/>
            </w:pPr>
            <w:r w:rsidRPr="00B519E2">
              <w:t>safety in use of gas detectors, for example, ‘read and run concept’</w:t>
            </w:r>
          </w:p>
          <w:p w:rsidR="00000000" w:rsidP="00B519E2">
            <w:pPr>
              <w:pStyle w:val="ListBullet2"/>
              <w:rPr>
                <w:lang w:val="en-NZ"/>
              </w:rPr>
            </w:pPr>
            <w:r w:rsidRPr="00B519E2">
              <w:t>the safety precautions to be taken when working in a hazardous area.</w:t>
            </w:r>
          </w:p>
        </w:tc>
      </w:tr>
      <w:tr w:rsidTr="008E15F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519E2" w:rsidP="00B519E2">
            <w:pPr>
              <w:pStyle w:val="BodyText"/>
            </w:pPr>
            <w:r w:rsidRPr="00B519E2">
              <w:t>T2</w:t>
            </w:r>
            <w:r w:rsidRPr="00B519E2">
              <w:tab/>
              <w:t>The roles of the parties invol</w:t>
            </w:r>
            <w:r w:rsidRPr="00B519E2">
              <w:t>ved in the safety of hazardous areas encompassing:</w:t>
            </w:r>
          </w:p>
          <w:p w:rsidR="00000000" w:rsidRPr="00B519E2" w:rsidP="00B519E2">
            <w:pPr>
              <w:pStyle w:val="ListBullet2"/>
            </w:pPr>
            <w:r w:rsidRPr="00B519E2">
              <w:t>common Acts and Regulations related to the safety of hazardous areas and the Authorities responsible for their implementation;</w:t>
            </w:r>
          </w:p>
          <w:p w:rsidR="00000000" w:rsidRPr="00B519E2" w:rsidP="00B519E2">
            <w:pPr>
              <w:pStyle w:val="ListBullet2"/>
            </w:pPr>
            <w:r w:rsidRPr="00B519E2">
              <w:t>where assistance and further information can be obtained to assist persons with hazardous area responsibilities, for example, Standard bodies, experienced consultants; and</w:t>
            </w:r>
          </w:p>
          <w:p w:rsidR="00000000" w:rsidP="00B519E2">
            <w:pPr>
              <w:pStyle w:val="ListBullet2"/>
              <w:rPr>
                <w:lang w:val="en-NZ"/>
              </w:rPr>
            </w:pPr>
            <w:r w:rsidRPr="00B519E2">
              <w:t>the hazardous area responsibilities of the owner of premises in which a hazardous ar</w:t>
            </w:r>
            <w:r w:rsidRPr="00B519E2">
              <w:t>ea exists; the occupier of premises in which a hazardous area exists; enterprises and personnel engaged in installation and/or maintenance of explosion-protection systems; enterprises and personnel engaged in the classification of hazardous areas and/or de</w:t>
            </w:r>
            <w:r w:rsidRPr="00B519E2">
              <w:t>sign of explosion-protection systems; enterprises and personnel engaged in the overhaul, modification and/or assessment of explosion-protected equipment; enterprises and personnel engaged in the inspection of explosion-protection installations; manufacture</w:t>
            </w:r>
            <w:r w:rsidRPr="00B519E2">
              <w:t>rs of explosion-protected equipment; designated authorities; insurers.</w:t>
            </w:r>
          </w:p>
        </w:tc>
      </w:tr>
      <w:tr w:rsidTr="008E15F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519E2" w:rsidP="00B519E2">
            <w:pPr>
              <w:pStyle w:val="BodyText"/>
            </w:pPr>
            <w:r w:rsidRPr="00B519E2">
              <w:t>T3</w:t>
            </w:r>
            <w:r w:rsidRPr="00B519E2">
              <w:tab/>
              <w:t>Properties of combustible substances and their potential to create an explosive hazard encompassing:</w:t>
            </w:r>
          </w:p>
          <w:p w:rsidR="00000000" w:rsidRPr="00B519E2" w:rsidP="00B519E2">
            <w:pPr>
              <w:pStyle w:val="ListBullet2"/>
            </w:pPr>
            <w:r w:rsidRPr="00B519E2">
              <w:t>condition in the workplace that will lead to an explosion;</w:t>
            </w:r>
          </w:p>
          <w:p w:rsidR="00000000" w:rsidRPr="00B519E2" w:rsidP="00B519E2">
            <w:pPr>
              <w:pStyle w:val="ListBullet2"/>
            </w:pPr>
            <w:r w:rsidRPr="00B519E2">
              <w:t>the terms ‘combusti</w:t>
            </w:r>
            <w:r w:rsidRPr="00B519E2">
              <w:t>on’, ‘ignition’ and ‘propagation’;</w:t>
            </w:r>
          </w:p>
          <w:p w:rsidR="00000000" w:rsidRPr="00B519E2" w:rsidP="00B519E2">
            <w:pPr>
              <w:pStyle w:val="ListBullet2"/>
            </w:pPr>
            <w:r w:rsidRPr="00B519E2">
              <w:t>explosive range of substances encountered in the workplace i.e. LEL/UEL;</w:t>
            </w:r>
          </w:p>
          <w:p w:rsidR="00000000" w:rsidRPr="00B519E2" w:rsidP="00B519E2">
            <w:pPr>
              <w:pStyle w:val="ListBullet2"/>
            </w:pPr>
            <w:r w:rsidRPr="00B519E2">
              <w:t>explosive parameters of substances as given in tables of substance properties</w:t>
            </w:r>
          </w:p>
          <w:p w:rsidR="00000000" w:rsidRPr="00B519E2" w:rsidP="00B519E2">
            <w:pPr>
              <w:pStyle w:val="ListBullet2"/>
            </w:pPr>
            <w:r w:rsidRPr="00B519E2">
              <w:t>Note: Combustible materials are gases, vapours (from liquids), and dus</w:t>
            </w:r>
            <w:r w:rsidRPr="00B519E2">
              <w:t>ts; flash point.</w:t>
            </w:r>
          </w:p>
          <w:p w:rsidR="00000000" w:rsidRPr="00B519E2" w:rsidP="00B519E2">
            <w:pPr>
              <w:pStyle w:val="ListBullet2"/>
            </w:pPr>
            <w:r w:rsidRPr="00B519E2">
              <w:t>the difference between gases and vapours; and</w:t>
            </w:r>
          </w:p>
          <w:p w:rsidR="00000000" w:rsidP="00B519E2">
            <w:pPr>
              <w:pStyle w:val="ListBullet2"/>
              <w:rPr>
                <w:lang w:val="en-NZ"/>
              </w:rPr>
            </w:pPr>
            <w:r w:rsidRPr="00B519E2">
              <w:t>the toxic nature of gases and vapours and potential harmful consequences.</w:t>
            </w:r>
          </w:p>
        </w:tc>
      </w:tr>
      <w:tr w:rsidTr="008E15F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519E2" w:rsidP="00B519E2">
            <w:pPr>
              <w:pStyle w:val="BodyText"/>
            </w:pPr>
            <w:r w:rsidRPr="00B519E2">
              <w:t>T4</w:t>
            </w:r>
            <w:r w:rsidRPr="00B519E2">
              <w:tab/>
              <w:t>The nature of hazardous areas encompassing:</w:t>
            </w:r>
          </w:p>
          <w:p w:rsidR="00000000" w:rsidRPr="00B519E2" w:rsidP="00B519E2">
            <w:pPr>
              <w:pStyle w:val="ListBullet2"/>
            </w:pPr>
            <w:r w:rsidRPr="00B519E2">
              <w:t>the Standards definition of a ‘hazardous area’;</w:t>
            </w:r>
          </w:p>
          <w:p w:rsidR="00000000" w:rsidRPr="00B519E2" w:rsidP="00B519E2">
            <w:pPr>
              <w:pStyle w:val="ListBullet2"/>
            </w:pPr>
            <w:r w:rsidRPr="00B519E2">
              <w:t>the recommended methods for classifying the type and degree of explosion hazard in an area;</w:t>
            </w:r>
          </w:p>
          <w:p w:rsidR="00000000" w:rsidRPr="00B519E2" w:rsidP="00B519E2">
            <w:pPr>
              <w:pStyle w:val="ListBullet2"/>
            </w:pPr>
            <w:r w:rsidRPr="00B519E2">
              <w:t>hazardous area classifications as defined by Standards; and</w:t>
            </w:r>
          </w:p>
          <w:p w:rsidR="00000000" w:rsidRPr="00B519E2" w:rsidP="00B519E2">
            <w:pPr>
              <w:pStyle w:val="ListBullet2"/>
            </w:pPr>
            <w:r w:rsidRPr="00B519E2">
              <w:t>factors that are considered when a hazardous area is classified.</w:t>
            </w:r>
          </w:p>
          <w:p w:rsidR="00000000" w:rsidP="00B519E2">
            <w:pPr>
              <w:pStyle w:val="ListBullet2"/>
              <w:rPr>
                <w:lang w:val="en-NZ"/>
              </w:rPr>
            </w:pPr>
            <w:r w:rsidRPr="00B519E2">
              <w:t xml:space="preserve">the basics of how explosion-protection </w:t>
            </w:r>
            <w:r w:rsidRPr="00B519E2">
              <w:t>is achieved by the methods of exclusion, containment, energy limitation, dilution, avoidance of ignition source.</w:t>
            </w:r>
          </w:p>
        </w:tc>
      </w:tr>
      <w:tr w:rsidTr="008E15F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519E2" w:rsidP="00B519E2">
            <w:pPr>
              <w:pStyle w:val="BodyText"/>
            </w:pPr>
            <w:r w:rsidRPr="00B519E2">
              <w:t>T5</w:t>
            </w:r>
            <w:r w:rsidRPr="00B519E2">
              <w:tab/>
              <w:t>Cable types encompassing:</w:t>
            </w:r>
          </w:p>
          <w:p w:rsidR="00000000" w:rsidRPr="00B519E2" w:rsidP="00B519E2">
            <w:pPr>
              <w:pStyle w:val="ListBullet2"/>
            </w:pPr>
            <w:r w:rsidRPr="00B519E2">
              <w:t>cable construction, materials and design features;</w:t>
            </w:r>
          </w:p>
          <w:p w:rsidR="00000000" w:rsidRPr="00B519E2" w:rsidP="00B519E2">
            <w:pPr>
              <w:pStyle w:val="ListBullet2"/>
            </w:pPr>
            <w:r w:rsidRPr="00B519E2">
              <w:t>function of each design feature;</w:t>
            </w:r>
          </w:p>
          <w:p w:rsidR="00000000" w:rsidRPr="00B519E2" w:rsidP="00B519E2">
            <w:pPr>
              <w:pStyle w:val="ListBullet2"/>
            </w:pPr>
            <w:r w:rsidRPr="00B519E2">
              <w:t>conditions under which cabl</w:t>
            </w:r>
            <w:r w:rsidRPr="00B519E2">
              <w:t>es should be stored;</w:t>
            </w:r>
          </w:p>
          <w:p w:rsidR="00000000" w:rsidRPr="00B519E2" w:rsidP="00B519E2">
            <w:pPr>
              <w:pStyle w:val="ListBullet2"/>
            </w:pPr>
            <w:r w:rsidRPr="00B519E2">
              <w:t>Standards to which cables are manufactured; and</w:t>
            </w:r>
          </w:p>
          <w:p w:rsidR="00000000" w:rsidP="00B519E2">
            <w:pPr>
              <w:pStyle w:val="ListBullet2"/>
              <w:rPr>
                <w:lang w:val="en-NZ"/>
              </w:rPr>
            </w:pPr>
            <w:r w:rsidRPr="00B519E2">
              <w:t>typical applications.</w:t>
            </w:r>
          </w:p>
        </w:tc>
      </w:tr>
      <w:tr w:rsidTr="008E15F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519E2" w:rsidP="00B519E2">
            <w:pPr>
              <w:pStyle w:val="BodyText"/>
            </w:pPr>
            <w:r w:rsidRPr="00B519E2">
              <w:t>T6</w:t>
            </w:r>
            <w:r w:rsidRPr="00B519E2">
              <w:tab/>
              <w:t>Cable repair preparation and conductor splicing methods encompassing:</w:t>
            </w:r>
          </w:p>
          <w:p w:rsidR="00000000" w:rsidRPr="00B519E2" w:rsidP="00B519E2">
            <w:pPr>
              <w:pStyle w:val="ListBullet2"/>
            </w:pPr>
            <w:r w:rsidRPr="00B519E2">
              <w:t>criteria for determining the section of cable suitable to be joined;</w:t>
            </w:r>
          </w:p>
          <w:p w:rsidR="00000000" w:rsidRPr="00B519E2" w:rsidP="00B519E2">
            <w:pPr>
              <w:pStyle w:val="ListBullet2"/>
            </w:pPr>
            <w:r w:rsidRPr="00B519E2">
              <w:t>cable preparation and methods; and</w:t>
            </w:r>
          </w:p>
          <w:p w:rsidR="00000000" w:rsidP="00B519E2">
            <w:pPr>
              <w:pStyle w:val="ListBullet2"/>
              <w:rPr>
                <w:lang w:val="en-NZ"/>
              </w:rPr>
            </w:pPr>
            <w:r w:rsidRPr="00B519E2">
              <w:t>splicing methods and application for power, pilot and earthing conductors.</w:t>
            </w:r>
          </w:p>
        </w:tc>
      </w:tr>
      <w:tr w:rsidTr="008E15F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519E2" w:rsidP="00B519E2">
            <w:pPr>
              <w:pStyle w:val="BodyText"/>
            </w:pPr>
            <w:r w:rsidRPr="00B519E2">
              <w:t>T7</w:t>
            </w:r>
            <w:r w:rsidRPr="00B519E2">
              <w:tab/>
              <w:t>Replacement of cable insulation encompassing:</w:t>
            </w:r>
          </w:p>
          <w:p w:rsidR="00000000" w:rsidRPr="00B519E2" w:rsidP="00B519E2">
            <w:pPr>
              <w:pStyle w:val="ListBullet2"/>
            </w:pPr>
            <w:r w:rsidRPr="00B519E2">
              <w:t>preparation of a power conductors prior to the application of insulation;</w:t>
            </w:r>
          </w:p>
          <w:p w:rsidR="00000000" w:rsidRPr="00B519E2" w:rsidP="00B519E2">
            <w:pPr>
              <w:pStyle w:val="ListBullet2"/>
            </w:pPr>
            <w:r w:rsidRPr="00B519E2">
              <w:t xml:space="preserve">types of insulation </w:t>
            </w:r>
            <w:r w:rsidRPr="00B519E2">
              <w:t>repair tapes and their application; and</w:t>
            </w:r>
          </w:p>
          <w:p w:rsidR="00000000" w:rsidP="00B519E2">
            <w:pPr>
              <w:pStyle w:val="ListBullet2"/>
              <w:rPr>
                <w:lang w:val="en-NZ"/>
              </w:rPr>
            </w:pPr>
            <w:r w:rsidRPr="00B519E2">
              <w:t>techniques for applying insulation repair tape.</w:t>
            </w:r>
          </w:p>
        </w:tc>
      </w:tr>
      <w:tr w:rsidTr="008E15F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T8</w:t>
            </w:r>
            <w:r w:rsidRPr="00B519E2">
              <w:tab/>
              <w:t>Techniques for joining pliable wire armour.</w:t>
            </w:r>
          </w:p>
        </w:tc>
      </w:tr>
      <w:tr w:rsidTr="008E15F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519E2" w:rsidP="00B519E2">
            <w:pPr>
              <w:pStyle w:val="BodyText"/>
            </w:pPr>
            <w:r w:rsidRPr="00B519E2">
              <w:t>T9</w:t>
            </w:r>
            <w:r w:rsidRPr="00B519E2">
              <w:tab/>
              <w:t>Replacing and repairing cable sheath encompassing:</w:t>
            </w:r>
          </w:p>
          <w:p w:rsidR="00000000" w:rsidRPr="00B519E2" w:rsidP="00B519E2">
            <w:pPr>
              <w:pStyle w:val="ListBullet2"/>
            </w:pPr>
            <w:r w:rsidRPr="00B519E2">
              <w:t>techniques used in replacing cable sheath;</w:t>
            </w:r>
          </w:p>
          <w:p w:rsidR="00000000" w:rsidRPr="00B519E2" w:rsidP="00B519E2">
            <w:pPr>
              <w:pStyle w:val="ListBullet2"/>
            </w:pPr>
            <w:r w:rsidRPr="00B519E2">
              <w:t>setting up a vulcanizer to vulcanize a repair; and</w:t>
            </w:r>
          </w:p>
          <w:p w:rsidR="00000000" w:rsidRPr="00B519E2" w:rsidP="00B519E2">
            <w:pPr>
              <w:pStyle w:val="ListBullet2"/>
            </w:pPr>
            <w:r w:rsidRPr="00B519E2">
              <w:t>vulcanizing techniques and issues.</w:t>
            </w:r>
          </w:p>
        </w:tc>
      </w:tr>
    </w:tbl>
    <w:p w:rsidR="00000000" w:rsidRPr="00B519E2" w:rsidP="00B519E2">
      <w:pPr>
        <w:pStyle w:val="BodyText"/>
      </w:pPr>
    </w:p>
    <w:p w:rsidR="00000000" w:rsidRPr="00B519E2" w:rsidP="00B519E2">
      <w:pPr>
        <w:pStyle w:val="AllowPageBreak"/>
      </w:pPr>
    </w:p>
    <w:p w:rsidR="00000000" w:rsidRPr="00B519E2" w:rsidP="00B519E2">
      <w:pPr>
        <w:pStyle w:val="Heading1"/>
      </w:pPr>
      <w:bookmarkStart w:id="10" w:name="O_586164"/>
      <w:bookmarkEnd w:id="10"/>
      <w:r w:rsidRPr="00B519E2">
        <w:t>Evidence Guide</w:t>
      </w:r>
    </w:p>
    <w:tbl>
      <w:tblPr>
        <w:tblW w:w="0" w:type="auto"/>
        <w:tblLayout w:type="fixed"/>
        <w:tblCellMar>
          <w:left w:w="62" w:type="dxa"/>
          <w:right w:w="62" w:type="dxa"/>
        </w:tblCellMar>
        <w:tblLook w:val="0000"/>
      </w:tblPr>
      <w:tblGrid>
        <w:gridCol w:w="2160"/>
        <w:gridCol w:w="720"/>
        <w:gridCol w:w="540"/>
        <w:gridCol w:w="5040"/>
      </w:tblGrid>
      <w:tr w:rsidTr="008E15F7">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rPr>
                <w:rStyle w:val="SpecialBold"/>
              </w:rPr>
              <w:t>EVIDENCE GUIDE</w:t>
            </w:r>
          </w:p>
        </w:tc>
      </w:tr>
      <w:tr w:rsidTr="008E15F7">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B519E2" w:rsidP="00B519E2">
            <w:pPr>
              <w:pStyle w:val="BodyText"/>
            </w:pPr>
            <w:r w:rsidRPr="00B519E2">
              <w:rPr>
                <w:rStyle w:val="SpecialBold"/>
              </w:rPr>
              <w:t>9</w:t>
            </w:r>
            <w:r w:rsidRPr="00B519E2">
              <w:t xml:space="preserve">) This provides essential advice for assessment of the unit and must be read in conjunction with the </w:t>
            </w:r>
            <w:r w:rsidRPr="00B519E2">
              <w:t>performance criteria and the range statement of the unit and the Training Package Assessment Guidelines.</w:t>
            </w:r>
          </w:p>
          <w:p w:rsidR="00000000" w:rsidP="00B519E2">
            <w:pPr>
              <w:pStyle w:val="BodyText"/>
              <w:rPr>
                <w:lang w:val="en-NZ"/>
              </w:rPr>
            </w:pPr>
            <w:r w:rsidRPr="00B519E2">
              <w:t>The Evidence Guide forms an integral part of this unit. It must be used in conjunction with all components parts of this unit and performed in accordan</w:t>
            </w:r>
            <w:r w:rsidRPr="00B519E2">
              <w:t>ce with the Assessment Guidelines of this Training Package.</w:t>
            </w:r>
          </w:p>
        </w:tc>
      </w:tr>
      <w:tr w:rsidTr="008E15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519E2" w:rsidP="00B519E2">
            <w:pPr>
              <w:pStyle w:val="BodyText"/>
            </w:pPr>
            <w:r w:rsidRPr="00B519E2">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519E2" w:rsidP="00B519E2">
            <w:pPr>
              <w:pStyle w:val="BodyText"/>
            </w:pPr>
            <w:r w:rsidRPr="00B519E2">
              <w:rPr>
                <w:rStyle w:val="SpecialBold"/>
              </w:rPr>
              <w:t>9</w:t>
            </w:r>
            <w:r w:rsidRPr="00B519E2">
              <w:t>.</w:t>
            </w:r>
            <w:r w:rsidRPr="00B519E2">
              <w:rPr>
                <w:rStyle w:val="SpecialBold"/>
              </w:rPr>
              <w:t>1</w:t>
            </w:r>
            <w:r w:rsidRPr="00B519E2">
              <w:t xml:space="preserve">) </w:t>
            </w:r>
          </w:p>
          <w:p w:rsidR="00000000" w:rsidRPr="00B519E2" w:rsidP="00B519E2">
            <w:pPr>
              <w:pStyle w:val="BodyText"/>
            </w:pPr>
            <w:r w:rsidRPr="00B519E2">
              <w:t>Longitudinal competency development approaches to assessment, such as Profiling, require data to be reliably gathered in a form that can be consistently interprete</w:t>
            </w:r>
            <w:r w:rsidRPr="00B519E2">
              <w:t>d over time. This approach is best utilised in Apprenticeship programs and reduces assessment intervention. It is the industry-preferred model for apprenticeships. However, where summative (or final) assessment is used it is to include the application of t</w:t>
            </w:r>
            <w:r w:rsidRPr="00B519E2">
              <w:t>he competency in the normal work environment or, at a minimum, the application of the competency in a realistically simulated work environment. It is recognised that, in some circumstances, assessment in part or full can occur outside the workplace. Howeve</w:t>
            </w:r>
            <w:r w:rsidRPr="00B519E2">
              <w:t>r, it must be in accord with industry and regulatory policy.</w:t>
            </w:r>
          </w:p>
          <w:p w:rsidR="00000000" w:rsidRPr="00B519E2" w:rsidP="00B519E2">
            <w:pPr>
              <w:pStyle w:val="BodyText"/>
            </w:pPr>
            <w:r w:rsidRPr="00B519E2">
              <w:t>Methods chosen for a particular assessment will be influenced by various factors. These include the extent of the assessment, the most effective locations for the assessment activities to take pl</w:t>
            </w:r>
            <w:r w:rsidRPr="00B519E2">
              <w:t>ace, access to physical resources, additional safety measures that may be required and the critical nature of the competencies being assessed.</w:t>
            </w:r>
          </w:p>
          <w:p w:rsidR="00000000" w:rsidRPr="00B519E2" w:rsidP="00B519E2">
            <w:pPr>
              <w:pStyle w:val="BodyText"/>
            </w:pPr>
            <w:r w:rsidRPr="00B519E2">
              <w:t>The critical safety nature of working with electricity, electrical equipment, gas or any other hazardous substanc</w:t>
            </w:r>
            <w:r w:rsidRPr="00B519E2">
              <w:t>e/material carries risk in deeming a person competent. Sources of evidence need to be 'rich' in nature to minimise error in judgment.</w:t>
            </w:r>
          </w:p>
          <w:p w:rsidR="00000000" w:rsidP="00B519E2">
            <w:pPr>
              <w:pStyle w:val="BodyText"/>
              <w:rPr>
                <w:lang w:val="en-NZ"/>
              </w:rPr>
            </w:pPr>
            <w:r w:rsidRPr="00B519E2">
              <w:t>Activities associated with normal everyday work influence decisions about how/how much the data gathered will contribute to its 'richness'. Some skills are more critical to safety and operational requirements while the same skills may be more or less frequ</w:t>
            </w:r>
            <w:r w:rsidRPr="00B519E2">
              <w:t>ently practised. These points are raised for the assessors to consider when choosing an assessment method and developing assessment instruments. Sample assessment instruments are included for Assessors in the Assessment Guidelines of this Training Package.</w:t>
            </w:r>
          </w:p>
        </w:tc>
      </w:tr>
      <w:tr w:rsidTr="008E15F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519E2" w:rsidP="00B519E2">
            <w:pPr>
              <w:pStyle w:val="BodyText"/>
            </w:pPr>
            <w:r w:rsidRPr="00B519E2">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B519E2" w:rsidP="00B519E2">
            <w:pPr>
              <w:pStyle w:val="BodyText"/>
            </w:pPr>
            <w:r w:rsidRPr="00B519E2">
              <w:rPr>
                <w:rStyle w:val="SpecialBold"/>
              </w:rPr>
              <w:t>9</w:t>
            </w:r>
            <w:r w:rsidRPr="00B519E2">
              <w:t>.</w:t>
            </w:r>
            <w:r w:rsidRPr="00B519E2">
              <w:rPr>
                <w:rStyle w:val="SpecialBold"/>
              </w:rPr>
              <w:t>2</w:t>
            </w:r>
            <w:r w:rsidRPr="00B519E2">
              <w:t xml:space="preserve">) </w:t>
            </w:r>
          </w:p>
          <w:p w:rsidR="00000000" w:rsidP="00B519E2">
            <w:pPr>
              <w:pStyle w:val="BodyText"/>
              <w:rPr>
                <w:lang w:val="en-NZ"/>
              </w:rPr>
            </w:pPr>
            <w:r w:rsidRPr="00B519E2">
              <w:t>Before the critical aspects of evidence are considered all prerequisites shall be met.</w:t>
            </w:r>
          </w:p>
        </w:tc>
      </w:tr>
      <w:tr w:rsidTr="008E15F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519E2" w:rsidP="00B519E2">
            <w:pPr>
              <w:pStyle w:val="BodyText"/>
            </w:pPr>
            <w:r w:rsidRPr="00B519E2">
              <w:t>Evidence for competence in this unit shall be considered holistically.  Each e</w:t>
            </w:r>
            <w:r w:rsidRPr="00B519E2">
              <w:t>lement and associated performance criteria must be demonstrated on at least two occasions in accordance with the 'Assessment Guidelines - UEE07'.  Evidence shall also comprise:</w:t>
            </w:r>
          </w:p>
          <w:p w:rsidR="00000000" w:rsidP="00B519E2">
            <w:pPr>
              <w:pStyle w:val="ListBullet"/>
              <w:rPr>
                <w:lang w:val="en-NZ"/>
              </w:rPr>
            </w:pPr>
            <w:r w:rsidRPr="00B519E2">
              <w:t>A representative body of work performance demonstrated within the timeframes t</w:t>
            </w:r>
            <w:r w:rsidRPr="00B519E2">
              <w:t>ypically expected of the discipline, work function and industrial environment. In particular this shall incorporate evidence that shows a candidate is able to:</w:t>
            </w:r>
          </w:p>
        </w:tc>
      </w:tr>
      <w:tr w:rsidTr="008E15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519E2" w:rsidP="00B519E2">
            <w:pPr>
              <w:pStyle w:val="ListBullet2"/>
            </w:pPr>
            <w:r w:rsidRPr="00B519E2">
              <w:t xml:space="preserve">Implement Occupational Health and Safety workplace procedures and practices, including </w:t>
            </w:r>
            <w:r w:rsidRPr="00B519E2">
              <w:t>the use of risk control measures as specified in the performance criteria and range statement</w:t>
            </w:r>
          </w:p>
          <w:p w:rsidR="00000000" w:rsidRPr="00B519E2" w:rsidP="00B519E2">
            <w:pPr>
              <w:pStyle w:val="ListBullet2"/>
            </w:pPr>
            <w:r w:rsidRPr="00B519E2">
              <w:t>Apply sustainable energy principles and practices as specified in the performance criteria and range statement</w:t>
            </w:r>
          </w:p>
          <w:p w:rsidR="00000000" w:rsidRPr="00B519E2" w:rsidP="00B519E2">
            <w:pPr>
              <w:pStyle w:val="ListBullet2"/>
            </w:pPr>
            <w:r w:rsidRPr="00B519E2">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B519E2" w:rsidP="00B519E2">
            <w:pPr>
              <w:pStyle w:val="ListBullet2"/>
            </w:pPr>
            <w:r w:rsidRPr="00B519E2">
              <w:t>Demonst</w:t>
            </w:r>
            <w:r w:rsidRPr="00B519E2">
              <w:t>rate an appropriate level of skills enabling employment</w:t>
            </w:r>
          </w:p>
          <w:p w:rsidR="00000000" w:rsidP="00B519E2">
            <w:pPr>
              <w:pStyle w:val="ListBullet2"/>
              <w:rPr>
                <w:lang w:val="en-NZ"/>
              </w:rPr>
            </w:pPr>
            <w:r w:rsidRPr="00B519E2">
              <w:t>Conduct work observing the relevant Anti Discrimination legislation, regulations, polices and workplace procedures</w:t>
            </w:r>
          </w:p>
        </w:tc>
      </w:tr>
      <w:tr w:rsidTr="008E15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519E2">
            <w:pPr>
              <w:pStyle w:val="ListBullet"/>
              <w:rPr>
                <w:lang w:val="en-NZ"/>
              </w:rPr>
            </w:pPr>
            <w:r w:rsidRPr="00B519E2">
              <w:t>Demonstrated consistent performance across a representative range of contexts fr</w:t>
            </w:r>
            <w:r w:rsidRPr="00B519E2">
              <w:t>om the prescribed items below:</w:t>
            </w:r>
          </w:p>
        </w:tc>
      </w:tr>
      <w:tr w:rsidTr="008E15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519E2">
            <w:pPr>
              <w:pStyle w:val="ListBullet2"/>
              <w:rPr>
                <w:lang w:val="en-NZ"/>
              </w:rPr>
            </w:pPr>
            <w:r w:rsidRPr="00B519E2">
              <w:t>Repairing at least four separate cables as described in 8) and including:</w:t>
            </w:r>
          </w:p>
        </w:tc>
      </w:tr>
      <w:tr w:rsidTr="008E15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A</w:t>
            </w:r>
          </w:p>
        </w:tc>
        <w:tc>
          <w:tcPr>
            <w:tcW w:w="504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Following OHS procedures.</w:t>
            </w:r>
          </w:p>
        </w:tc>
      </w:tr>
      <w:tr w:rsidTr="008E15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B</w:t>
            </w:r>
          </w:p>
        </w:tc>
        <w:tc>
          <w:tcPr>
            <w:tcW w:w="504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Confirming cable repair specifications.</w:t>
            </w:r>
          </w:p>
        </w:tc>
      </w:tr>
      <w:tr w:rsidTr="008E15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C</w:t>
            </w:r>
          </w:p>
        </w:tc>
        <w:tc>
          <w:tcPr>
            <w:tcW w:w="504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Correctly preparing a cable joint.</w:t>
            </w:r>
          </w:p>
        </w:tc>
      </w:tr>
      <w:tr w:rsidTr="008E15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D</w:t>
            </w:r>
          </w:p>
        </w:tc>
        <w:tc>
          <w:tcPr>
            <w:tcW w:w="504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Applying an acceptable conductor splicing method correctly.</w:t>
            </w:r>
          </w:p>
        </w:tc>
      </w:tr>
      <w:tr w:rsidTr="008E15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E</w:t>
            </w:r>
          </w:p>
        </w:tc>
        <w:tc>
          <w:tcPr>
            <w:tcW w:w="504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Insulating and covering all cores and outer sheath correctly, using appropriate materials.</w:t>
            </w:r>
          </w:p>
        </w:tc>
      </w:tr>
      <w:tr w:rsidTr="008E15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F</w:t>
            </w:r>
          </w:p>
        </w:tc>
        <w:tc>
          <w:tcPr>
            <w:tcW w:w="504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Applying an acceptable for joining pliable cable armour correctly.</w:t>
            </w:r>
          </w:p>
        </w:tc>
      </w:tr>
      <w:tr w:rsidTr="008E15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G</w:t>
            </w:r>
          </w:p>
        </w:tc>
        <w:tc>
          <w:tcPr>
            <w:tcW w:w="504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Preparing and vulcanising cable sheath to the required hardness.</w:t>
            </w:r>
          </w:p>
        </w:tc>
      </w:tr>
      <w:tr w:rsidTr="008E15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H</w:t>
            </w:r>
          </w:p>
        </w:tc>
        <w:tc>
          <w:tcPr>
            <w:tcW w:w="504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Documenting cable repair in accordance with established quality procedures.</w:t>
            </w:r>
          </w:p>
        </w:tc>
      </w:tr>
      <w:tr w:rsidTr="008E15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I</w:t>
            </w:r>
          </w:p>
        </w:tc>
        <w:tc>
          <w:tcPr>
            <w:tcW w:w="504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Applying relevant contingency management skills.</w:t>
            </w:r>
          </w:p>
        </w:tc>
      </w:tr>
      <w:tr w:rsidTr="008E15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519E2" w:rsidP="00B519E2">
            <w:pPr>
              <w:pStyle w:val="BodyText"/>
            </w:pPr>
            <w:r w:rsidRPr="00B519E2">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519E2" w:rsidP="00B519E2">
            <w:pPr>
              <w:pStyle w:val="BodyText"/>
            </w:pPr>
            <w:r w:rsidRPr="00B519E2">
              <w:rPr>
                <w:rStyle w:val="SpecialBold"/>
              </w:rPr>
              <w:t>9</w:t>
            </w:r>
            <w:r w:rsidRPr="00B519E2">
              <w:t>.</w:t>
            </w:r>
            <w:r w:rsidRPr="00B519E2">
              <w:rPr>
                <w:rStyle w:val="SpecialBold"/>
              </w:rPr>
              <w:t>3</w:t>
            </w:r>
            <w:r w:rsidRPr="00B519E2">
              <w:t xml:space="preserve">) </w:t>
            </w:r>
          </w:p>
          <w:p w:rsidR="00000000" w:rsidRPr="00B519E2" w:rsidP="00B519E2">
            <w:pPr>
              <w:pStyle w:val="BodyText"/>
            </w:pPr>
            <w:r w:rsidRPr="00B519E2">
              <w:t>This unit should be assessed as it relates to normal work practice using procedures, information and resources typical of a workplace. This should include:</w:t>
            </w:r>
          </w:p>
          <w:p w:rsidR="00000000" w:rsidRPr="00B519E2" w:rsidP="00B519E2">
            <w:pPr>
              <w:pStyle w:val="ListBullet"/>
            </w:pPr>
            <w:r w:rsidRPr="00B519E2">
              <w:t>OHS policy and work procedures and instructions.</w:t>
            </w:r>
          </w:p>
          <w:p w:rsidR="00000000" w:rsidRPr="00B519E2" w:rsidP="00B519E2">
            <w:pPr>
              <w:pStyle w:val="ListBullet"/>
            </w:pPr>
            <w:r w:rsidRPr="00B519E2">
              <w:t>Suitable work environment, facilities, equipment and materials to undertake actual work as prescribed by this unit.</w:t>
            </w:r>
          </w:p>
          <w:p w:rsidR="00000000" w:rsidRPr="00B519E2" w:rsidP="00B519E2">
            <w:pPr>
              <w:pStyle w:val="BodyText"/>
            </w:pPr>
            <w:r w:rsidRPr="00B519E2">
              <w:t>These should also be part of the formal learning/assessment environment.</w:t>
            </w:r>
          </w:p>
          <w:p w:rsidR="00000000" w:rsidRPr="00B519E2" w:rsidP="00B519E2">
            <w:pPr>
              <w:pStyle w:val="BodyText"/>
            </w:pPr>
            <w:r w:rsidRPr="00B519E2">
              <w:t>Note:</w:t>
            </w:r>
          </w:p>
          <w:p w:rsidR="00000000" w:rsidP="00B519E2">
            <w:pPr>
              <w:pStyle w:val="BodyText"/>
              <w:rPr>
                <w:lang w:val="en-NZ"/>
              </w:rPr>
            </w:pPr>
            <w:r w:rsidRPr="00B519E2">
              <w:t>Where simulation is considered a suitable strategy for assess</w:t>
            </w:r>
            <w:r w:rsidRPr="00B519E2">
              <w:t>ment, conditions must be authentic and as far as possible reproduce and replicate the workplace and be consistent with the approved industry simulation policy.</w:t>
            </w:r>
          </w:p>
        </w:tc>
      </w:tr>
      <w:tr w:rsidTr="008E15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The resources used for assessment should reflect current industry practices in relation to t</w:t>
            </w:r>
            <w:r w:rsidRPr="00B519E2">
              <w:t>esting installations in hazardous areas.</w:t>
            </w:r>
          </w:p>
        </w:tc>
      </w:tr>
      <w:tr w:rsidTr="008E15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519E2" w:rsidP="00B519E2">
            <w:pPr>
              <w:pStyle w:val="BodyText"/>
            </w:pPr>
            <w:r w:rsidRPr="00B519E2">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519E2" w:rsidP="00B519E2">
            <w:pPr>
              <w:pStyle w:val="BodyText"/>
            </w:pPr>
            <w:r w:rsidRPr="00B519E2">
              <w:rPr>
                <w:rStyle w:val="SpecialBold"/>
              </w:rPr>
              <w:t>9</w:t>
            </w:r>
            <w:r w:rsidRPr="00B519E2">
              <w:t>.</w:t>
            </w:r>
            <w:r w:rsidRPr="00B519E2">
              <w:rPr>
                <w:rStyle w:val="SpecialBold"/>
              </w:rPr>
              <w:t>4</w:t>
            </w:r>
            <w:r w:rsidRPr="00B519E2">
              <w:t xml:space="preserve">) </w:t>
            </w:r>
          </w:p>
          <w:p w:rsidR="00000000" w:rsidRPr="00B519E2" w:rsidP="00B519E2">
            <w:pPr>
              <w:pStyle w:val="BodyText"/>
            </w:pPr>
            <w:r w:rsidRPr="00B519E2">
              <w:t>This unit shall be assessed by methods given in Volume 1, Part 3 'Assessment Guidelines'.</w:t>
            </w:r>
          </w:p>
          <w:p w:rsidR="00000000" w:rsidRPr="00B519E2" w:rsidP="00B519E2">
            <w:pPr>
              <w:pStyle w:val="BodyText"/>
            </w:pPr>
            <w:r w:rsidRPr="00B519E2">
              <w:t>Note:</w:t>
            </w:r>
          </w:p>
          <w:p w:rsidR="00000000" w:rsidP="00B519E2">
            <w:pPr>
              <w:pStyle w:val="BodyText"/>
              <w:rPr>
                <w:lang w:val="en-NZ"/>
              </w:rPr>
            </w:pPr>
            <w:r w:rsidRPr="00B519E2">
              <w:t>Competent performance with inherent safe working practices is expected in the Industry to which this unit applies. This requires assessment in a structured environment primarily intended for learning/assessment which incorporates all necessary equipment an</w:t>
            </w:r>
            <w:r w:rsidRPr="00B519E2">
              <w:t>d facilities for learners to develop and demonstrate the essential knowledge and skills described in this unit.</w:t>
            </w:r>
          </w:p>
        </w:tc>
      </w:tr>
      <w:tr w:rsidTr="008E15F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519E2" w:rsidP="00B519E2">
            <w:pPr>
              <w:pStyle w:val="BodyText"/>
            </w:pPr>
            <w:r w:rsidRPr="00B519E2">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rPr>
                <w:rStyle w:val="SpecialBold"/>
              </w:rPr>
              <w:t>9</w:t>
            </w:r>
            <w:r w:rsidRPr="00B519E2">
              <w:t>.</w:t>
            </w:r>
            <w:r w:rsidRPr="00B519E2">
              <w:rPr>
                <w:rStyle w:val="SpecialBold"/>
              </w:rPr>
              <w:t>5</w:t>
            </w:r>
            <w:r w:rsidRPr="00B519E2">
              <w:t>)</w:t>
            </w:r>
          </w:p>
        </w:tc>
      </w:tr>
      <w:tr w:rsidTr="008E15F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519E2" w:rsidP="00B519E2">
            <w:pPr>
              <w:pStyle w:val="BodyText"/>
            </w:pPr>
            <w:r w:rsidRPr="00B519E2">
              <w:t>No units applicable.</w:t>
            </w:r>
          </w:p>
        </w:tc>
      </w:tr>
    </w:tbl>
    <w:p w:rsidR="008E15F7" w:rsidP="00B519E2">
      <w:pPr>
        <w:pStyle w:val="BodyText"/>
      </w:pPr>
    </w:p>
    <w:p w:rsidR="008E15F7" w:rsidP="00B519E2">
      <w:pPr>
        <w:pStyle w:val="BodyText"/>
      </w:pPr>
    </w:p>
    <w:p w:rsidR="00000000" w:rsidRPr="00B519E2" w:rsidP="00B519E2">
      <w:pPr>
        <w:pStyle w:val="Heading1"/>
      </w:pPr>
      <w:bookmarkStart w:id="11" w:name="O_586163"/>
      <w:bookmarkEnd w:id="11"/>
      <w:r w:rsidRPr="00B519E2">
        <w:t>Range Statement</w:t>
      </w:r>
    </w:p>
    <w:tbl>
      <w:tblPr>
        <w:tblW w:w="0" w:type="auto"/>
        <w:tblLayout w:type="fixed"/>
        <w:tblCellMar>
          <w:left w:w="62" w:type="dxa"/>
          <w:right w:w="62" w:type="dxa"/>
        </w:tblCellMar>
        <w:tblLook w:val="0000"/>
      </w:tblPr>
      <w:tblGrid>
        <w:gridCol w:w="4230"/>
        <w:gridCol w:w="4230"/>
      </w:tblGrid>
      <w:tr w:rsidTr="008E15F7">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rPr>
                <w:rStyle w:val="SpecialBold"/>
              </w:rPr>
              <w:t>RANGE STATEMENT</w:t>
            </w:r>
          </w:p>
        </w:tc>
      </w:tr>
      <w:tr w:rsidTr="008E15F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rPr>
                <w:rStyle w:val="SpecialBold"/>
              </w:rPr>
              <w:t>8</w:t>
            </w:r>
            <w:r w:rsidRPr="00B519E2">
              <w:t>) This relates to the unit as a whole providing the range of contexts and conditions to which the performance criteria apply. It allows for different work environments and situations that will affect performance.</w:t>
            </w:r>
          </w:p>
        </w:tc>
      </w:tr>
      <w:tr w:rsidTr="008E15F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 xml:space="preserve">This unit shall be demonstrated in relation to repairing at least four separate cables. Among the four cables for which competency is demonstrated, all of the following features shall be included: </w:t>
            </w:r>
          </w:p>
        </w:tc>
      </w:tr>
      <w:tr w:rsidTr="008E15F7">
        <w:tblPrEx>
          <w:tblW w:w="0" w:type="auto"/>
          <w:tblLayout w:type="fixed"/>
          <w:tblCellMar>
            <w:left w:w="62" w:type="dxa"/>
            <w:right w:w="62" w:type="dxa"/>
          </w:tblCellMar>
          <w:tblLook w:val="0000"/>
        </w:tblPrEx>
        <w:tc>
          <w:tcPr>
            <w:tcW w:w="4230" w:type="dxa"/>
            <w:tcBorders>
              <w:top w:val="nil"/>
              <w:left w:val="nil"/>
              <w:bottom w:val="nil"/>
              <w:right w:val="nil"/>
            </w:tcBorders>
            <w:tcMar>
              <w:top w:w="0" w:type="dxa"/>
              <w:left w:w="62" w:type="dxa"/>
              <w:bottom w:w="0" w:type="dxa"/>
              <w:right w:w="62" w:type="dxa"/>
            </w:tcMar>
          </w:tcPr>
          <w:p w:rsidR="00000000" w:rsidRPr="00B519E2" w:rsidP="00B519E2">
            <w:pPr>
              <w:pStyle w:val="BodyText"/>
            </w:pPr>
            <w:r w:rsidRPr="00B519E2">
              <w:rPr>
                <w:rStyle w:val="SpecialBold"/>
              </w:rPr>
              <w:t>Cable features</w:t>
            </w:r>
          </w:p>
        </w:tc>
        <w:tc>
          <w:tcPr>
            <w:tcW w:w="423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rPr>
                <w:rStyle w:val="SpecialBold"/>
              </w:rPr>
              <w:t>AS</w:t>
            </w:r>
            <w:r w:rsidRPr="00B519E2">
              <w:t>/</w:t>
            </w:r>
            <w:r w:rsidRPr="00B519E2">
              <w:rPr>
                <w:rStyle w:val="SpecialBold"/>
              </w:rPr>
              <w:t>NZS designated cable type</w:t>
            </w:r>
          </w:p>
        </w:tc>
      </w:tr>
      <w:tr w:rsidTr="008E15F7">
        <w:tblPrEx>
          <w:tblW w:w="0" w:type="auto"/>
          <w:tblLayout w:type="fixed"/>
          <w:tblCellMar>
            <w:left w:w="62" w:type="dxa"/>
            <w:right w:w="62" w:type="dxa"/>
          </w:tblCellMar>
          <w:tblLook w:val="0000"/>
        </w:tblPrEx>
        <w:tc>
          <w:tcPr>
            <w:tcW w:w="423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Standard conductor construction</w:t>
            </w:r>
          </w:p>
        </w:tc>
        <w:tc>
          <w:tcPr>
            <w:tcW w:w="423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209; 210; 240; 241; 260; 275; 409; 412.1; 440; 441.1; 441; 450; 455.</w:t>
            </w:r>
          </w:p>
        </w:tc>
      </w:tr>
      <w:tr w:rsidTr="008E15F7">
        <w:tblPrEx>
          <w:tblW w:w="0" w:type="auto"/>
          <w:tblLayout w:type="fixed"/>
          <w:tblCellMar>
            <w:left w:w="62" w:type="dxa"/>
            <w:right w:w="62" w:type="dxa"/>
          </w:tblCellMar>
          <w:tblLook w:val="0000"/>
        </w:tblPrEx>
        <w:tc>
          <w:tcPr>
            <w:tcW w:w="423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Super flexible</w:t>
            </w:r>
          </w:p>
        </w:tc>
        <w:tc>
          <w:tcPr>
            <w:tcW w:w="423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245.</w:t>
            </w:r>
          </w:p>
        </w:tc>
      </w:tr>
      <w:tr w:rsidTr="008E15F7">
        <w:tblPrEx>
          <w:tblW w:w="0" w:type="auto"/>
          <w:tblLayout w:type="fixed"/>
          <w:tblCellMar>
            <w:left w:w="62" w:type="dxa"/>
            <w:right w:w="62" w:type="dxa"/>
          </w:tblCellMar>
          <w:tblLook w:val="0000"/>
        </w:tblPrEx>
        <w:tc>
          <w:tcPr>
            <w:tcW w:w="423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HV-EP-90 insulated</w:t>
            </w:r>
          </w:p>
        </w:tc>
        <w:tc>
          <w:tcPr>
            <w:tcW w:w="423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441; 450; 455.</w:t>
            </w:r>
          </w:p>
        </w:tc>
      </w:tr>
      <w:tr w:rsidTr="008E15F7">
        <w:tblPrEx>
          <w:tblW w:w="0" w:type="auto"/>
          <w:tblLayout w:type="fixed"/>
          <w:tblCellMar>
            <w:left w:w="62" w:type="dxa"/>
            <w:right w:w="62" w:type="dxa"/>
          </w:tblCellMar>
          <w:tblLook w:val="0000"/>
        </w:tblPrEx>
        <w:tc>
          <w:tcPr>
            <w:tcW w:w="423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Semi conductive extruded screens</w:t>
            </w:r>
          </w:p>
        </w:tc>
        <w:tc>
          <w:tcPr>
            <w:tcW w:w="423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241; 245; 441.1; 441; 450; 455.</w:t>
            </w:r>
          </w:p>
        </w:tc>
      </w:tr>
      <w:tr w:rsidTr="008E15F7">
        <w:tblPrEx>
          <w:tblW w:w="0" w:type="auto"/>
          <w:tblLayout w:type="fixed"/>
          <w:tblCellMar>
            <w:left w:w="62" w:type="dxa"/>
            <w:right w:w="62" w:type="dxa"/>
          </w:tblCellMar>
          <w:tblLook w:val="0000"/>
        </w:tblPrEx>
        <w:tc>
          <w:tcPr>
            <w:tcW w:w="423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Metal braided screens</w:t>
            </w:r>
          </w:p>
        </w:tc>
        <w:tc>
          <w:tcPr>
            <w:tcW w:w="423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209; 210; 240; 260; 409; 440; 450.</w:t>
            </w:r>
          </w:p>
        </w:tc>
      </w:tr>
      <w:tr w:rsidTr="008E15F7">
        <w:tblPrEx>
          <w:tblW w:w="0" w:type="auto"/>
          <w:tblLayout w:type="fixed"/>
          <w:tblCellMar>
            <w:left w:w="62" w:type="dxa"/>
            <w:right w:w="62" w:type="dxa"/>
          </w:tblCellMar>
          <w:tblLook w:val="0000"/>
        </w:tblPrEx>
        <w:tc>
          <w:tcPr>
            <w:tcW w:w="423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Interstitial earths</w:t>
            </w:r>
          </w:p>
        </w:tc>
        <w:tc>
          <w:tcPr>
            <w:tcW w:w="423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241; 245; 275; 412.1; 441.1; 441; 450; 455.</w:t>
            </w:r>
          </w:p>
        </w:tc>
      </w:tr>
      <w:tr w:rsidTr="008E15F7">
        <w:tblPrEx>
          <w:tblW w:w="0" w:type="auto"/>
          <w:tblLayout w:type="fixed"/>
          <w:tblCellMar>
            <w:left w:w="62" w:type="dxa"/>
            <w:right w:w="62" w:type="dxa"/>
          </w:tblCellMar>
          <w:tblLook w:val="0000"/>
        </w:tblPrEx>
        <w:tc>
          <w:tcPr>
            <w:tcW w:w="423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Interstitial pilots</w:t>
            </w:r>
          </w:p>
        </w:tc>
        <w:tc>
          <w:tcPr>
            <w:tcW w:w="423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240; 260; 440; 450; 455.</w:t>
            </w:r>
          </w:p>
        </w:tc>
      </w:tr>
      <w:tr w:rsidTr="008E15F7">
        <w:tblPrEx>
          <w:tblW w:w="0" w:type="auto"/>
          <w:tblLayout w:type="fixed"/>
          <w:tblCellMar>
            <w:left w:w="62" w:type="dxa"/>
            <w:right w:w="62" w:type="dxa"/>
          </w:tblCellMar>
          <w:tblLook w:val="0000"/>
        </w:tblPrEx>
        <w:tc>
          <w:tcPr>
            <w:tcW w:w="423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Central pilot</w:t>
            </w:r>
          </w:p>
        </w:tc>
        <w:tc>
          <w:tcPr>
            <w:tcW w:w="423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209; 210; 241; 245; 275; 409; 441.1; 441.</w:t>
            </w:r>
          </w:p>
        </w:tc>
      </w:tr>
      <w:tr w:rsidTr="008E15F7">
        <w:tblPrEx>
          <w:tblW w:w="0" w:type="auto"/>
          <w:tblLayout w:type="fixed"/>
          <w:tblCellMar>
            <w:left w:w="62" w:type="dxa"/>
            <w:right w:w="62" w:type="dxa"/>
          </w:tblCellMar>
          <w:tblLook w:val="0000"/>
        </w:tblPrEx>
        <w:tc>
          <w:tcPr>
            <w:tcW w:w="423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Pliable armour</w:t>
            </w:r>
          </w:p>
        </w:tc>
        <w:tc>
          <w:tcPr>
            <w:tcW w:w="423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260; 412.1.</w:t>
            </w:r>
          </w:p>
        </w:tc>
      </w:tr>
      <w:tr w:rsidTr="008E15F7">
        <w:tblPrEx>
          <w:tblW w:w="0" w:type="auto"/>
          <w:tblLayout w:type="fixed"/>
          <w:tblCellMar>
            <w:left w:w="62" w:type="dxa"/>
            <w:right w:w="62" w:type="dxa"/>
          </w:tblCellMar>
          <w:tblLook w:val="0000"/>
        </w:tblPrEx>
        <w:tc>
          <w:tcPr>
            <w:tcW w:w="423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Sheath reinforcement</w:t>
            </w:r>
          </w:p>
        </w:tc>
        <w:tc>
          <w:tcPr>
            <w:tcW w:w="423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241</w:t>
            </w:r>
            <w:r w:rsidRPr="00B519E2">
              <w:t>; 245; 274; 441.1; 441; 450; 455.</w:t>
            </w:r>
          </w:p>
        </w:tc>
      </w:tr>
      <w:tr w:rsidTr="008E15F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519E2" w:rsidP="00B519E2">
            <w:pPr>
              <w:pStyle w:val="BodyText"/>
            </w:pPr>
            <w:r w:rsidRPr="00B519E2">
              <w:t>Generic terms used throughout this Vocational Standard shall be regarded as part of the Range Statement in which competency is demonstrated. The definition of these and other terms that apply are given in Volume 2, Part 2</w:t>
            </w:r>
            <w:r w:rsidRPr="00B519E2">
              <w:t>.1.</w:t>
            </w:r>
          </w:p>
        </w:tc>
      </w:tr>
    </w:tbl>
    <w:p w:rsidR="008E15F7" w:rsidP="00B519E2">
      <w:pPr>
        <w:pStyle w:val="BodyText"/>
      </w:pPr>
    </w:p>
    <w:p w:rsidR="008E15F7" w:rsidP="00B519E2">
      <w:pPr>
        <w:pStyle w:val="BodyText"/>
      </w:pPr>
    </w:p>
    <w:p w:rsidR="00000000" w:rsidRPr="00B519E2" w:rsidP="00B519E2">
      <w:pPr>
        <w:pStyle w:val="Heading1"/>
      </w:pPr>
      <w:bookmarkStart w:id="12" w:name="O_586162"/>
      <w:bookmarkEnd w:id="12"/>
      <w:r w:rsidRPr="00B519E2">
        <w:t>Unit Sector(s)</w:t>
      </w:r>
    </w:p>
    <w:p w:rsidR="00000000" w:rsidRPr="00B519E2" w:rsidP="00B519E2">
      <w:pPr>
        <w:pStyle w:val="BodyText"/>
      </w:pPr>
      <w:r w:rsidRPr="00B519E2">
        <w:t>Not Applicable</w:t>
      </w:r>
    </w:p>
    <w:p w:rsidR="00000000" w:rsidRPr="00B519E2" w:rsidP="00B519E2">
      <w:pPr>
        <w:pStyle w:val="AllowPageBreak"/>
      </w:pPr>
    </w:p>
    <w:p w:rsidR="00000000" w:rsidRPr="00B519E2" w:rsidP="00B519E2">
      <w:pPr>
        <w:pStyle w:val="Heading1"/>
      </w:pPr>
      <w:bookmarkStart w:id="13" w:name="O_586161"/>
      <w:bookmarkEnd w:id="13"/>
      <w:r w:rsidRPr="00B519E2">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8E15F7">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519E2" w:rsidP="00B519E2">
            <w:pPr>
              <w:pStyle w:val="BodyText"/>
            </w:pPr>
            <w:r w:rsidRPr="00B519E2">
              <w:rPr>
                <w:rStyle w:val="SpecialBold"/>
              </w:rPr>
              <w:t>2</w:t>
            </w:r>
            <w:r w:rsidRPr="00B519E2">
              <w:t>.</w:t>
            </w:r>
            <w:r w:rsidRPr="00B519E2">
              <w:rPr>
                <w:rStyle w:val="SpecialBold"/>
              </w:rPr>
              <w:t>2</w:t>
            </w:r>
            <w:r w:rsidRPr="00B519E2">
              <w:t xml:space="preserve">) </w:t>
            </w:r>
            <w:r w:rsidRPr="00B519E2">
              <w:rPr>
                <w:rStyle w:val="SpecialBold"/>
              </w:rPr>
              <w:t>Literacy and numeracy skills</w:t>
            </w:r>
          </w:p>
          <w:p w:rsidR="00000000" w:rsidP="00B519E2">
            <w:pPr>
              <w:pStyle w:val="BodyText"/>
              <w:rPr>
                <w:lang w:val="en-NZ"/>
              </w:rPr>
            </w:pPr>
            <w:r w:rsidRPr="00B519E2">
              <w:t>Participants are best equipped to achieve competency in this unit if they have reading, writing and numeracy skills indicated by the following scales. Description of each scale is given in Volume 2, Part 3 'Literacy and Numeracy'</w:t>
            </w:r>
          </w:p>
        </w:tc>
      </w:tr>
      <w:tr w:rsidTr="008E15F7">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Reading</w:t>
            </w:r>
          </w:p>
        </w:tc>
        <w:tc>
          <w:tcPr>
            <w:tcW w:w="1182"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3</w:t>
            </w:r>
          </w:p>
        </w:tc>
        <w:tc>
          <w:tcPr>
            <w:tcW w:w="1739"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Writing</w:t>
            </w:r>
          </w:p>
        </w:tc>
        <w:tc>
          <w:tcPr>
            <w:tcW w:w="1182"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3</w:t>
            </w:r>
          </w:p>
        </w:tc>
        <w:tc>
          <w:tcPr>
            <w:tcW w:w="1721"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t>Numeracy</w:t>
            </w:r>
          </w:p>
        </w:tc>
        <w:tc>
          <w:tcPr>
            <w:tcW w:w="1182" w:type="dxa"/>
            <w:tcBorders>
              <w:top w:val="nil"/>
              <w:left w:val="nil"/>
              <w:bottom w:val="nil"/>
              <w:right w:val="nil"/>
            </w:tcBorders>
            <w:tcMar>
              <w:top w:w="0" w:type="dxa"/>
              <w:left w:w="62" w:type="dxa"/>
              <w:bottom w:w="0" w:type="dxa"/>
              <w:right w:w="62" w:type="dxa"/>
            </w:tcMar>
          </w:tcPr>
          <w:p w:rsidR="00000000" w:rsidRPr="00B519E2" w:rsidP="00B519E2">
            <w:pPr>
              <w:pStyle w:val="BodyText"/>
            </w:pPr>
            <w:r w:rsidRPr="00B519E2">
              <w:t>3</w:t>
            </w:r>
          </w:p>
        </w:tc>
      </w:tr>
    </w:tbl>
    <w:p w:rsidR="008E15F7" w:rsidP="00B519E2">
      <w:pPr>
        <w:pStyle w:val="BodyText"/>
      </w:pPr>
    </w:p>
    <w:p w:rsidR="008E15F7" w:rsidP="00B519E2">
      <w:pPr>
        <w:pStyle w:val="BodyText"/>
      </w:pPr>
    </w:p>
    <w:p w:rsidR="00000000" w:rsidRPr="00B519E2" w:rsidP="00B519E2">
      <w:pPr>
        <w:pStyle w:val="Heading1"/>
      </w:pPr>
      <w:bookmarkStart w:id="14" w:name="O_586160"/>
      <w:bookmarkEnd w:id="14"/>
      <w:r w:rsidRPr="00B519E2">
        <w:t>2.2) Literacy and numeracy skills</w:t>
      </w:r>
    </w:p>
    <w:tbl>
      <w:tblPr>
        <w:tblW w:w="0" w:type="auto"/>
        <w:tblLayout w:type="fixed"/>
        <w:tblCellMar>
          <w:left w:w="62" w:type="dxa"/>
          <w:right w:w="62" w:type="dxa"/>
        </w:tblCellMar>
        <w:tblLook w:val="0000"/>
      </w:tblPr>
      <w:tblGrid>
        <w:gridCol w:w="2700"/>
        <w:gridCol w:w="5760"/>
      </w:tblGrid>
      <w:tr w:rsidTr="008E15F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19E2" w:rsidP="00B519E2">
            <w:pPr>
              <w:pStyle w:val="BodyText"/>
            </w:pPr>
            <w:r w:rsidRPr="00B519E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519E2">
            <w:pPr>
              <w:pStyle w:val="BodyText"/>
              <w:rPr>
                <w:lang w:val="en-NZ"/>
              </w:rPr>
            </w:pPr>
            <w:r w:rsidRPr="00B519E2">
              <w:rPr>
                <w:rStyle w:val="SpecialBold"/>
              </w:rPr>
              <w:t>5</w:t>
            </w:r>
            <w:r w:rsidRPr="00B519E2">
              <w:t>)</w:t>
            </w:r>
          </w:p>
        </w:tc>
      </w:tr>
      <w:tr w:rsidTr="008E1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519E2" w:rsidP="00B519E2">
            <w:pPr>
              <w:pStyle w:val="BodyText"/>
            </w:pPr>
            <w:r w:rsidRPr="00B519E2">
              <w:t>Hazards</w:t>
            </w:r>
          </w:p>
        </w:tc>
      </w:tr>
    </w:tbl>
    <w:p w:rsidR="008E15F7" w:rsidP="00B519E2">
      <w:pPr>
        <w:pStyle w:val="BodyText"/>
      </w:pPr>
    </w:p>
    <w:p w:rsidR="008E15F7" w:rsidP="00B519E2">
      <w:pPr>
        <w:pStyle w:val="BodyText"/>
      </w:pPr>
    </w:p>
    <w:p w:rsidR="00000000" w:rsidRPr="00B519E2" w:rsidP="00B519E2"/>
    <w:sectPr w:rsidSect="00B519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9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9E2" w:rsidRPr="008E15F7" w:rsidP="008E15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9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5F7" w:rsidP="00B519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E15F7" w:rsidP="00B519E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8E15F7" w:rsidP="00B519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9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9E2" w:rsidRPr="008E15F7" w:rsidP="008E15F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9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5F7" w:rsidRPr="002D2AF8" w:rsidP="00B519E2">
    <w:pPr>
      <w:pStyle w:val="Header"/>
      <w:framePr w:wrap="around"/>
    </w:pPr>
    <w:r>
      <w:fldChar w:fldCharType="begin"/>
    </w:r>
    <w:r>
      <w:instrText xml:space="preserve"> TITLE   \* MERGEFORMAT </w:instrText>
    </w:r>
    <w:r>
      <w:fldChar w:fldCharType="separate"/>
    </w:r>
    <w:r>
      <w:t>UEENEEM070A Repair reeling, trailing and flexible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8E15F7" w:rsidP="00B519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F21B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42EB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964E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19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19E2"/>
    <w:pPr>
      <w:spacing w:before="360" w:after="60"/>
      <w:outlineLvl w:val="0"/>
    </w:pPr>
    <w:rPr>
      <w:sz w:val="32"/>
    </w:rPr>
  </w:style>
  <w:style w:type="paragraph" w:styleId="Heading2">
    <w:name w:val="heading 2"/>
    <w:basedOn w:val="HeadingBase"/>
    <w:next w:val="BodyText"/>
    <w:link w:val="Heading2Char"/>
    <w:qFormat/>
    <w:rsid w:val="00B519E2"/>
    <w:pPr>
      <w:keepLines/>
      <w:spacing w:before="240" w:after="120"/>
      <w:outlineLvl w:val="1"/>
    </w:pPr>
    <w:rPr>
      <w:sz w:val="28"/>
      <w:szCs w:val="40"/>
    </w:rPr>
  </w:style>
  <w:style w:type="paragraph" w:styleId="Heading3">
    <w:name w:val="heading 3"/>
    <w:basedOn w:val="HeadingBase"/>
    <w:next w:val="BodyText"/>
    <w:link w:val="Heading3Char"/>
    <w:qFormat/>
    <w:rsid w:val="00B519E2"/>
    <w:pPr>
      <w:spacing w:before="180" w:after="120"/>
      <w:outlineLvl w:val="2"/>
    </w:pPr>
    <w:rPr>
      <w:spacing w:val="-10"/>
      <w:kern w:val="32"/>
    </w:rPr>
  </w:style>
  <w:style w:type="paragraph" w:styleId="Heading4">
    <w:name w:val="heading 4"/>
    <w:basedOn w:val="HeadingBase"/>
    <w:next w:val="BodyText"/>
    <w:link w:val="Heading4Char"/>
    <w:qFormat/>
    <w:rsid w:val="00B519E2"/>
    <w:pPr>
      <w:spacing w:before="160" w:after="120"/>
      <w:outlineLvl w:val="3"/>
    </w:pPr>
    <w:rPr>
      <w:sz w:val="22"/>
    </w:rPr>
  </w:style>
  <w:style w:type="paragraph" w:styleId="Heading5">
    <w:name w:val="heading 5"/>
    <w:basedOn w:val="HeadingBase"/>
    <w:next w:val="Normal"/>
    <w:link w:val="Heading5Char"/>
    <w:qFormat/>
    <w:rsid w:val="00B519E2"/>
    <w:pPr>
      <w:spacing w:before="80"/>
      <w:outlineLvl w:val="4"/>
    </w:pPr>
    <w:rPr>
      <w:color w:val="918585"/>
      <w:sz w:val="20"/>
    </w:rPr>
  </w:style>
  <w:style w:type="paragraph" w:styleId="Heading6">
    <w:name w:val="heading 6"/>
    <w:basedOn w:val="HeadingBase"/>
    <w:next w:val="Normal"/>
    <w:link w:val="Heading6Char"/>
    <w:qFormat/>
    <w:rsid w:val="00B519E2"/>
    <w:pPr>
      <w:spacing w:before="60"/>
      <w:outlineLvl w:val="5"/>
    </w:pPr>
    <w:rPr>
      <w:color w:val="918585"/>
      <w:sz w:val="20"/>
    </w:rPr>
  </w:style>
  <w:style w:type="paragraph" w:styleId="Heading7">
    <w:name w:val="heading 7"/>
    <w:basedOn w:val="Normal"/>
    <w:next w:val="Normal"/>
    <w:link w:val="Heading7Char"/>
    <w:qFormat/>
    <w:rsid w:val="00B519E2"/>
    <w:pPr>
      <w:ind w:left="720"/>
      <w:outlineLvl w:val="6"/>
    </w:pPr>
    <w:rPr>
      <w:i/>
    </w:rPr>
  </w:style>
  <w:style w:type="paragraph" w:styleId="Heading8">
    <w:name w:val="heading 8"/>
    <w:basedOn w:val="Normal"/>
    <w:next w:val="Normal"/>
    <w:link w:val="Heading8Char"/>
    <w:qFormat/>
    <w:rsid w:val="00B519E2"/>
    <w:pPr>
      <w:ind w:left="720"/>
      <w:outlineLvl w:val="7"/>
    </w:pPr>
    <w:rPr>
      <w:i/>
    </w:rPr>
  </w:style>
  <w:style w:type="paragraph" w:styleId="Heading9">
    <w:name w:val="heading 9"/>
    <w:basedOn w:val="Normal"/>
    <w:next w:val="Normal"/>
    <w:link w:val="Heading9Char"/>
    <w:qFormat/>
    <w:rsid w:val="00B519E2"/>
    <w:pPr>
      <w:ind w:left="720"/>
      <w:outlineLvl w:val="8"/>
    </w:pPr>
    <w:rPr>
      <w:i/>
    </w:rPr>
  </w:style>
  <w:style w:type="character" w:default="1" w:styleId="DefaultParagraphFont">
    <w:name w:val="Default Paragraph Font"/>
    <w:uiPriority w:val="1"/>
    <w:unhideWhenUsed/>
    <w:rsid w:val="00B519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19E2"/>
  </w:style>
  <w:style w:type="character" w:customStyle="1" w:styleId="Heading1Char">
    <w:name w:val="Heading 1 Char"/>
    <w:basedOn w:val="DefaultParagraphFont"/>
    <w:link w:val="Heading1"/>
    <w:rsid w:val="00B519E2"/>
    <w:rPr>
      <w:rFonts w:ascii="Times New Roman" w:eastAsia="Times New Roman" w:hAnsi="Times New Roman" w:cs="Times New Roman"/>
      <w:b/>
      <w:sz w:val="32"/>
      <w:szCs w:val="20"/>
      <w:lang w:eastAsia="en-US"/>
    </w:rPr>
  </w:style>
  <w:style w:type="paragraph" w:styleId="BodyText">
    <w:name w:val="Body Text"/>
    <w:basedOn w:val="Normal"/>
    <w:link w:val="BodyTextChar"/>
    <w:rsid w:val="00B519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19E2"/>
    <w:rPr>
      <w:rFonts w:ascii="Times New Roman" w:eastAsia="Times New Roman" w:hAnsi="Times New Roman" w:cs="Times New Roman"/>
      <w:sz w:val="24"/>
      <w:lang w:eastAsia="en-US"/>
    </w:rPr>
  </w:style>
  <w:style w:type="paragraph" w:styleId="ListBullet">
    <w:name w:val="List Bullet"/>
    <w:basedOn w:val="List"/>
    <w:rsid w:val="00B519E2"/>
    <w:pPr>
      <w:numPr>
        <w:numId w:val="13"/>
      </w:numPr>
      <w:tabs>
        <w:tab w:val="clear" w:pos="340"/>
      </w:tabs>
      <w:spacing w:before="40" w:after="40"/>
    </w:pPr>
  </w:style>
  <w:style w:type="character" w:customStyle="1" w:styleId="SpecialBold">
    <w:name w:val="Special Bold"/>
    <w:basedOn w:val="DefaultParagraphFont"/>
    <w:rsid w:val="00B519E2"/>
    <w:rPr>
      <w:b/>
      <w:spacing w:val="0"/>
    </w:rPr>
  </w:style>
  <w:style w:type="paragraph" w:styleId="ListBullet2">
    <w:name w:val="List Bullet 2"/>
    <w:basedOn w:val="List2"/>
    <w:rsid w:val="00B519E2"/>
    <w:pPr>
      <w:numPr>
        <w:numId w:val="14"/>
      </w:numPr>
      <w:tabs>
        <w:tab w:val="clear" w:pos="680"/>
      </w:tabs>
    </w:pPr>
  </w:style>
  <w:style w:type="character" w:styleId="Emphasis">
    <w:name w:val="Emphasis"/>
    <w:basedOn w:val="DefaultParagraphFont"/>
    <w:qFormat/>
    <w:rsid w:val="00B519E2"/>
    <w:rPr>
      <w:i/>
    </w:rPr>
  </w:style>
  <w:style w:type="paragraph" w:customStyle="1" w:styleId="SuperHeading">
    <w:name w:val="SuperHeading"/>
    <w:basedOn w:val="Normal"/>
    <w:rsid w:val="00B519E2"/>
    <w:pPr>
      <w:spacing w:before="240" w:after="120"/>
      <w:outlineLvl w:val="0"/>
    </w:pPr>
    <w:rPr>
      <w:rFonts w:ascii="Times New Roman" w:hAnsi="Times New Roman"/>
      <w:b/>
      <w:sz w:val="32"/>
    </w:rPr>
  </w:style>
  <w:style w:type="paragraph" w:customStyle="1" w:styleId="AllowPageBreak">
    <w:name w:val="AllowPageBreak"/>
    <w:rsid w:val="00B519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19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19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19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19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19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19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19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19E2"/>
    <w:rPr>
      <w:rFonts w:ascii="Courier New" w:eastAsia="Times New Roman" w:hAnsi="Courier New" w:cs="Times New Roman"/>
      <w:i/>
      <w:szCs w:val="20"/>
      <w:lang w:eastAsia="en-US"/>
    </w:rPr>
  </w:style>
  <w:style w:type="paragraph" w:customStyle="1" w:styleId="HeadingBase">
    <w:name w:val="Heading Base"/>
    <w:rsid w:val="00B519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19E2"/>
    <w:pPr>
      <w:tabs>
        <w:tab w:val="right" w:leader="dot" w:pos="9072"/>
      </w:tabs>
      <w:ind w:left="567"/>
    </w:pPr>
    <w:rPr>
      <w:szCs w:val="22"/>
    </w:rPr>
  </w:style>
  <w:style w:type="paragraph" w:customStyle="1" w:styleId="TOCBase">
    <w:name w:val="TOC Base"/>
    <w:rsid w:val="00B519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19E2"/>
    <w:pPr>
      <w:tabs>
        <w:tab w:val="right" w:leader="dot" w:pos="9072"/>
      </w:tabs>
      <w:spacing w:before="40" w:after="40"/>
      <w:ind w:left="284"/>
    </w:pPr>
    <w:rPr>
      <w:rFonts w:ascii="Times New Roman" w:hAnsi="Times New Roman"/>
    </w:rPr>
  </w:style>
  <w:style w:type="paragraph" w:styleId="TOC1">
    <w:name w:val="toc 1"/>
    <w:basedOn w:val="TOCBase"/>
    <w:next w:val="Normal"/>
    <w:rsid w:val="00B519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19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19E2"/>
    <w:rPr>
      <w:rFonts w:ascii="Times New Roman" w:eastAsia="Times New Roman" w:hAnsi="Times New Roman" w:cs="Times New Roman"/>
      <w:sz w:val="16"/>
      <w:lang w:eastAsia="en-US"/>
    </w:rPr>
  </w:style>
  <w:style w:type="paragraph" w:styleId="Title">
    <w:name w:val="Title"/>
    <w:basedOn w:val="HeadingBase"/>
    <w:link w:val="TitleChar"/>
    <w:qFormat/>
    <w:rsid w:val="00B519E2"/>
    <w:pPr>
      <w:spacing w:before="5040"/>
      <w:jc w:val="center"/>
    </w:pPr>
    <w:rPr>
      <w:sz w:val="48"/>
      <w:szCs w:val="72"/>
      <w:lang w:val="en-US"/>
    </w:rPr>
  </w:style>
  <w:style w:type="character" w:customStyle="1" w:styleId="TitleChar">
    <w:name w:val="Title Char"/>
    <w:basedOn w:val="DefaultParagraphFont"/>
    <w:link w:val="Title"/>
    <w:rsid w:val="00B519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19E2"/>
    <w:pPr>
      <w:tabs>
        <w:tab w:val="left" w:pos="3600"/>
        <w:tab w:val="left" w:pos="3958"/>
      </w:tabs>
    </w:pPr>
  </w:style>
  <w:style w:type="paragraph" w:styleId="List">
    <w:name w:val="List"/>
    <w:basedOn w:val="BodyText"/>
    <w:next w:val="BodyText"/>
    <w:rsid w:val="00B519E2"/>
    <w:pPr>
      <w:tabs>
        <w:tab w:val="left" w:pos="340"/>
      </w:tabs>
      <w:spacing w:before="60" w:after="60"/>
      <w:ind w:left="340" w:hanging="340"/>
    </w:pPr>
  </w:style>
  <w:style w:type="paragraph" w:customStyle="1" w:styleId="Note">
    <w:name w:val="Note"/>
    <w:basedOn w:val="BodyText"/>
    <w:rsid w:val="00B519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19E2"/>
    <w:pPr>
      <w:framePr w:wrap="auto" w:hAnchor="text" w:y="6049"/>
    </w:pPr>
    <w:rPr>
      <w:color w:val="000000"/>
      <w:sz w:val="40"/>
    </w:rPr>
  </w:style>
  <w:style w:type="paragraph" w:customStyle="1" w:styleId="TOCTitle">
    <w:name w:val="TOCTitle"/>
    <w:basedOn w:val="Heading1"/>
    <w:rsid w:val="00B519E2"/>
    <w:pPr>
      <w:spacing w:after="240"/>
      <w:jc w:val="center"/>
      <w:outlineLvl w:val="9"/>
    </w:pPr>
    <w:rPr>
      <w:caps/>
    </w:rPr>
  </w:style>
  <w:style w:type="paragraph" w:customStyle="1" w:styleId="Version">
    <w:name w:val="Version"/>
    <w:rsid w:val="00B519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19E2"/>
    <w:pPr>
      <w:keepNext w:val="0"/>
      <w:tabs>
        <w:tab w:val="right" w:pos="4176"/>
      </w:tabs>
      <w:ind w:left="198" w:hanging="198"/>
    </w:pPr>
    <w:rPr>
      <w:rFonts w:ascii="Garamond" w:hAnsi="Garamond"/>
    </w:rPr>
  </w:style>
  <w:style w:type="paragraph" w:styleId="IndexHeading">
    <w:name w:val="index heading"/>
    <w:basedOn w:val="Normal"/>
    <w:next w:val="Index1"/>
    <w:semiHidden/>
    <w:rsid w:val="00B519E2"/>
    <w:pPr>
      <w:spacing w:before="120" w:after="120"/>
    </w:pPr>
    <w:rPr>
      <w:rFonts w:ascii="Arial" w:hAnsi="Arial"/>
      <w:b/>
      <w:color w:val="918585"/>
      <w:sz w:val="24"/>
    </w:rPr>
  </w:style>
  <w:style w:type="paragraph" w:styleId="Header">
    <w:name w:val="header"/>
    <w:basedOn w:val="Normal"/>
    <w:link w:val="HeaderChar"/>
    <w:rsid w:val="00B519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19E2"/>
    <w:rPr>
      <w:rFonts w:ascii="Times New Roman" w:eastAsia="Times New Roman" w:hAnsi="Times New Roman" w:cs="Times New Roman"/>
      <w:sz w:val="16"/>
      <w:szCs w:val="20"/>
      <w:lang w:val="en-GB" w:eastAsia="en-US"/>
    </w:rPr>
  </w:style>
  <w:style w:type="paragraph" w:customStyle="1" w:styleId="Chapter">
    <w:name w:val="Chapter"/>
    <w:basedOn w:val="Normal"/>
    <w:rsid w:val="00B519E2"/>
    <w:pPr>
      <w:spacing w:before="240"/>
    </w:pPr>
    <w:rPr>
      <w:rFonts w:ascii="Times New Roman" w:hAnsi="Times New Roman"/>
      <w:smallCaps/>
      <w:spacing w:val="80"/>
      <w:sz w:val="28"/>
    </w:rPr>
  </w:style>
  <w:style w:type="paragraph" w:customStyle="1" w:styleId="InChapter">
    <w:name w:val="InChapter"/>
    <w:basedOn w:val="Heading3"/>
    <w:rsid w:val="00B519E2"/>
    <w:pPr>
      <w:spacing w:after="240"/>
      <w:outlineLvl w:val="9"/>
    </w:pPr>
    <w:rPr>
      <w:noProof/>
    </w:rPr>
  </w:style>
  <w:style w:type="paragraph" w:styleId="Index2">
    <w:name w:val="index 2"/>
    <w:basedOn w:val="Normal"/>
    <w:next w:val="Normal"/>
    <w:semiHidden/>
    <w:rsid w:val="00B519E2"/>
    <w:pPr>
      <w:tabs>
        <w:tab w:val="right" w:pos="4176"/>
      </w:tabs>
      <w:ind w:left="568" w:hanging="284"/>
    </w:pPr>
    <w:rPr>
      <w:rFonts w:ascii="Garamond" w:hAnsi="Garamond"/>
    </w:rPr>
  </w:style>
  <w:style w:type="paragraph" w:customStyle="1" w:styleId="Byline">
    <w:name w:val="Byline"/>
    <w:rsid w:val="00B519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19E2"/>
    <w:pPr>
      <w:tabs>
        <w:tab w:val="clear" w:pos="3600"/>
        <w:tab w:val="clear" w:pos="3958"/>
      </w:tabs>
      <w:jc w:val="right"/>
    </w:pPr>
  </w:style>
  <w:style w:type="paragraph" w:styleId="Caption">
    <w:name w:val="caption"/>
    <w:basedOn w:val="BodyText"/>
    <w:next w:val="Normal"/>
    <w:qFormat/>
    <w:rsid w:val="00B519E2"/>
    <w:pPr>
      <w:framePr w:w="2268" w:hSpace="181" w:vSpace="181" w:wrap="around" w:vAnchor="text" w:hAnchor="page" w:x="1135" w:y="285" w:anchorLock="1"/>
    </w:pPr>
    <w:rPr>
      <w:i/>
    </w:rPr>
  </w:style>
  <w:style w:type="paragraph" w:customStyle="1" w:styleId="MiniTOCTitle">
    <w:name w:val="MiniTOCTitle"/>
    <w:basedOn w:val="Heading4"/>
    <w:rsid w:val="00B519E2"/>
    <w:pPr>
      <w:spacing w:before="240"/>
      <w:outlineLvl w:val="9"/>
    </w:pPr>
    <w:rPr>
      <w:noProof/>
      <w:sz w:val="24"/>
    </w:rPr>
  </w:style>
  <w:style w:type="paragraph" w:customStyle="1" w:styleId="MiniTOCItem">
    <w:name w:val="MiniTOCItem"/>
    <w:basedOn w:val="ListBullet"/>
    <w:rsid w:val="00B519E2"/>
    <w:pPr>
      <w:numPr>
        <w:numId w:val="0"/>
      </w:numPr>
      <w:tabs>
        <w:tab w:val="right" w:leader="dot" w:pos="6521"/>
      </w:tabs>
      <w:spacing w:before="0" w:after="0"/>
    </w:pPr>
  </w:style>
  <w:style w:type="paragraph" w:customStyle="1" w:styleId="TOFTitle">
    <w:name w:val="TOFTitle"/>
    <w:basedOn w:val="TOCTitle"/>
    <w:rsid w:val="00B519E2"/>
  </w:style>
  <w:style w:type="paragraph" w:styleId="TableofFigures">
    <w:name w:val="table of figures"/>
    <w:basedOn w:val="Normal"/>
    <w:next w:val="Normal"/>
    <w:semiHidden/>
    <w:rsid w:val="00B519E2"/>
    <w:pPr>
      <w:tabs>
        <w:tab w:val="right" w:leader="dot" w:pos="9072"/>
      </w:tabs>
      <w:ind w:left="970" w:hanging="403"/>
    </w:pPr>
    <w:rPr>
      <w:rFonts w:ascii="Times New Roman" w:hAnsi="Times New Roman"/>
      <w:b/>
    </w:rPr>
  </w:style>
  <w:style w:type="paragraph" w:styleId="ListNumber">
    <w:name w:val="List Number"/>
    <w:basedOn w:val="List"/>
    <w:rsid w:val="00B519E2"/>
    <w:pPr>
      <w:numPr>
        <w:numId w:val="11"/>
      </w:numPr>
    </w:pPr>
  </w:style>
  <w:style w:type="character" w:customStyle="1" w:styleId="WingdingSymbols">
    <w:name w:val="Wingding Symbols"/>
    <w:rsid w:val="00B519E2"/>
    <w:rPr>
      <w:rFonts w:ascii="Wingdings" w:hAnsi="Wingdings"/>
    </w:rPr>
  </w:style>
  <w:style w:type="paragraph" w:customStyle="1" w:styleId="TableHeading">
    <w:name w:val="Table Heading"/>
    <w:basedOn w:val="HeadingBase"/>
    <w:rsid w:val="00B519E2"/>
    <w:pPr>
      <w:keepLines/>
      <w:pBdr>
        <w:bottom w:val="single" w:sz="6" w:space="1" w:color="918585"/>
      </w:pBdr>
      <w:spacing w:before="240"/>
    </w:pPr>
  </w:style>
  <w:style w:type="character" w:customStyle="1" w:styleId="HotSpot">
    <w:name w:val="HotSpot"/>
    <w:rsid w:val="00B519E2"/>
    <w:rPr>
      <w:color w:val="0033CC"/>
      <w:u w:val="none"/>
    </w:rPr>
  </w:style>
  <w:style w:type="paragraph" w:customStyle="1" w:styleId="BodyTextRight">
    <w:name w:val="Body Text Right"/>
    <w:basedOn w:val="BodyText"/>
    <w:rsid w:val="00B519E2"/>
    <w:pPr>
      <w:spacing w:before="0" w:after="0"/>
      <w:jc w:val="right"/>
    </w:pPr>
  </w:style>
  <w:style w:type="paragraph" w:styleId="Index3">
    <w:name w:val="index 3"/>
    <w:basedOn w:val="ListNumber2"/>
    <w:next w:val="Normal"/>
    <w:semiHidden/>
    <w:rsid w:val="00B519E2"/>
    <w:pPr>
      <w:numPr>
        <w:numId w:val="0"/>
      </w:numPr>
      <w:tabs>
        <w:tab w:val="right" w:leader="dot" w:pos="4176"/>
      </w:tabs>
    </w:pPr>
  </w:style>
  <w:style w:type="paragraph" w:styleId="ListNumber2">
    <w:name w:val="List Number 2"/>
    <w:basedOn w:val="List2"/>
    <w:rsid w:val="00B519E2"/>
    <w:pPr>
      <w:numPr>
        <w:numId w:val="10"/>
      </w:numPr>
      <w:tabs>
        <w:tab w:val="clear" w:pos="1060"/>
      </w:tabs>
    </w:pPr>
  </w:style>
  <w:style w:type="paragraph" w:customStyle="1" w:styleId="MarginNote">
    <w:name w:val="Margin Note"/>
    <w:basedOn w:val="BodyText"/>
    <w:rsid w:val="00B519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19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19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19E2"/>
    <w:rPr>
      <w:sz w:val="32"/>
    </w:rPr>
  </w:style>
  <w:style w:type="paragraph" w:customStyle="1" w:styleId="HeadingProcedure">
    <w:name w:val="Heading Procedure"/>
    <w:basedOn w:val="HeadingBase"/>
    <w:next w:val="Normal"/>
    <w:rsid w:val="00B519E2"/>
    <w:pPr>
      <w:tabs>
        <w:tab w:val="left" w:pos="0"/>
      </w:tabs>
      <w:spacing w:before="120" w:after="60"/>
    </w:pPr>
    <w:rPr>
      <w:i/>
      <w:color w:val="918585"/>
      <w:sz w:val="22"/>
    </w:rPr>
  </w:style>
  <w:style w:type="paragraph" w:customStyle="1" w:styleId="TableBodyText">
    <w:name w:val="Table Body Text"/>
    <w:basedOn w:val="BodyText"/>
    <w:rsid w:val="00B519E2"/>
    <w:pPr>
      <w:spacing w:before="60" w:after="60"/>
    </w:pPr>
  </w:style>
  <w:style w:type="paragraph" w:styleId="ListContinue">
    <w:name w:val="List Continue"/>
    <w:basedOn w:val="List"/>
    <w:rsid w:val="00B519E2"/>
    <w:pPr>
      <w:ind w:firstLine="0"/>
    </w:pPr>
  </w:style>
  <w:style w:type="paragraph" w:customStyle="1" w:styleId="ListNote">
    <w:name w:val="List Note"/>
    <w:basedOn w:val="List"/>
    <w:rsid w:val="00B519E2"/>
    <w:pPr>
      <w:pBdr>
        <w:top w:val="single" w:sz="6" w:space="2" w:color="918585"/>
        <w:bottom w:val="single" w:sz="6" w:space="2" w:color="918585"/>
      </w:pBdr>
      <w:tabs>
        <w:tab w:val="left" w:pos="1021"/>
      </w:tabs>
      <w:ind w:firstLine="0"/>
    </w:pPr>
  </w:style>
  <w:style w:type="paragraph" w:customStyle="1" w:styleId="Warning">
    <w:name w:val="Warning"/>
    <w:basedOn w:val="BodyText"/>
    <w:rsid w:val="00B519E2"/>
    <w:pPr>
      <w:shd w:val="clear" w:color="auto" w:fill="D9D9D9"/>
      <w:tabs>
        <w:tab w:val="left" w:pos="992"/>
      </w:tabs>
      <w:ind w:left="119" w:right="119"/>
    </w:pPr>
    <w:rPr>
      <w:sz w:val="20"/>
    </w:rPr>
  </w:style>
  <w:style w:type="paragraph" w:customStyle="1" w:styleId="MarginIcons">
    <w:name w:val="Margin Icons"/>
    <w:basedOn w:val="BodyText"/>
    <w:rsid w:val="00B519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19E2"/>
    <w:rPr>
      <w:rFonts w:ascii="Courier New" w:hAnsi="Courier New"/>
    </w:rPr>
  </w:style>
  <w:style w:type="paragraph" w:customStyle="1" w:styleId="NoteBullet">
    <w:name w:val="Note Bullet"/>
    <w:basedOn w:val="Note"/>
    <w:rsid w:val="00B519E2"/>
    <w:pPr>
      <w:tabs>
        <w:tab w:val="clear" w:pos="680"/>
      </w:tabs>
      <w:spacing w:before="60" w:after="60"/>
    </w:pPr>
  </w:style>
  <w:style w:type="paragraph" w:customStyle="1" w:styleId="SubHeading2">
    <w:name w:val="SubHeading2"/>
    <w:basedOn w:val="HeadingBase"/>
    <w:rsid w:val="00B519E2"/>
    <w:pPr>
      <w:spacing w:before="240" w:after="60"/>
    </w:pPr>
    <w:rPr>
      <w:sz w:val="20"/>
    </w:rPr>
  </w:style>
  <w:style w:type="paragraph" w:customStyle="1" w:styleId="SubHeading1">
    <w:name w:val="SubHeading1"/>
    <w:basedOn w:val="HeadingBase"/>
    <w:rsid w:val="00B519E2"/>
    <w:pPr>
      <w:spacing w:before="240" w:after="60"/>
    </w:pPr>
    <w:rPr>
      <w:color w:val="918585"/>
      <w:sz w:val="22"/>
    </w:rPr>
  </w:style>
  <w:style w:type="paragraph" w:customStyle="1" w:styleId="SideHeading">
    <w:name w:val="Side Heading"/>
    <w:basedOn w:val="HeadingBase"/>
    <w:rsid w:val="00B519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19E2"/>
    <w:pPr>
      <w:numPr>
        <w:numId w:val="12"/>
      </w:numPr>
    </w:pPr>
  </w:style>
  <w:style w:type="paragraph" w:styleId="PlainText">
    <w:name w:val="Plain Text"/>
    <w:basedOn w:val="Normal"/>
    <w:link w:val="PlainTextChar"/>
    <w:rsid w:val="00B519E2"/>
    <w:rPr>
      <w:sz w:val="20"/>
    </w:rPr>
  </w:style>
  <w:style w:type="character" w:customStyle="1" w:styleId="PlainTextChar">
    <w:name w:val="Plain Text Char"/>
    <w:basedOn w:val="DefaultParagraphFont"/>
    <w:link w:val="PlainText"/>
    <w:rsid w:val="00B519E2"/>
    <w:rPr>
      <w:rFonts w:ascii="Courier New" w:eastAsia="Times New Roman" w:hAnsi="Courier New" w:cs="Times New Roman"/>
      <w:sz w:val="20"/>
      <w:szCs w:val="20"/>
      <w:lang w:eastAsia="en-US"/>
    </w:rPr>
  </w:style>
  <w:style w:type="character" w:customStyle="1" w:styleId="MenuOption">
    <w:name w:val="Menu Option"/>
    <w:basedOn w:val="DefaultParagraphFont"/>
    <w:rsid w:val="00B519E2"/>
    <w:rPr>
      <w:b/>
      <w:smallCaps/>
    </w:rPr>
  </w:style>
  <w:style w:type="paragraph" w:customStyle="1" w:styleId="TableListNumber">
    <w:name w:val="Table List Number"/>
    <w:basedOn w:val="ListNumber"/>
    <w:rsid w:val="00B519E2"/>
    <w:pPr>
      <w:numPr>
        <w:numId w:val="0"/>
      </w:numPr>
    </w:pPr>
  </w:style>
  <w:style w:type="paragraph" w:styleId="TOC4">
    <w:name w:val="toc 4"/>
    <w:basedOn w:val="TOCBase"/>
    <w:next w:val="Normal"/>
    <w:semiHidden/>
    <w:rsid w:val="00B519E2"/>
    <w:pPr>
      <w:tabs>
        <w:tab w:val="right" w:leader="dot" w:pos="9071"/>
      </w:tabs>
      <w:ind w:left="1701"/>
    </w:pPr>
  </w:style>
  <w:style w:type="paragraph" w:customStyle="1" w:styleId="ListAlpha">
    <w:name w:val="List Alpha"/>
    <w:basedOn w:val="List"/>
    <w:rsid w:val="00B519E2"/>
    <w:pPr>
      <w:numPr>
        <w:numId w:val="9"/>
      </w:numPr>
    </w:pPr>
  </w:style>
  <w:style w:type="paragraph" w:customStyle="1" w:styleId="ListAlpha2">
    <w:name w:val="List Alpha 2"/>
    <w:basedOn w:val="List2"/>
    <w:rsid w:val="00B519E2"/>
    <w:pPr>
      <w:numPr>
        <w:numId w:val="8"/>
      </w:numPr>
    </w:pPr>
  </w:style>
  <w:style w:type="paragraph" w:styleId="List2">
    <w:name w:val="List 2"/>
    <w:basedOn w:val="BodyText"/>
    <w:rsid w:val="00B519E2"/>
    <w:pPr>
      <w:tabs>
        <w:tab w:val="left" w:pos="680"/>
      </w:tabs>
      <w:spacing w:before="60" w:after="60"/>
      <w:ind w:left="680" w:hanging="340"/>
    </w:pPr>
  </w:style>
  <w:style w:type="paragraph" w:styleId="List3">
    <w:name w:val="List 3"/>
    <w:basedOn w:val="BodyText"/>
    <w:rsid w:val="00B519E2"/>
    <w:pPr>
      <w:tabs>
        <w:tab w:val="left" w:pos="1021"/>
      </w:tabs>
      <w:spacing w:before="60" w:after="60"/>
      <w:ind w:left="1020" w:hanging="340"/>
    </w:pPr>
  </w:style>
  <w:style w:type="paragraph" w:styleId="List4">
    <w:name w:val="List 4"/>
    <w:basedOn w:val="BodyText"/>
    <w:rsid w:val="00B519E2"/>
    <w:pPr>
      <w:tabs>
        <w:tab w:val="left" w:pos="1361"/>
      </w:tabs>
      <w:spacing w:before="60" w:after="60"/>
      <w:ind w:left="1361" w:hanging="340"/>
    </w:pPr>
  </w:style>
  <w:style w:type="paragraph" w:styleId="List5">
    <w:name w:val="List 5"/>
    <w:basedOn w:val="BodyText"/>
    <w:rsid w:val="00B519E2"/>
    <w:pPr>
      <w:tabs>
        <w:tab w:val="left" w:pos="1701"/>
      </w:tabs>
      <w:spacing w:before="60" w:after="60"/>
      <w:ind w:left="1701" w:hanging="340"/>
    </w:pPr>
  </w:style>
  <w:style w:type="paragraph" w:styleId="ListBullet3">
    <w:name w:val="List Bullet 3"/>
    <w:basedOn w:val="List3"/>
    <w:rsid w:val="00B519E2"/>
    <w:pPr>
      <w:numPr>
        <w:numId w:val="15"/>
      </w:numPr>
      <w:tabs>
        <w:tab w:val="clear" w:pos="1021"/>
      </w:tabs>
      <w:ind w:left="1037" w:hanging="357"/>
    </w:pPr>
  </w:style>
  <w:style w:type="paragraph" w:styleId="ListBullet4">
    <w:name w:val="List Bullet 4"/>
    <w:basedOn w:val="List4"/>
    <w:rsid w:val="00B519E2"/>
    <w:pPr>
      <w:numPr>
        <w:numId w:val="3"/>
      </w:numPr>
    </w:pPr>
  </w:style>
  <w:style w:type="paragraph" w:styleId="ListBullet5">
    <w:name w:val="List Bullet 5"/>
    <w:basedOn w:val="List5"/>
    <w:rsid w:val="00B519E2"/>
    <w:pPr>
      <w:numPr>
        <w:numId w:val="4"/>
      </w:numPr>
    </w:pPr>
  </w:style>
  <w:style w:type="paragraph" w:styleId="ListContinue2">
    <w:name w:val="List Continue 2"/>
    <w:basedOn w:val="List2"/>
    <w:rsid w:val="00B519E2"/>
    <w:pPr>
      <w:ind w:firstLine="0"/>
    </w:pPr>
  </w:style>
  <w:style w:type="paragraph" w:styleId="ListContinue3">
    <w:name w:val="List Continue 3"/>
    <w:basedOn w:val="List3"/>
    <w:rsid w:val="00B519E2"/>
    <w:pPr>
      <w:ind w:left="1021" w:firstLine="0"/>
    </w:pPr>
  </w:style>
  <w:style w:type="paragraph" w:styleId="ListContinue4">
    <w:name w:val="List Continue 4"/>
    <w:basedOn w:val="List4"/>
    <w:rsid w:val="00B519E2"/>
    <w:pPr>
      <w:ind w:firstLine="0"/>
    </w:pPr>
  </w:style>
  <w:style w:type="paragraph" w:styleId="ListContinue5">
    <w:name w:val="List Continue 5"/>
    <w:basedOn w:val="List5"/>
    <w:rsid w:val="00B519E2"/>
    <w:pPr>
      <w:ind w:firstLine="0"/>
    </w:pPr>
  </w:style>
  <w:style w:type="paragraph" w:styleId="ListNumber3">
    <w:name w:val="List Number 3"/>
    <w:basedOn w:val="List3"/>
    <w:rsid w:val="00B519E2"/>
    <w:pPr>
      <w:numPr>
        <w:numId w:val="5"/>
      </w:numPr>
    </w:pPr>
  </w:style>
  <w:style w:type="paragraph" w:styleId="ListNumber4">
    <w:name w:val="List Number 4"/>
    <w:basedOn w:val="List4"/>
    <w:rsid w:val="00B519E2"/>
    <w:pPr>
      <w:numPr>
        <w:numId w:val="6"/>
      </w:numPr>
    </w:pPr>
  </w:style>
  <w:style w:type="paragraph" w:styleId="ListNumber5">
    <w:name w:val="List Number 5"/>
    <w:basedOn w:val="List5"/>
    <w:rsid w:val="00B519E2"/>
    <w:pPr>
      <w:numPr>
        <w:numId w:val="7"/>
      </w:numPr>
    </w:pPr>
  </w:style>
  <w:style w:type="paragraph" w:styleId="BlockText">
    <w:name w:val="Block Text"/>
    <w:basedOn w:val="Normal"/>
    <w:rsid w:val="00B519E2"/>
    <w:pPr>
      <w:spacing w:after="120"/>
      <w:ind w:left="1440" w:right="1440"/>
    </w:pPr>
  </w:style>
  <w:style w:type="character" w:customStyle="1" w:styleId="Subscript">
    <w:name w:val="Subscript"/>
    <w:basedOn w:val="DefaultParagraphFont"/>
    <w:rsid w:val="00B519E2"/>
    <w:rPr>
      <w:sz w:val="16"/>
      <w:vertAlign w:val="subscript"/>
    </w:rPr>
  </w:style>
  <w:style w:type="character" w:customStyle="1" w:styleId="Superscript">
    <w:name w:val="Superscript"/>
    <w:basedOn w:val="DefaultParagraphFont"/>
    <w:rsid w:val="00B519E2"/>
    <w:rPr>
      <w:sz w:val="16"/>
      <w:vertAlign w:val="superscript"/>
    </w:rPr>
  </w:style>
  <w:style w:type="character" w:customStyle="1" w:styleId="Symbols">
    <w:name w:val="Symbols"/>
    <w:basedOn w:val="DefaultParagraphFont"/>
    <w:rsid w:val="00B519E2"/>
    <w:rPr>
      <w:rFonts w:ascii="Symbol" w:hAnsi="Symbol"/>
    </w:rPr>
  </w:style>
  <w:style w:type="character" w:customStyle="1" w:styleId="MenuOptions">
    <w:name w:val="Menu Options"/>
    <w:basedOn w:val="DefaultParagraphFont"/>
    <w:rsid w:val="00B519E2"/>
    <w:rPr>
      <w:rFonts w:ascii="Arial Narrow" w:hAnsi="Arial Narrow"/>
      <w:smallCaps/>
    </w:rPr>
  </w:style>
  <w:style w:type="character" w:customStyle="1" w:styleId="Buttons">
    <w:name w:val="Buttons"/>
    <w:basedOn w:val="DefaultParagraphFont"/>
    <w:rsid w:val="00B519E2"/>
    <w:rPr>
      <w:b/>
    </w:rPr>
  </w:style>
  <w:style w:type="character" w:customStyle="1" w:styleId="Underlined">
    <w:name w:val="Underlined"/>
    <w:basedOn w:val="DefaultParagraphFont"/>
    <w:rsid w:val="00B519E2"/>
    <w:rPr>
      <w:u w:val="single"/>
    </w:rPr>
  </w:style>
  <w:style w:type="paragraph" w:customStyle="1" w:styleId="TableBodyTextRight">
    <w:name w:val="Table Body Text Right"/>
    <w:basedOn w:val="TableBodyText"/>
    <w:rsid w:val="00B519E2"/>
    <w:pPr>
      <w:widowControl w:val="0"/>
      <w:autoSpaceDE w:val="0"/>
      <w:autoSpaceDN w:val="0"/>
      <w:adjustRightInd w:val="0"/>
      <w:jc w:val="right"/>
    </w:pPr>
    <w:rPr>
      <w:rFonts w:cs="Arial"/>
      <w:szCs w:val="18"/>
    </w:rPr>
  </w:style>
  <w:style w:type="paragraph" w:customStyle="1" w:styleId="CopyrightText">
    <w:name w:val="Copyright Text"/>
    <w:basedOn w:val="BodyText"/>
    <w:rsid w:val="00B519E2"/>
    <w:rPr>
      <w:sz w:val="18"/>
    </w:rPr>
  </w:style>
  <w:style w:type="paragraph" w:customStyle="1" w:styleId="BodySmallRight">
    <w:name w:val="Body Small Right"/>
    <w:basedOn w:val="BodyTextRight"/>
    <w:rsid w:val="00B519E2"/>
    <w:rPr>
      <w:sz w:val="18"/>
      <w:szCs w:val="18"/>
    </w:rPr>
  </w:style>
  <w:style w:type="paragraph" w:customStyle="1" w:styleId="MarginEdition">
    <w:name w:val="Margin Edition"/>
    <w:basedOn w:val="MarginNote"/>
    <w:rsid w:val="00B519E2"/>
    <w:pPr>
      <w:spacing w:before="0" w:after="0"/>
    </w:pPr>
    <w:rPr>
      <w:rFonts w:ascii="Times New Roman" w:hAnsi="Times New Roman"/>
      <w:color w:val="999999"/>
    </w:rPr>
  </w:style>
  <w:style w:type="paragraph" w:customStyle="1" w:styleId="Spacer">
    <w:name w:val="Spacer"/>
    <w:basedOn w:val="Normal"/>
    <w:rsid w:val="00B519E2"/>
    <w:rPr>
      <w:sz w:val="2"/>
      <w:szCs w:val="2"/>
    </w:rPr>
  </w:style>
  <w:style w:type="character" w:customStyle="1" w:styleId="Small">
    <w:name w:val="Small"/>
    <w:basedOn w:val="DefaultParagraphFont"/>
    <w:rsid w:val="00B519E2"/>
    <w:rPr>
      <w:sz w:val="16"/>
    </w:rPr>
  </w:style>
  <w:style w:type="paragraph" w:customStyle="1" w:styleId="WideTable">
    <w:name w:val="Wide Table"/>
    <w:basedOn w:val="Normal"/>
    <w:rsid w:val="00B519E2"/>
    <w:pPr>
      <w:ind w:left="-1418"/>
    </w:pPr>
    <w:rPr>
      <w:sz w:val="2"/>
      <w:szCs w:val="2"/>
    </w:rPr>
  </w:style>
  <w:style w:type="character" w:styleId="PageNumber">
    <w:name w:val="page number"/>
    <w:basedOn w:val="DefaultParagraphFont"/>
    <w:rsid w:val="00B519E2"/>
  </w:style>
  <w:style w:type="paragraph" w:styleId="Quote">
    <w:name w:val="Quote"/>
    <w:basedOn w:val="Heading1"/>
    <w:link w:val="QuoteChar"/>
    <w:qFormat/>
    <w:rsid w:val="00B519E2"/>
    <w:rPr>
      <w:b w:val="0"/>
      <w:sz w:val="72"/>
      <w:szCs w:val="72"/>
      <w:lang w:val="en-NZ"/>
    </w:rPr>
  </w:style>
  <w:style w:type="character" w:customStyle="1" w:styleId="QuoteChar">
    <w:name w:val="Quote Char"/>
    <w:basedOn w:val="DefaultParagraphFont"/>
    <w:link w:val="Quote"/>
    <w:rsid w:val="00B519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19E2"/>
    <w:pPr>
      <w:pageBreakBefore/>
    </w:pPr>
  </w:style>
  <w:style w:type="paragraph" w:customStyle="1" w:styleId="Border">
    <w:name w:val="Border"/>
    <w:basedOn w:val="Normal"/>
    <w:qFormat/>
    <w:rsid w:val="00B519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19E2"/>
    <w:rPr>
      <w:b/>
      <w:bCs/>
      <w:i/>
      <w:iCs/>
      <w:color w:val="auto"/>
    </w:rPr>
  </w:style>
  <w:style w:type="paragraph" w:styleId="IntenseQuote">
    <w:name w:val="Intense Quote"/>
    <w:basedOn w:val="Normal"/>
    <w:next w:val="Normal"/>
    <w:link w:val="IntenseQuoteChar"/>
    <w:uiPriority w:val="30"/>
    <w:qFormat/>
    <w:rsid w:val="00B519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19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19E2"/>
    <w:rPr>
      <w:smallCaps/>
      <w:color w:val="auto"/>
      <w:u w:val="single"/>
    </w:rPr>
  </w:style>
  <w:style w:type="character" w:styleId="IntenseReference">
    <w:name w:val="Intense Reference"/>
    <w:basedOn w:val="DefaultParagraphFont"/>
    <w:uiPriority w:val="32"/>
    <w:qFormat/>
    <w:rsid w:val="00B519E2"/>
    <w:rPr>
      <w:b/>
      <w:bCs/>
      <w:smallCaps/>
      <w:color w:val="auto"/>
      <w:spacing w:val="5"/>
      <w:u w:val="single"/>
    </w:rPr>
  </w:style>
  <w:style w:type="paragraph" w:customStyle="1" w:styleId="2ColumnHeading">
    <w:name w:val="2Column Heading"/>
    <w:basedOn w:val="BodyText"/>
    <w:qFormat/>
    <w:rsid w:val="00B519E2"/>
    <w:pPr>
      <w:spacing w:after="60"/>
      <w:ind w:left="-2268"/>
    </w:pPr>
    <w:rPr>
      <w:b/>
    </w:rPr>
  </w:style>
  <w:style w:type="paragraph" w:customStyle="1" w:styleId="Heading1TOC">
    <w:name w:val="Heading1 TOC"/>
    <w:basedOn w:val="Normal"/>
    <w:qFormat/>
    <w:rsid w:val="00B519E2"/>
    <w:pPr>
      <w:spacing w:before="240" w:after="120"/>
    </w:pPr>
    <w:rPr>
      <w:rFonts w:ascii="Times New Roman" w:hAnsi="Times New Roman"/>
      <w:b/>
      <w:sz w:val="32"/>
    </w:rPr>
  </w:style>
  <w:style w:type="paragraph" w:customStyle="1" w:styleId="Heading2TOC">
    <w:name w:val="Heading2 TOC"/>
    <w:basedOn w:val="Normal"/>
    <w:qFormat/>
    <w:rsid w:val="00B519E2"/>
    <w:pPr>
      <w:spacing w:before="240" w:after="60"/>
    </w:pPr>
    <w:rPr>
      <w:rFonts w:ascii="Times New Roman" w:hAnsi="Times New Roman"/>
      <w:b/>
      <w:sz w:val="28"/>
    </w:rPr>
  </w:style>
  <w:style w:type="character" w:customStyle="1" w:styleId="Underline">
    <w:name w:val="Underline"/>
    <w:basedOn w:val="DefaultParagraphFont"/>
    <w:qFormat/>
    <w:rsid w:val="00B519E2"/>
    <w:rPr>
      <w:u w:val="single"/>
    </w:rPr>
  </w:style>
  <w:style w:type="character" w:customStyle="1" w:styleId="BoldandItalics">
    <w:name w:val="Bold and Italics"/>
    <w:qFormat/>
    <w:rsid w:val="00B519E2"/>
    <w:rPr>
      <w:b/>
      <w:i/>
      <w:u w:val="none"/>
    </w:rPr>
  </w:style>
  <w:style w:type="paragraph" w:styleId="BalloonText">
    <w:name w:val="Balloon Text"/>
    <w:basedOn w:val="Normal"/>
    <w:link w:val="BalloonTextChar"/>
    <w:rsid w:val="00B519E2"/>
    <w:rPr>
      <w:rFonts w:ascii="Tahoma" w:hAnsi="Tahoma" w:cs="Tahoma"/>
      <w:sz w:val="16"/>
      <w:szCs w:val="16"/>
    </w:rPr>
  </w:style>
  <w:style w:type="character" w:customStyle="1" w:styleId="BalloonTextChar">
    <w:name w:val="Balloon Text Char"/>
    <w:basedOn w:val="DefaultParagraphFont"/>
    <w:link w:val="BalloonText"/>
    <w:rsid w:val="00B519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19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19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19E2"/>
    <w:rPr>
      <w:b/>
      <w:color w:val="660033"/>
      <w:spacing w:val="0"/>
    </w:rPr>
  </w:style>
  <w:style w:type="paragraph" w:customStyle="1" w:styleId="Nameditemlist">
    <w:name w:val="Named item list"/>
    <w:basedOn w:val="BodyText"/>
    <w:qFormat/>
    <w:rsid w:val="00B519E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2296</Words>
  <Characters>13587</Characters>
  <Application>Microsoft Office Word</Application>
  <DocSecurity>0</DocSecurity>
  <Lines>482</Lines>
  <Paragraphs>224</Paragraphs>
  <ScaleCrop>false</ScaleCrop>
  <Company>Author-it Software Corporation Ltd.</Company>
  <LinksUpToDate>false</LinksUpToDate>
  <CharactersWithSpaces>15722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UEENEEM070A Repair reeling, trailing and flexible cables</dc:title>
  <dc:subject>Approved</dc:subject>
  <dc:creator>E-OZ Training Standards</dc:creator>
  <cp:keywords>Release: 3</cp:keywords>
  <dc:description>Review Date: 12 April 2008</dc:description>
  <cp:lastModifiedBy>HSD_TPCMSd.prod</cp:lastModifiedBy>
  <cp:revision>3</cp:revision>
  <dcterms:created xsi:type="dcterms:W3CDTF">2013-08-14T07:07:00Z</dcterms:created>
  <dcterms:modified xsi:type="dcterms:W3CDTF">2013-08-14T07:07:00Z</dcterms:modified>
</cp:coreProperties>
</file>