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496" w:rsidP="00551496">
      <w:pPr>
        <w:pStyle w:val="Title"/>
      </w:pPr>
      <w:r>
        <w:fldChar w:fldCharType="begin"/>
      </w:r>
      <w:r>
        <w:instrText xml:space="preserve"> TITLE   \* MERGEFORMAT </w:instrText>
      </w:r>
      <w:r>
        <w:fldChar w:fldCharType="separate"/>
      </w:r>
      <w:r>
        <w:t>UEENEEM062A Carry out overhaul and repair of explosion-protected equipment - gas atmospheres</w:t>
      </w:r>
      <w:r>
        <w:fldChar w:fldCharType="end"/>
      </w:r>
    </w:p>
    <w:p w:rsidR="00551496" w:rsidP="00551496">
      <w:pPr>
        <w:pStyle w:val="Version"/>
        <w:sectPr w:rsidSect="00BE0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E0D96" w:rsidP="00BE0D96">
      <w:pPr>
        <w:pStyle w:val="SuperHeading"/>
      </w:pPr>
      <w:r w:rsidRPr="00BE0D96">
        <w:t>UEENEEM062A Carry out overhaul and repair of explosion-protected equipment - gas atmospheres</w:t>
      </w:r>
    </w:p>
    <w:p w:rsidR="00000000" w:rsidRPr="00BE0D96" w:rsidP="00BE0D96">
      <w:pPr>
        <w:pStyle w:val="Heading1"/>
      </w:pPr>
      <w:bookmarkStart w:id="1" w:name="O_701144"/>
      <w:bookmarkEnd w:id="1"/>
      <w:r w:rsidRPr="00BE0D96">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551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D96">
            <w:pPr>
              <w:pStyle w:val="BodyText"/>
              <w:rPr>
                <w:lang w:val="en-NZ"/>
              </w:rPr>
            </w:pPr>
            <w:r w:rsidRPr="00BE0D96">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D96">
            <w:pPr>
              <w:pStyle w:val="BodyText"/>
              <w:rPr>
                <w:lang w:val="en-NZ"/>
              </w:rPr>
            </w:pPr>
            <w:r w:rsidRPr="00BE0D96">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D96">
            <w:pPr>
              <w:pStyle w:val="BodyText"/>
              <w:rPr>
                <w:lang w:val="en-NZ"/>
              </w:rPr>
            </w:pPr>
            <w:r w:rsidRPr="00BE0D96">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D96">
            <w:pPr>
              <w:pStyle w:val="BodyText"/>
              <w:rPr>
                <w:lang w:val="en-NZ"/>
              </w:rPr>
            </w:pPr>
            <w:r w:rsidRPr="00BE0D9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D96">
            <w:pPr>
              <w:pStyle w:val="BodyText"/>
              <w:rPr>
                <w:lang w:val="en-NZ"/>
              </w:rPr>
            </w:pPr>
            <w:r w:rsidRPr="00BE0D96">
              <w:t>Points</w:t>
            </w:r>
          </w:p>
        </w:tc>
      </w:tr>
      <w:tr w:rsidTr="00551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r w:rsidRPr="00BE0D9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r w:rsidRPr="00BE0D96">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0D96" w:rsidP="00BE0D96">
            <w:pPr>
              <w:pStyle w:val="BodyText"/>
            </w:pPr>
            <w:r w:rsidRPr="00BE0D96">
              <w:t xml:space="preserve">Update recommended pre-requisite </w:t>
            </w:r>
          </w:p>
          <w:p w:rsidR="00000000" w:rsidP="00BE0D96">
            <w:pPr>
              <w:pStyle w:val="BodyText"/>
              <w:rPr>
                <w:lang w:val="en-NZ"/>
              </w:rPr>
            </w:pPr>
            <w:r w:rsidRPr="00BE0D96">
              <w:t>UEENEEG129A</w:t>
            </w:r>
            <w:r w:rsidRPr="00BE0D96">
              <w:tab/>
            </w:r>
            <w:r w:rsidRPr="00BE0D96">
              <w:t>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p>
        </w:tc>
      </w:tr>
      <w:tr w:rsidTr="00551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r w:rsidRPr="00BE0D9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r w:rsidRPr="00BE0D96">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0D96" w:rsidP="00BE0D96">
            <w:pPr>
              <w:pStyle w:val="BodyText"/>
            </w:pPr>
            <w:r w:rsidRPr="00BE0D96">
              <w:t xml:space="preserve">Update recommended pre-requisite </w:t>
            </w:r>
          </w:p>
          <w:p w:rsidR="00000000" w:rsidP="00BE0D96">
            <w:pPr>
              <w:pStyle w:val="BodyText"/>
              <w:rPr>
                <w:lang w:val="en-NZ"/>
              </w:rPr>
            </w:pPr>
            <w:r w:rsidRPr="00BE0D96">
              <w:t>UEENEEG164A</w:t>
            </w:r>
            <w:r w:rsidRPr="00BE0D96">
              <w:tab/>
              <w:t>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p>
        </w:tc>
      </w:tr>
      <w:tr w:rsidTr="0055149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r w:rsidRPr="00BE0D9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D96">
            <w:pPr>
              <w:pStyle w:val="BodyText"/>
              <w:rPr>
                <w:lang w:val="en-NZ"/>
              </w:rPr>
            </w:pPr>
            <w:r w:rsidRPr="00BE0D96">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0D96" w:rsidP="00BE0D96">
            <w:pPr>
              <w:pStyle w:val="BodyText"/>
            </w:pPr>
            <w:r w:rsidRPr="00BE0D96">
              <w:t>Update recommended prerequisite</w:t>
            </w:r>
          </w:p>
          <w:p w:rsidR="00000000" w:rsidP="00BE0D96">
            <w:pPr>
              <w:pStyle w:val="BodyText"/>
              <w:rPr>
                <w:lang w:val="en-NZ"/>
              </w:rPr>
            </w:pPr>
            <w:r w:rsidRPr="00BE0D96">
              <w:t>MEM07001B</w:t>
            </w:r>
            <w:r w:rsidRPr="00BE0D96">
              <w:tab/>
            </w:r>
            <w:r w:rsidRPr="00BE0D96">
              <w:t>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0D96" w:rsidP="00BE0D96">
            <w:pPr>
              <w:pStyle w:val="BodyText"/>
            </w:pPr>
          </w:p>
        </w:tc>
      </w:tr>
    </w:tbl>
    <w:p w:rsidR="00000000" w:rsidRPr="00BE0D96" w:rsidP="00BE0D96">
      <w:pPr>
        <w:pStyle w:val="BodyText"/>
      </w:pPr>
    </w:p>
    <w:p w:rsidR="00000000" w:rsidRPr="00BE0D96" w:rsidP="00BE0D96">
      <w:pPr>
        <w:pStyle w:val="AllowPageBreak"/>
      </w:pPr>
    </w:p>
    <w:p w:rsidR="00000000" w:rsidRPr="00BE0D96" w:rsidP="00BE0D96">
      <w:pPr>
        <w:pStyle w:val="Heading1"/>
      </w:pPr>
      <w:bookmarkStart w:id="2" w:name="O_701143"/>
      <w:bookmarkEnd w:id="2"/>
      <w:r w:rsidRPr="00BE0D96">
        <w:t>Unit Descriptor</w:t>
      </w:r>
    </w:p>
    <w:tbl>
      <w:tblPr>
        <w:tblW w:w="0" w:type="auto"/>
        <w:tblLayout w:type="fixed"/>
        <w:tblCellMar>
          <w:left w:w="62" w:type="dxa"/>
          <w:right w:w="62" w:type="dxa"/>
        </w:tblCellMar>
        <w:tblLook w:val="0000"/>
      </w:tblPr>
      <w:tblGrid>
        <w:gridCol w:w="2698"/>
        <w:gridCol w:w="5762"/>
      </w:tblGrid>
      <w:tr w:rsidTr="0055149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1</w:t>
            </w:r>
            <w:r w:rsidRPr="00BE0D96">
              <w:t xml:space="preserve">) </w:t>
            </w:r>
          </w:p>
          <w:p w:rsidR="00000000" w:rsidP="00BE0D96">
            <w:pPr>
              <w:pStyle w:val="BodyText"/>
              <w:rPr>
                <w:lang w:val="en-NZ"/>
              </w:rPr>
            </w:pPr>
            <w:r w:rsidRPr="00BE0D96">
              <w:rPr>
                <w:rStyle w:val="SpecialBold"/>
              </w:rPr>
              <w:t>1</w:t>
            </w:r>
            <w:r w:rsidRPr="00BE0D96">
              <w:t>.</w:t>
            </w:r>
            <w:r w:rsidRPr="00BE0D96">
              <w:rPr>
                <w:rStyle w:val="SpecialBold"/>
              </w:rPr>
              <w:t>1</w:t>
            </w:r>
            <w:r w:rsidRPr="00BE0D96">
              <w:t xml:space="preserve">) </w:t>
            </w:r>
            <w:r w:rsidRPr="00BE0D96">
              <w:rPr>
                <w:rStyle w:val="SpecialBold"/>
              </w:rPr>
              <w:t>Descriptor</w:t>
            </w:r>
          </w:p>
        </w:tc>
      </w:tr>
      <w:tr w:rsidTr="0055149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 xml:space="preserve">This Competency Standard Unit covers the explosion-protection aspects of overhauling and repairing explosion-protected equipment at a craftsperson level. It requires the ability to identify and select authorized components, follow repair specifications to </w:t>
            </w:r>
            <w:r w:rsidRPr="00BE0D96">
              <w:t>effect the overhauled/repaired of equipment and complete repair documentation.</w:t>
            </w:r>
          </w:p>
          <w:p w:rsidR="00000000" w:rsidRPr="00BE0D96" w:rsidP="00BE0D96">
            <w:pPr>
              <w:pStyle w:val="BodyText"/>
            </w:pPr>
            <w:r w:rsidRPr="00BE0D96">
              <w:t xml:space="preserve">This unit is directly equivalent to the Unit </w:t>
            </w:r>
            <w:r w:rsidRPr="00BE0D96">
              <w:rPr>
                <w:rStyle w:val="Emphasis"/>
              </w:rPr>
              <w:t>2</w:t>
            </w:r>
            <w:r w:rsidRPr="00BE0D96">
              <w:t>.</w:t>
            </w:r>
            <w:r w:rsidRPr="00BE0D96">
              <w:rPr>
                <w:rStyle w:val="Emphasis"/>
              </w:rPr>
              <w:t>20 Carry out overhaul and repair of explosion</w:t>
            </w:r>
            <w:r w:rsidRPr="00BE0D96">
              <w:t>-</w:t>
            </w:r>
            <w:r w:rsidRPr="00BE0D96">
              <w:rPr>
                <w:rStyle w:val="Emphasis"/>
              </w:rPr>
              <w:t>protected equipment</w:t>
            </w:r>
            <w:r w:rsidRPr="00BE0D96">
              <w:t xml:space="preserve"> in the Australian/New Zealand Standard </w:t>
            </w:r>
            <w:r w:rsidRPr="00BE0D96">
              <w:rPr>
                <w:rStyle w:val="Emphasis"/>
              </w:rPr>
              <w:t>AS</w:t>
            </w:r>
            <w:r w:rsidRPr="00BE0D96">
              <w:t>/</w:t>
            </w:r>
            <w:r w:rsidRPr="00BE0D96">
              <w:rPr>
                <w:rStyle w:val="Emphasis"/>
              </w:rPr>
              <w:t>NZS 4761</w:t>
            </w:r>
            <w:r w:rsidRPr="00BE0D96">
              <w:t>.</w:t>
            </w:r>
            <w:r w:rsidRPr="00BE0D96">
              <w:rPr>
                <w:rStyle w:val="Emphasis"/>
              </w:rPr>
              <w:t>1 Competencie</w:t>
            </w:r>
            <w:r w:rsidRPr="00BE0D96">
              <w:rPr>
                <w:rStyle w:val="Emphasis"/>
              </w:rPr>
              <w:t>s for working with electrical equipment for hazardous areas</w:t>
            </w:r>
            <w:r w:rsidRPr="00BE0D96">
              <w:t xml:space="preserve"> (</w:t>
            </w:r>
            <w:r w:rsidRPr="00BE0D96">
              <w:rPr>
                <w:rStyle w:val="Emphasis"/>
              </w:rPr>
              <w:t>EEHA</w:t>
            </w:r>
            <w:r w:rsidRPr="00BE0D96">
              <w:t xml:space="preserve">) </w:t>
            </w:r>
            <w:r w:rsidRPr="00BE0D96">
              <w:rPr>
                <w:rStyle w:val="Emphasis"/>
              </w:rPr>
              <w:t>Part 1</w:t>
            </w:r>
            <w:r w:rsidRPr="00BE0D96">
              <w:t xml:space="preserve">: </w:t>
            </w:r>
            <w:r w:rsidRPr="00BE0D96">
              <w:rPr>
                <w:rStyle w:val="Emphasis"/>
              </w:rPr>
              <w:t>Competency Standards</w:t>
            </w:r>
            <w:r w:rsidRPr="00BE0D96">
              <w:t>. Equivalence includes endorsement in the explosion-protection techniques listed in the Range statement of this unit.</w:t>
            </w:r>
          </w:p>
        </w:tc>
      </w:tr>
    </w:tbl>
    <w:p w:rsidR="00551496" w:rsidP="00BE0D96">
      <w:pPr>
        <w:pStyle w:val="BodyText"/>
      </w:pPr>
    </w:p>
    <w:p w:rsidR="00551496" w:rsidP="00BE0D96">
      <w:pPr>
        <w:pStyle w:val="BodyText"/>
      </w:pPr>
    </w:p>
    <w:p w:rsidR="00000000" w:rsidRPr="00BE0D96" w:rsidP="00BE0D96">
      <w:pPr>
        <w:pStyle w:val="Heading1"/>
      </w:pPr>
      <w:bookmarkStart w:id="3" w:name="O_701142"/>
      <w:bookmarkEnd w:id="3"/>
      <w:r w:rsidRPr="00BE0D96">
        <w:t>Application of the Unit</w:t>
      </w:r>
    </w:p>
    <w:tbl>
      <w:tblPr>
        <w:tblW w:w="0" w:type="auto"/>
        <w:tblLayout w:type="fixed"/>
        <w:tblCellMar>
          <w:left w:w="62" w:type="dxa"/>
          <w:right w:w="62" w:type="dxa"/>
        </w:tblCellMar>
        <w:tblLook w:val="0000"/>
      </w:tblPr>
      <w:tblGrid>
        <w:gridCol w:w="2698"/>
        <w:gridCol w:w="5762"/>
      </w:tblGrid>
      <w:tr w:rsidTr="0055149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4</w:t>
            </w:r>
            <w:r w:rsidRPr="00BE0D96">
              <w:t>)</w:t>
            </w:r>
          </w:p>
        </w:tc>
      </w:tr>
      <w:tr w:rsidTr="0055149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 xml:space="preserve">This unit augments other formally-acquired competencies in a relevant industry and shall be used only in conjunction such competencies. It applies to in electrical, electronic, and/or mechanical equipment repair job function. </w:t>
            </w:r>
            <w:r w:rsidRPr="00BE0D96">
              <w:t>It is suitable for employment-based programs under an approved contract of training.</w:t>
            </w:r>
          </w:p>
          <w:p w:rsidR="00000000" w:rsidRPr="00BE0D96" w:rsidP="00BE0D96">
            <w:pPr>
              <w:pStyle w:val="BodyText"/>
            </w:pPr>
            <w:r w:rsidRPr="00BE0D96">
              <w:t>Note:</w:t>
            </w:r>
          </w:p>
          <w:p w:rsidR="00000000" w:rsidRPr="00BE0D96" w:rsidP="00BE0D96">
            <w:pPr>
              <w:pStyle w:val="BodyText"/>
            </w:pPr>
            <w:r w:rsidRPr="00BE0D96">
              <w:t xml:space="preserve">Examples of relevant industries include aviations, electrical installation and maintenance, fuel storage and dispensing industrial process, </w:t>
            </w:r>
            <w:r w:rsidRPr="00BE0D96">
              <w:t xml:space="preserve">instrumentation and control, marine, material handling and storage, mining, and petrochemical. </w:t>
            </w:r>
          </w:p>
        </w:tc>
      </w:tr>
    </w:tbl>
    <w:p w:rsidR="00551496" w:rsidP="00BE0D96">
      <w:pPr>
        <w:pStyle w:val="BodyText"/>
      </w:pPr>
    </w:p>
    <w:p w:rsidR="00551496" w:rsidP="00BE0D96">
      <w:pPr>
        <w:pStyle w:val="BodyText"/>
      </w:pPr>
    </w:p>
    <w:p w:rsidR="00000000" w:rsidRPr="00BE0D96" w:rsidP="00BE0D96">
      <w:pPr>
        <w:pStyle w:val="Heading1"/>
      </w:pPr>
      <w:bookmarkStart w:id="4" w:name="O_701141"/>
      <w:bookmarkEnd w:id="4"/>
      <w:r w:rsidRPr="00BE0D96">
        <w:t>Licensing/Regulatory Information</w:t>
      </w:r>
    </w:p>
    <w:tbl>
      <w:tblPr>
        <w:tblW w:w="0" w:type="auto"/>
        <w:tblLayout w:type="fixed"/>
        <w:tblCellMar>
          <w:left w:w="62" w:type="dxa"/>
          <w:right w:w="62" w:type="dxa"/>
        </w:tblCellMar>
        <w:tblLook w:val="0000"/>
      </w:tblPr>
      <w:tblGrid>
        <w:gridCol w:w="8460"/>
      </w:tblGrid>
      <w:tr w:rsidTr="005514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1</w:t>
            </w:r>
            <w:r w:rsidRPr="00BE0D96">
              <w:t>.</w:t>
            </w:r>
            <w:r w:rsidRPr="00BE0D96">
              <w:rPr>
                <w:rStyle w:val="SpecialBold"/>
              </w:rPr>
              <w:t>2</w:t>
            </w:r>
            <w:r w:rsidRPr="00BE0D96">
              <w:t xml:space="preserve">) </w:t>
            </w:r>
            <w:r w:rsidRPr="00BE0D96">
              <w:rPr>
                <w:rStyle w:val="SpecialBold"/>
              </w:rPr>
              <w:t>License to practice</w:t>
            </w:r>
          </w:p>
        </w:tc>
      </w:tr>
      <w:tr w:rsidTr="005514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The skills and knowledge described in this unit do not require a license to pract</w:t>
            </w:r>
            <w:r w:rsidRPr="00BE0D96">
              <w:t>ice in the work place for equipment that is disconnected from electrical supply. However practice in this unit is subject to regulations directly related to occupational health and safe and contracts of training such as new apprenticeships.</w:t>
            </w:r>
          </w:p>
        </w:tc>
      </w:tr>
    </w:tbl>
    <w:p w:rsidR="00551496" w:rsidP="00BE0D96">
      <w:pPr>
        <w:pStyle w:val="BodyText"/>
      </w:pPr>
    </w:p>
    <w:p w:rsidR="00551496" w:rsidP="00BE0D96">
      <w:pPr>
        <w:pStyle w:val="BodyText"/>
      </w:pPr>
    </w:p>
    <w:p w:rsidR="00000000" w:rsidRPr="00BE0D96" w:rsidP="00BE0D96">
      <w:pPr>
        <w:pStyle w:val="Heading1"/>
      </w:pPr>
      <w:bookmarkStart w:id="5" w:name="O_701140"/>
      <w:bookmarkEnd w:id="5"/>
      <w:r w:rsidRPr="00BE0D96">
        <w:t>Pre-Requisites</w:t>
      </w:r>
    </w:p>
    <w:tbl>
      <w:tblPr>
        <w:tblW w:w="0" w:type="auto"/>
        <w:tblLayout w:type="fixed"/>
        <w:tblCellMar>
          <w:left w:w="62" w:type="dxa"/>
          <w:right w:w="62" w:type="dxa"/>
        </w:tblCellMar>
        <w:tblLook w:val="0000"/>
      </w:tblPr>
      <w:tblGrid>
        <w:gridCol w:w="2700"/>
        <w:gridCol w:w="1350"/>
        <w:gridCol w:w="4412"/>
      </w:tblGrid>
      <w:tr w:rsidTr="005514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 xml:space="preserve">2) </w:t>
            </w:r>
          </w:p>
        </w:tc>
      </w:tr>
      <w:tr w:rsidTr="00551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0D96">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2.1) Competencies</w:t>
            </w:r>
          </w:p>
        </w:tc>
      </w:tr>
      <w:tr w:rsidTr="00551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 xml:space="preserve">Granting competency in this unit shall be made after or concurrently with confirming competency in general electrical, electronic, and/or mechanical </w:t>
            </w:r>
            <w:r w:rsidRPr="00BE0D96">
              <w:t>equipment repair job function at AQF 3 or higher. Examples are (but not limited to):</w:t>
            </w:r>
          </w:p>
        </w:tc>
      </w:tr>
      <w:tr w:rsidTr="00551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UEENEEG129A</w:t>
            </w:r>
          </w:p>
        </w:tc>
        <w:tc>
          <w:tcPr>
            <w:tcW w:w="441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Overhaul and repair major switchgear and controlgear</w:t>
            </w:r>
          </w:p>
        </w:tc>
      </w:tr>
      <w:tr w:rsidTr="00551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UEENEEG164A</w:t>
            </w:r>
          </w:p>
        </w:tc>
        <w:tc>
          <w:tcPr>
            <w:tcW w:w="441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Repair and maintain mechanical components of electrical machines</w:t>
            </w:r>
          </w:p>
        </w:tc>
      </w:tr>
      <w:tr w:rsidTr="00551496">
        <w:tblPrEx>
          <w:tblW w:w="0" w:type="auto"/>
          <w:tblLayout w:type="fixed"/>
          <w:tblCellMar>
            <w:left w:w="62" w:type="dxa"/>
            <w:right w:w="62" w:type="dxa"/>
          </w:tblCellMar>
          <w:tblLook w:val="0000"/>
        </w:tblPrEx>
        <w:trPr>
          <w:trHeight w:val="67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MEM07001B</w:t>
            </w:r>
          </w:p>
        </w:tc>
        <w:tc>
          <w:tcPr>
            <w:tcW w:w="4412"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Perform oper</w:t>
            </w:r>
            <w:r w:rsidRPr="00BE0D96">
              <w:t>ational maintenance of machines/equipment</w:t>
            </w:r>
          </w:p>
        </w:tc>
      </w:tr>
    </w:tbl>
    <w:p w:rsidR="00551496" w:rsidP="00BE0D96">
      <w:pPr>
        <w:pStyle w:val="BodyText"/>
      </w:pPr>
    </w:p>
    <w:p w:rsidR="00551496" w:rsidP="00BE0D96">
      <w:pPr>
        <w:pStyle w:val="BodyText"/>
      </w:pPr>
    </w:p>
    <w:p w:rsidR="00000000" w:rsidRPr="00BE0D96" w:rsidP="00BE0D96">
      <w:pPr>
        <w:pStyle w:val="Heading1"/>
      </w:pPr>
      <w:bookmarkStart w:id="6" w:name="O_701139"/>
      <w:bookmarkEnd w:id="6"/>
      <w:r w:rsidRPr="00BE0D96">
        <w:t>Employability Skills Information</w:t>
      </w:r>
    </w:p>
    <w:tbl>
      <w:tblPr>
        <w:tblW w:w="0" w:type="auto"/>
        <w:tblLayout w:type="fixed"/>
        <w:tblCellMar>
          <w:left w:w="62" w:type="dxa"/>
          <w:right w:w="62" w:type="dxa"/>
        </w:tblCellMar>
        <w:tblLook w:val="0000"/>
      </w:tblPr>
      <w:tblGrid>
        <w:gridCol w:w="2698"/>
        <w:gridCol w:w="5762"/>
      </w:tblGrid>
      <w:tr w:rsidTr="0055149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3</w:t>
            </w:r>
            <w:r w:rsidRPr="00BE0D96">
              <w:t>)</w:t>
            </w:r>
          </w:p>
          <w:p w:rsidR="00000000" w:rsidRPr="00BE0D96" w:rsidP="00BE0D96">
            <w:pPr>
              <w:pStyle w:val="BodyText"/>
            </w:pPr>
            <w:r w:rsidRPr="00BE0D9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E0D96">
              <w:t>requirements.</w:t>
            </w:r>
          </w:p>
        </w:tc>
      </w:tr>
    </w:tbl>
    <w:p w:rsidR="00551496" w:rsidP="00BE0D96">
      <w:pPr>
        <w:pStyle w:val="BodyText"/>
      </w:pPr>
    </w:p>
    <w:p w:rsidR="00551496" w:rsidP="00BE0D96">
      <w:pPr>
        <w:pStyle w:val="BodyText"/>
      </w:pPr>
    </w:p>
    <w:p w:rsidR="00000000" w:rsidRPr="00BE0D96" w:rsidP="00BE0D96">
      <w:pPr>
        <w:pStyle w:val="Heading1"/>
      </w:pPr>
      <w:bookmarkStart w:id="7" w:name="O_701138"/>
      <w:bookmarkEnd w:id="7"/>
      <w:r w:rsidRPr="00BE0D96">
        <w:t>Elements and Performance Criteria Pre-Content</w:t>
      </w:r>
    </w:p>
    <w:tbl>
      <w:tblPr>
        <w:tblW w:w="0" w:type="auto"/>
        <w:tblLayout w:type="fixed"/>
        <w:tblCellMar>
          <w:left w:w="62" w:type="dxa"/>
          <w:right w:w="62" w:type="dxa"/>
        </w:tblCellMar>
        <w:tblLook w:val="0000"/>
      </w:tblPr>
      <w:tblGrid>
        <w:gridCol w:w="2698"/>
        <w:gridCol w:w="5762"/>
      </w:tblGrid>
      <w:tr w:rsidTr="0055149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6</w:t>
            </w:r>
            <w:r w:rsidRPr="00BE0D96">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Performance criteria describe the required performance needed to demonstrate achievement of the element. Assessment of per</w:t>
            </w:r>
            <w:r w:rsidRPr="00BE0D96">
              <w:t>formance is to be consistent with the evidence guide.</w:t>
            </w:r>
          </w:p>
        </w:tc>
      </w:tr>
    </w:tbl>
    <w:p w:rsidR="00000000" w:rsidRPr="00BE0D96" w:rsidP="00BE0D96">
      <w:pPr>
        <w:pStyle w:val="BodyText"/>
      </w:pPr>
    </w:p>
    <w:p w:rsidR="00000000" w:rsidRPr="00BE0D96" w:rsidP="00BE0D96">
      <w:pPr>
        <w:pStyle w:val="AllowPageBreak"/>
      </w:pPr>
    </w:p>
    <w:p w:rsidR="00000000" w:rsidRPr="00BE0D96" w:rsidP="00BE0D96">
      <w:pPr>
        <w:pStyle w:val="Heading1"/>
      </w:pPr>
      <w:bookmarkStart w:id="8" w:name="O_701137"/>
      <w:bookmarkEnd w:id="8"/>
      <w:r w:rsidRPr="00BE0D96">
        <w:t>Elements and Performance Criteria</w:t>
      </w:r>
    </w:p>
    <w:tbl>
      <w:tblPr>
        <w:tblW w:w="0" w:type="auto"/>
        <w:tblLayout w:type="fixed"/>
        <w:tblCellMar>
          <w:left w:w="62" w:type="dxa"/>
          <w:right w:w="62" w:type="dxa"/>
        </w:tblCellMar>
        <w:tblLook w:val="0000"/>
      </w:tblPr>
      <w:tblGrid>
        <w:gridCol w:w="403"/>
        <w:gridCol w:w="2295"/>
        <w:gridCol w:w="900"/>
        <w:gridCol w:w="4862"/>
      </w:tblGrid>
      <w:tr w:rsidTr="00551496">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PERFORMANCE CRITERIA</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1</w:t>
            </w:r>
          </w:p>
        </w:tc>
        <w:tc>
          <w:tcPr>
            <w:tcW w:w="2295" w:type="dxa"/>
            <w:vMerge w:val="restart"/>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1.1</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Specifications and instructions for the overhaul/repair work are received and expected outcomes of the work confirmed with the responsible person*.</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1.2</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Equipment to be overhauled or repaired is identified by its markings and certification documentation.</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1.3</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Special tools, equipment and testing devices needed to carry out the overhaul or repair work are obtained and checked for correct operation, safety and currency of calibration certification.</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2</w:t>
            </w:r>
          </w:p>
        </w:tc>
        <w:tc>
          <w:tcPr>
            <w:tcW w:w="2295" w:type="dxa"/>
            <w:vMerge w:val="restart"/>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Carry out the overhaul or repair work</w:t>
            </w: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2.1</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OHS policies and procedures for carrying out the overhaul/repair are followed.</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2.2</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Specifications and instructions for the overhaul/repair work are followed in accordance with established procedures.</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2.3</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Replacement parts and components used in the overhaul or repair are identified as being authorized by the equipment manufacturer.</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2.4</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 xml:space="preserve">Overhaul/repair of equipment is done in a manner that does not reduce the type of protection afforded by the equipment </w:t>
            </w:r>
            <w:r w:rsidRPr="00BE0D96">
              <w:t>design.</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2.5</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 xml:space="preserve">Quality checks are made to ensure that the overhaul/repair of the equipment complies with the overhaul/repair specifications and instruction. </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3</w:t>
            </w:r>
          </w:p>
        </w:tc>
        <w:tc>
          <w:tcPr>
            <w:tcW w:w="2295" w:type="dxa"/>
            <w:vMerge w:val="restart"/>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Document overhaul/repair work</w:t>
            </w: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3.1</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 xml:space="preserve">Overhaul/repair work carried out is documented in accordance with established quality procedures. </w:t>
            </w:r>
          </w:p>
        </w:tc>
      </w:tr>
      <w:tr w:rsidTr="00551496">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3.2</w:t>
            </w:r>
          </w:p>
        </w:tc>
        <w:tc>
          <w:tcPr>
            <w:tcW w:w="48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 xml:space="preserve">The responsible person* is notified of the completion of the work in accordance with established quality procedures. </w:t>
            </w:r>
          </w:p>
        </w:tc>
      </w:tr>
      <w:tr w:rsidTr="0055149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 xml:space="preserve">* A responsible person, in this context, is a person who has achieved the Competency Standard Units UEENEEM031A to UEENEEM034A </w:t>
            </w:r>
          </w:p>
        </w:tc>
      </w:tr>
    </w:tbl>
    <w:p w:rsidR="00551496" w:rsidP="00BE0D96">
      <w:pPr>
        <w:pStyle w:val="BodyText"/>
      </w:pPr>
    </w:p>
    <w:p w:rsidR="00551496" w:rsidP="00BE0D96">
      <w:pPr>
        <w:pStyle w:val="BodyText"/>
      </w:pPr>
    </w:p>
    <w:p w:rsidR="00000000" w:rsidRPr="00BE0D96" w:rsidP="00BE0D96">
      <w:pPr>
        <w:pStyle w:val="Heading1"/>
      </w:pPr>
      <w:bookmarkStart w:id="9" w:name="O_701136"/>
      <w:bookmarkEnd w:id="9"/>
      <w:r w:rsidRPr="00BE0D96">
        <w:t>Required Skills and Knowledge</w:t>
      </w:r>
    </w:p>
    <w:tbl>
      <w:tblPr>
        <w:tblW w:w="0" w:type="auto"/>
        <w:tblLayout w:type="fixed"/>
        <w:tblCellMar>
          <w:left w:w="62" w:type="dxa"/>
          <w:right w:w="62" w:type="dxa"/>
        </w:tblCellMar>
        <w:tblLook w:val="0000"/>
      </w:tblPr>
      <w:tblGrid>
        <w:gridCol w:w="1440"/>
        <w:gridCol w:w="7020"/>
      </w:tblGrid>
      <w:tr w:rsidTr="0055149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REQUIRED SKILLS AND KNOWLEDGE</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7)</w:t>
            </w:r>
            <w:r w:rsidRPr="00BE0D96">
              <w:t xml:space="preserve"> This describes the essential skills and knowledge and their level, required for this unit.</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Evidence shall show that knowledge has been acquired of safe working practices and testing installations in hazardous areas.</w:t>
            </w:r>
          </w:p>
          <w:p w:rsidR="00000000" w:rsidP="00BE0D96">
            <w:pPr>
              <w:pStyle w:val="BodyText"/>
              <w:rPr>
                <w:lang w:val="en-NZ"/>
              </w:rPr>
            </w:pPr>
            <w:r w:rsidRPr="00BE0D96">
              <w:t xml:space="preserve">All knowledge and skills detailed in </w:t>
            </w:r>
            <w:r w:rsidRPr="00BE0D96">
              <w:t>this unit should be contextualised to current industry practices and technologies.</w:t>
            </w:r>
          </w:p>
        </w:tc>
      </w:tr>
      <w:tr w:rsidTr="0055149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KS01-EM062A</w:t>
            </w:r>
          </w:p>
        </w:tc>
        <w:tc>
          <w:tcPr>
            <w:tcW w:w="702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Explosion-protected equipment repair</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Evidence shall show an understanding of explosion-protected equipment repair to an extent indicated by the following aspe</w:t>
            </w:r>
            <w:r w:rsidRPr="00BE0D96">
              <w:t>cts:</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T1</w:t>
            </w:r>
            <w:r w:rsidRPr="00BE0D96">
              <w:tab/>
              <w:t>Occupational Health and Safety responsibilities related to hazardous areas encompassing:</w:t>
            </w:r>
          </w:p>
          <w:p w:rsidR="00000000" w:rsidRPr="00BE0D96" w:rsidP="00BE0D96">
            <w:pPr>
              <w:pStyle w:val="ListBullet2"/>
            </w:pPr>
            <w:r w:rsidRPr="00BE0D96">
              <w:t>the main features and purpose of a ‘clearance to work’ system (includes hot work permit systems).</w:t>
            </w:r>
          </w:p>
          <w:p w:rsidR="00000000" w:rsidRPr="00BE0D96" w:rsidP="00BE0D96">
            <w:pPr>
              <w:pStyle w:val="ListBullet2"/>
            </w:pPr>
            <w:r w:rsidRPr="00BE0D96">
              <w:t>typical safety proced</w:t>
            </w:r>
            <w:r w:rsidRPr="00BE0D96">
              <w:t>ures that should be followed before entering a hazardous area;</w:t>
            </w:r>
          </w:p>
          <w:p w:rsidR="00000000" w:rsidRPr="00BE0D96" w:rsidP="00BE0D96">
            <w:pPr>
              <w:pStyle w:val="ListBullet2"/>
            </w:pPr>
            <w:r w:rsidRPr="00BE0D96">
              <w:t>the purpose of gas detectors and their limitations;</w:t>
            </w:r>
          </w:p>
          <w:p w:rsidR="00000000" w:rsidRPr="00BE0D96" w:rsidP="00BE0D96">
            <w:pPr>
              <w:pStyle w:val="ListBullet2"/>
            </w:pPr>
            <w:r w:rsidRPr="00BE0D96">
              <w:t>effects of temperature on gas and vapour detection;</w:t>
            </w:r>
          </w:p>
          <w:p w:rsidR="00000000" w:rsidRPr="00BE0D96" w:rsidP="00BE0D96">
            <w:pPr>
              <w:pStyle w:val="ListBullet2"/>
            </w:pPr>
            <w:r w:rsidRPr="00BE0D96">
              <w:t>frequency of monitoring for presence of gas or vapours, i.e. effects of temperature rise;</w:t>
            </w:r>
          </w:p>
          <w:p w:rsidR="00000000" w:rsidRPr="00BE0D96" w:rsidP="00BE0D96">
            <w:pPr>
              <w:pStyle w:val="ListBullet2"/>
            </w:pPr>
            <w:r w:rsidRPr="00BE0D96">
              <w:t>factors affecting the accuracy of gas detectors, for example, contamination, condensation, temperature;</w:t>
            </w:r>
          </w:p>
          <w:p w:rsidR="00000000" w:rsidRPr="00BE0D96" w:rsidP="00BE0D96">
            <w:pPr>
              <w:pStyle w:val="ListBullet2"/>
            </w:pPr>
            <w:r w:rsidRPr="00BE0D96">
              <w:t>safety in use of gas detectors, for example, ‘read and run concept’</w:t>
            </w:r>
          </w:p>
          <w:p w:rsidR="00000000" w:rsidP="00BE0D96">
            <w:pPr>
              <w:pStyle w:val="ListBullet2"/>
              <w:rPr>
                <w:lang w:val="en-NZ"/>
              </w:rPr>
            </w:pPr>
            <w:r w:rsidRPr="00BE0D96">
              <w:t>the safety precautions to be taken when working in a hazardous area.</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T2</w:t>
            </w:r>
            <w:r w:rsidRPr="00BE0D96">
              <w:tab/>
              <w:t>The roles</w:t>
            </w:r>
            <w:r w:rsidRPr="00BE0D96">
              <w:t xml:space="preserve"> of the parties involved in the safety of hazardous areas encompassing:</w:t>
            </w:r>
          </w:p>
          <w:p w:rsidR="00000000" w:rsidRPr="00BE0D96" w:rsidP="00BE0D96">
            <w:pPr>
              <w:pStyle w:val="ListBullet2"/>
            </w:pPr>
            <w:r w:rsidRPr="00BE0D96">
              <w:t>common Acts and Regulations related to the safety of hazardous areas and the Authorities responsible for their implementation;</w:t>
            </w:r>
          </w:p>
          <w:p w:rsidR="00000000" w:rsidRPr="00BE0D96" w:rsidP="00BE0D96">
            <w:pPr>
              <w:pStyle w:val="ListBullet2"/>
            </w:pPr>
            <w:r w:rsidRPr="00BE0D96">
              <w:t>where assistance and further information can be obtained to assist persons with hazardous area responsibilities, for example, Standard bodies, experienced consultants; and</w:t>
            </w:r>
          </w:p>
          <w:p w:rsidR="00000000" w:rsidP="00BE0D96">
            <w:pPr>
              <w:pStyle w:val="ListBullet2"/>
              <w:rPr>
                <w:lang w:val="en-NZ"/>
              </w:rPr>
            </w:pPr>
            <w:r w:rsidRPr="00BE0D96">
              <w:t>the hazardous area responsibilities of the owner of premises in which a hazardous ar</w:t>
            </w:r>
            <w:r w:rsidRPr="00BE0D96">
              <w:t>ea exists; the occupier of premises in which a hazardous area exists; enterprises and personnel engaged in installation and/or maintenance of explosion-protection systems; enterprises and personnel engaged in the classification of hazardous areas and/or de</w:t>
            </w:r>
            <w:r w:rsidRPr="00BE0D96">
              <w:t>sign of explosion-protection systems; enterprises and personnel engaged in the overhaul, modification and/or assessment of explosion-protected equipment; enterprises and personnel engaged in the inspection of explosion-protection installations; manufacture</w:t>
            </w:r>
            <w:r w:rsidRPr="00BE0D96">
              <w:t>rs of explosion-protected equipment; designated authorities; insurers.</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T3</w:t>
            </w:r>
            <w:r w:rsidRPr="00BE0D96">
              <w:tab/>
              <w:t>Properties of combustible substances and their potential to create an explosive hazard encompassing:</w:t>
            </w:r>
          </w:p>
          <w:p w:rsidR="00000000" w:rsidRPr="00BE0D96" w:rsidP="00BE0D96">
            <w:pPr>
              <w:pStyle w:val="ListBullet2"/>
            </w:pPr>
            <w:r w:rsidRPr="00BE0D96">
              <w:t>condition in the workplace that will lead to an explosion;</w:t>
            </w:r>
          </w:p>
          <w:p w:rsidR="00000000" w:rsidRPr="00BE0D96" w:rsidP="00BE0D96">
            <w:pPr>
              <w:pStyle w:val="ListBullet2"/>
            </w:pPr>
            <w:r w:rsidRPr="00BE0D96">
              <w:t>the terms ‘combusti</w:t>
            </w:r>
            <w:r w:rsidRPr="00BE0D96">
              <w:t>on’, ‘ignition’ and ‘propagation’;</w:t>
            </w:r>
          </w:p>
          <w:p w:rsidR="00000000" w:rsidRPr="00BE0D96" w:rsidP="00BE0D96">
            <w:pPr>
              <w:pStyle w:val="ListBullet2"/>
            </w:pPr>
            <w:r w:rsidRPr="00BE0D96">
              <w:t>explosive range of substances encountered in the workplace i.e. LEL/UEL;</w:t>
            </w:r>
          </w:p>
          <w:p w:rsidR="00000000" w:rsidRPr="00BE0D96" w:rsidP="00BE0D96">
            <w:pPr>
              <w:pStyle w:val="ListBullet2"/>
            </w:pPr>
            <w:r w:rsidRPr="00BE0D96">
              <w:t>explosive parameters of substances as given in tables of substance properties</w:t>
            </w:r>
          </w:p>
          <w:p w:rsidR="00000000" w:rsidRPr="00BE0D96" w:rsidP="00BE0D96">
            <w:pPr>
              <w:pStyle w:val="ListBullet2"/>
            </w:pPr>
            <w:r w:rsidRPr="00BE0D96">
              <w:t>Note: Combustible materials are gases, vapours (from liquids), and dus</w:t>
            </w:r>
            <w:r w:rsidRPr="00BE0D96">
              <w:t>ts; flash point.</w:t>
            </w:r>
          </w:p>
          <w:p w:rsidR="00000000" w:rsidRPr="00BE0D96" w:rsidP="00BE0D96">
            <w:pPr>
              <w:pStyle w:val="ListBullet2"/>
            </w:pPr>
            <w:r w:rsidRPr="00BE0D96">
              <w:t>the difference between gases and vapours; and</w:t>
            </w:r>
          </w:p>
          <w:p w:rsidR="00000000" w:rsidP="00BE0D96">
            <w:pPr>
              <w:pStyle w:val="ListBullet2"/>
              <w:rPr>
                <w:lang w:val="en-NZ"/>
              </w:rPr>
            </w:pPr>
            <w:r w:rsidRPr="00BE0D96">
              <w:t>the toxic nature of gases and vapours and potential harmful consequences.</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T4</w:t>
            </w:r>
            <w:r w:rsidRPr="00BE0D96">
              <w:tab/>
              <w:t>The nature of hazardous areas encompassing:</w:t>
            </w:r>
          </w:p>
          <w:p w:rsidR="00000000" w:rsidRPr="00BE0D96" w:rsidP="00BE0D96">
            <w:pPr>
              <w:pStyle w:val="ListBullet2"/>
            </w:pPr>
            <w:r w:rsidRPr="00BE0D96">
              <w:t>the Standards definition of a ‘hazardous area’;</w:t>
            </w:r>
          </w:p>
          <w:p w:rsidR="00000000" w:rsidRPr="00BE0D96" w:rsidP="00BE0D96">
            <w:pPr>
              <w:pStyle w:val="ListBullet2"/>
            </w:pPr>
            <w:r w:rsidRPr="00BE0D96">
              <w:t>the recommended methods for classifying the type and degree of explosion hazard in an area;</w:t>
            </w:r>
          </w:p>
          <w:p w:rsidR="00000000" w:rsidRPr="00BE0D96" w:rsidP="00BE0D96">
            <w:pPr>
              <w:pStyle w:val="ListBullet2"/>
            </w:pPr>
            <w:r w:rsidRPr="00BE0D96">
              <w:t>hazardous area classifications as defined by Standards; and</w:t>
            </w:r>
          </w:p>
          <w:p w:rsidR="00000000" w:rsidRPr="00BE0D96" w:rsidP="00BE0D96">
            <w:pPr>
              <w:pStyle w:val="ListBullet2"/>
            </w:pPr>
            <w:r w:rsidRPr="00BE0D96">
              <w:t>factors that are considered when a hazardous area is classified.</w:t>
            </w:r>
          </w:p>
          <w:p w:rsidR="00000000" w:rsidP="00BE0D96">
            <w:pPr>
              <w:pStyle w:val="ListBullet2"/>
              <w:rPr>
                <w:lang w:val="en-NZ"/>
              </w:rPr>
            </w:pPr>
            <w:r w:rsidRPr="00BE0D96">
              <w:t xml:space="preserve">the basics of how explosion-protection </w:t>
            </w:r>
            <w:r w:rsidRPr="00BE0D96">
              <w:t>is achieved by the methods of exclusion, containment, energy limitation, dilution, avoidance of ignition source.</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T5</w:t>
            </w:r>
            <w:r w:rsidRPr="00BE0D96">
              <w:tab/>
              <w:t>Explosive-protected equipment encompassing:</w:t>
            </w:r>
          </w:p>
          <w:p w:rsidR="00000000" w:rsidRPr="00BE0D96" w:rsidP="00BE0D96">
            <w:pPr>
              <w:pStyle w:val="ListBullet2"/>
            </w:pPr>
            <w:r w:rsidRPr="00BE0D96">
              <w:t>The principles of each explosion-protection technique, the methods used and how each techniqu</w:t>
            </w:r>
            <w:r w:rsidRPr="00BE0D96">
              <w:t>e works (Flameproof (Ex ‘d’); Increased safety (Ex ‘e’); Non-sparking (Ex ‘n’); Intrinsic safety (Ex ‘i’) and Pressurization (Ex ‘p’) for gas atmospheres and Dust-exclusion enclosures (Ex ‘tD’); Pressurization (Ex ‘pD’); Encapsulation (Ex ‘mD’); and Intrin</w:t>
            </w:r>
            <w:r w:rsidRPr="00BE0D96">
              <w:t>sic safety (Ex ‘iD’) for dusts)</w:t>
            </w:r>
          </w:p>
          <w:p w:rsidR="00000000" w:rsidRPr="00BE0D96" w:rsidP="00BE0D96">
            <w:pPr>
              <w:pStyle w:val="ListBullet2"/>
            </w:pPr>
            <w:r w:rsidRPr="00BE0D96">
              <w:t>How explosion-protected equipment is identified by the ‘Ex’ symbol marked on the equipment, including old equipment and equipment certified in another country.</w:t>
            </w:r>
          </w:p>
          <w:p w:rsidR="00000000" w:rsidP="00BE0D96">
            <w:pPr>
              <w:pStyle w:val="ListBullet2"/>
              <w:rPr>
                <w:lang w:val="en-NZ"/>
              </w:rPr>
            </w:pPr>
            <w:r w:rsidRPr="00BE0D96">
              <w:t>Visible conditions or actions that would void the explosion-prot</w:t>
            </w:r>
            <w:r w:rsidRPr="00BE0D96">
              <w:t>ection provided by a particular technique.</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T6</w:t>
            </w:r>
            <w:r w:rsidRPr="00BE0D96">
              <w:tab/>
              <w:t>Explosion-protection equipment — Ex certification schemes encompassing:</w:t>
            </w:r>
          </w:p>
          <w:p w:rsidR="00000000" w:rsidRPr="00BE0D96" w:rsidP="00BE0D96">
            <w:pPr>
              <w:pStyle w:val="ListBullet2"/>
            </w:pPr>
            <w:r w:rsidRPr="00BE0D96">
              <w:t>Purpose and scope of certification schemes.</w:t>
            </w:r>
          </w:p>
          <w:p w:rsidR="00000000" w:rsidRPr="00BE0D96" w:rsidP="00BE0D96">
            <w:pPr>
              <w:pStyle w:val="ListBullet2"/>
            </w:pPr>
            <w:r w:rsidRPr="00BE0D96">
              <w:t>Schemes accepted in Australia and New Zealand.</w:t>
            </w:r>
          </w:p>
          <w:p w:rsidR="00000000" w:rsidRPr="00BE0D96" w:rsidP="00BE0D96">
            <w:pPr>
              <w:pStyle w:val="ListBullet2"/>
            </w:pPr>
            <w:r w:rsidRPr="00BE0D96">
              <w:t>Schemes commonly used in countries other than Australia and New Zealand.</w:t>
            </w:r>
          </w:p>
          <w:p w:rsidR="00000000" w:rsidP="00BE0D96">
            <w:pPr>
              <w:pStyle w:val="ListBullet2"/>
              <w:rPr>
                <w:lang w:val="en-NZ"/>
              </w:rPr>
            </w:pPr>
            <w:r w:rsidRPr="00BE0D96">
              <w:t>Processes for having equipment certified under the acceptable Ex schemes — scheme procedures; quality management requirements; conformance testing and assessment; and requirements for</w:t>
            </w:r>
            <w:r w:rsidRPr="00BE0D96">
              <w:t xml:space="preserve"> ongoing certification.</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T7</w:t>
            </w:r>
            <w:r w:rsidRPr="00BE0D96">
              <w:tab/>
              <w:t>Flameproof (Ex ‘d’) explosion-protection technique encompassing:</w:t>
            </w:r>
          </w:p>
          <w:p w:rsidR="00000000" w:rsidRPr="00BE0D96" w:rsidP="00BE0D96">
            <w:pPr>
              <w:pStyle w:val="ListBullet2"/>
            </w:pPr>
            <w:r w:rsidRPr="00BE0D96">
              <w:t>The purpose and characteristics of the design features of apparatus and circuits protected by the flameproof (Ex ‘d’) technique. (Examples of characteristics and</w:t>
            </w:r>
            <w:r w:rsidRPr="00BE0D96">
              <w:t xml:space="preserve"> design features are flame paths, integrity under pressure, pressure piling, and enclosure entries).</w:t>
            </w:r>
          </w:p>
          <w:p w:rsidR="00000000" w:rsidRPr="00BE0D96" w:rsidP="00BE0D96">
            <w:pPr>
              <w:pStyle w:val="ListBullet2"/>
            </w:pPr>
            <w:r w:rsidRPr="00BE0D96">
              <w:t>Typical situations where the flameproof explosion-protection technique is used;</w:t>
            </w:r>
          </w:p>
          <w:p w:rsidR="00000000" w:rsidRPr="00BE0D96" w:rsidP="00BE0D96">
            <w:pPr>
              <w:pStyle w:val="ListBullet2"/>
            </w:pPr>
            <w:r w:rsidRPr="00BE0D96">
              <w:t>Actions or conditions that would void the protection provided the Flameproo</w:t>
            </w:r>
            <w:r w:rsidRPr="00BE0D96">
              <w:t xml:space="preserve">f technique; </w:t>
            </w:r>
          </w:p>
          <w:p w:rsidR="00000000" w:rsidP="00BE0D96">
            <w:pPr>
              <w:pStyle w:val="ListBullet2"/>
              <w:rPr>
                <w:lang w:val="en-NZ"/>
              </w:rPr>
            </w:pPr>
            <w:r w:rsidRPr="00BE0D96">
              <w:t>The use of Standards in determining the requirements to which the installation of flameproof explosion-protected apparatus shall comply.</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T8</w:t>
            </w:r>
            <w:r w:rsidRPr="00BE0D96">
              <w:tab/>
              <w:t>Increased safety (Ex ‘e’) explosion-protection technique encompassing:</w:t>
            </w:r>
          </w:p>
          <w:p w:rsidR="00000000" w:rsidRPr="00BE0D96" w:rsidP="00BE0D96">
            <w:pPr>
              <w:pStyle w:val="ListBullet2"/>
            </w:pPr>
            <w:r w:rsidRPr="00BE0D96">
              <w:t>The purpose and characteristics of the design features of apparatus and circuits protected by the Increased safety (Ex ‘e’) technique (Examples of characteristics and design features are temperature rise, maximum power dissipation, protection devices, cert</w:t>
            </w:r>
            <w:r w:rsidRPr="00BE0D96">
              <w:t>ified components, creepage and clearance distances, absence of sparking contacts and enclosure entries).</w:t>
            </w:r>
          </w:p>
          <w:p w:rsidR="00000000" w:rsidRPr="00BE0D96" w:rsidP="00BE0D96">
            <w:pPr>
              <w:pStyle w:val="ListBullet2"/>
            </w:pPr>
            <w:r w:rsidRPr="00BE0D96">
              <w:t>Typical situations where the Increased safety explosion-protection technique is used;</w:t>
            </w:r>
          </w:p>
          <w:p w:rsidR="00000000" w:rsidRPr="00BE0D96" w:rsidP="00BE0D96">
            <w:pPr>
              <w:pStyle w:val="ListBullet2"/>
            </w:pPr>
            <w:r w:rsidRPr="00BE0D96">
              <w:t>Actions or conditions that would void the protection provided the</w:t>
            </w:r>
            <w:r w:rsidRPr="00BE0D96">
              <w:t xml:space="preserve"> Increased safety technique; </w:t>
            </w:r>
          </w:p>
          <w:p w:rsidR="00000000" w:rsidP="00BE0D96">
            <w:pPr>
              <w:pStyle w:val="ListBullet2"/>
              <w:rPr>
                <w:lang w:val="en-NZ"/>
              </w:rPr>
            </w:pPr>
            <w:r w:rsidRPr="00BE0D96">
              <w:t>The use of Standards in determining the requirements to which the installation of Increased safety explosion-protected apparatus shall comply.</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T9</w:t>
            </w:r>
            <w:r w:rsidRPr="00BE0D96">
              <w:tab/>
              <w:t>Non-sparking (Ex ‘n’) explosion-protection technique encompassing:</w:t>
            </w:r>
          </w:p>
          <w:p w:rsidR="00000000" w:rsidRPr="00BE0D96" w:rsidP="00BE0D96">
            <w:pPr>
              <w:pStyle w:val="ListBullet2"/>
            </w:pPr>
            <w:r w:rsidRPr="00BE0D96">
              <w:t>The purpos</w:t>
            </w:r>
            <w:r w:rsidRPr="00BE0D96">
              <w:t>e and characteristics of the design features of apparatus and circuits protected by the Non-sparking (Ex ‘n’) technique (Examples of characteristics and design features are creepage and clearance distances and restricted breathing).</w:t>
            </w:r>
          </w:p>
          <w:p w:rsidR="00000000" w:rsidRPr="00BE0D96" w:rsidP="00BE0D96">
            <w:pPr>
              <w:pStyle w:val="ListBullet2"/>
            </w:pPr>
            <w:r w:rsidRPr="00BE0D96">
              <w:t>Typical situations wher</w:t>
            </w:r>
            <w:r w:rsidRPr="00BE0D96">
              <w:t>e the Non-sparking explosion-protection technique is used;</w:t>
            </w:r>
          </w:p>
          <w:p w:rsidR="00000000" w:rsidRPr="00BE0D96" w:rsidP="00BE0D96">
            <w:pPr>
              <w:pStyle w:val="ListBullet2"/>
            </w:pPr>
            <w:r w:rsidRPr="00BE0D96">
              <w:t>Actions or conditions that would void the protection provided the Non-sparking technique; and</w:t>
            </w:r>
          </w:p>
          <w:p w:rsidR="00000000" w:rsidP="00BE0D96">
            <w:pPr>
              <w:pStyle w:val="ListBullet2"/>
              <w:rPr>
                <w:lang w:val="en-NZ"/>
              </w:rPr>
            </w:pPr>
            <w:r w:rsidRPr="00BE0D96">
              <w:t>The use of Standards in determining the requirements to which the installation of Non-sparking explosio</w:t>
            </w:r>
            <w:r w:rsidRPr="00BE0D96">
              <w:t>n-protected apparatus shall comply.</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T10</w:t>
            </w:r>
            <w:r w:rsidRPr="00BE0D96">
              <w:tab/>
              <w:t>Intrinsic safety (Ex ‘i’) explosion-protection technique encompassing:</w:t>
            </w:r>
          </w:p>
          <w:p w:rsidR="00000000" w:rsidRPr="00BE0D96" w:rsidP="00BE0D96">
            <w:pPr>
              <w:pStyle w:val="ListBullet2"/>
            </w:pPr>
            <w:r w:rsidRPr="00BE0D96">
              <w:t>The purpose and characteristics of the design features of apparatus and circuits protected by the Intrinsic safety (Ex ‘i’</w:t>
            </w:r>
            <w:r w:rsidRPr="00BE0D96">
              <w:t>) technique (Examples of characteristics and design features are field devices, cables, safe area devices, earthing, entity versus integrated system concept, simple devices and interface devices and their parameters, segregation, infallible components, cur</w:t>
            </w:r>
            <w:r w:rsidRPr="00BE0D96">
              <w:t>rent and voltage limiting, creepage and clearance distances).</w:t>
            </w:r>
          </w:p>
          <w:p w:rsidR="00000000" w:rsidRPr="00BE0D96" w:rsidP="00BE0D96">
            <w:pPr>
              <w:pStyle w:val="ListBullet2"/>
            </w:pPr>
            <w:r w:rsidRPr="00BE0D96">
              <w:t>Typical situations where the Intrinsic safety explosion-protection technique is used;</w:t>
            </w:r>
          </w:p>
          <w:p w:rsidR="00000000" w:rsidRPr="00BE0D96" w:rsidP="00BE0D96">
            <w:pPr>
              <w:pStyle w:val="ListBullet2"/>
            </w:pPr>
            <w:r w:rsidRPr="00BE0D96">
              <w:t xml:space="preserve">Actions or conditions that would void the protection provided the Intrinsic safety; </w:t>
            </w:r>
          </w:p>
          <w:p w:rsidR="00000000" w:rsidP="00BE0D96">
            <w:pPr>
              <w:pStyle w:val="ListBullet2"/>
              <w:rPr>
                <w:lang w:val="en-NZ"/>
              </w:rPr>
            </w:pPr>
            <w:r w:rsidRPr="00BE0D96">
              <w:t>The use of Standards in</w:t>
            </w:r>
            <w:r w:rsidRPr="00BE0D96">
              <w:t xml:space="preserve"> determining the requirements to which the installation of Intrinsic safety explosion-protected apparatus shall comply.</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T11</w:t>
            </w:r>
            <w:r w:rsidRPr="00BE0D96">
              <w:tab/>
              <w:t>Pressurization (Ex ‘p’) explosion-protection technique encompassing:</w:t>
            </w:r>
          </w:p>
          <w:p w:rsidR="00000000" w:rsidRPr="00BE0D96" w:rsidP="00BE0D96">
            <w:pPr>
              <w:pStyle w:val="ListBullet2"/>
            </w:pPr>
            <w:r w:rsidRPr="00BE0D96">
              <w:t>The purpose and characteristics of the design features of ap</w:t>
            </w:r>
            <w:r w:rsidRPr="00BE0D96">
              <w:t>paratus and circuits protected by the Pressurization (Ex ‘p’) technique (Examples of characteristics and design features are exclusion and dilution; purge periods, controlled shut down, monitoring and sources of internal release).</w:t>
            </w:r>
          </w:p>
          <w:p w:rsidR="00000000" w:rsidRPr="00BE0D96" w:rsidP="00BE0D96">
            <w:pPr>
              <w:pStyle w:val="ListBullet2"/>
            </w:pPr>
            <w:r w:rsidRPr="00BE0D96">
              <w:t xml:space="preserve">Typical situations where </w:t>
            </w:r>
            <w:r w:rsidRPr="00BE0D96">
              <w:t>the pressurization explosion-protection technique is used;</w:t>
            </w:r>
          </w:p>
          <w:p w:rsidR="00000000" w:rsidRPr="00BE0D96" w:rsidP="00BE0D96">
            <w:pPr>
              <w:pStyle w:val="ListBullet2"/>
            </w:pPr>
            <w:r w:rsidRPr="00BE0D96">
              <w:t>Actions or conditions that would void the protection provided the pressurization technique;</w:t>
            </w:r>
          </w:p>
          <w:p w:rsidR="00000000" w:rsidP="00BE0D96">
            <w:pPr>
              <w:pStyle w:val="ListBullet2"/>
              <w:rPr>
                <w:lang w:val="en-NZ"/>
              </w:rPr>
            </w:pPr>
            <w:r w:rsidRPr="00BE0D96">
              <w:t>The use of Standards in determining the requirements to which the installation of pressurization explosio</w:t>
            </w:r>
            <w:r w:rsidRPr="00BE0D96">
              <w:t>n-protected apparatus shall comply.</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T12</w:t>
            </w:r>
            <w:r w:rsidRPr="00BE0D96">
              <w:tab/>
              <w:t>Enclosures for dusts (Ex ‘tD’) - explosion-protection technique encompassing:</w:t>
            </w:r>
          </w:p>
          <w:p w:rsidR="00000000" w:rsidRPr="00BE0D96" w:rsidP="00BE0D96">
            <w:pPr>
              <w:pStyle w:val="ListBullet2"/>
            </w:pPr>
            <w:r w:rsidRPr="00BE0D96">
              <w:t xml:space="preserve">The purpose and characteristics of the design features of apparatus and circuits protected </w:t>
            </w:r>
            <w:r w:rsidRPr="00BE0D96">
              <w:t>by the techniques for dusts (Examples of characteristics and design features are for enclosures; pressurization; encapsulation; and intrinsic safety).</w:t>
            </w:r>
          </w:p>
          <w:p w:rsidR="00000000" w:rsidRPr="00BE0D96" w:rsidP="00BE0D96">
            <w:pPr>
              <w:pStyle w:val="ListBullet2"/>
            </w:pPr>
            <w:r w:rsidRPr="00BE0D96">
              <w:t>Typical situations where the each dust explosion-protection technique is used;</w:t>
            </w:r>
          </w:p>
          <w:p w:rsidR="00000000" w:rsidRPr="00BE0D96" w:rsidP="00BE0D96">
            <w:pPr>
              <w:pStyle w:val="ListBullet2"/>
            </w:pPr>
            <w:r w:rsidRPr="00BE0D96">
              <w:t>Actions or conditions that</w:t>
            </w:r>
            <w:r w:rsidRPr="00BE0D96">
              <w:t xml:space="preserve"> would void the protection provided the each dust technique; </w:t>
            </w:r>
          </w:p>
          <w:p w:rsidR="00000000" w:rsidP="00BE0D96">
            <w:pPr>
              <w:pStyle w:val="ListBullet2"/>
              <w:rPr>
                <w:lang w:val="en-NZ"/>
              </w:rPr>
            </w:pPr>
            <w:r w:rsidRPr="00BE0D96">
              <w:t>The use of Standards in determining the requirements to which the installation of dust explosion-protected apparatus shall comply.</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T13</w:t>
            </w:r>
            <w:r w:rsidRPr="00BE0D96">
              <w:tab/>
              <w:t>Common characteristics of explosion-protection techniques</w:t>
            </w:r>
            <w:r w:rsidRPr="00BE0D96">
              <w:t xml:space="preserve"> encompassing:</w:t>
            </w:r>
          </w:p>
          <w:p w:rsidR="00000000" w:rsidRPr="00BE0D96" w:rsidP="00BE0D96">
            <w:pPr>
              <w:pStyle w:val="ListBullet2"/>
            </w:pPr>
            <w:r w:rsidRPr="00BE0D96">
              <w:t>The purposes of ‘temperature classification’ and ‘gas grouping/apparatus grouping’.</w:t>
            </w:r>
          </w:p>
          <w:p w:rsidR="00000000" w:rsidRPr="00BE0D96" w:rsidP="00BE0D96">
            <w:pPr>
              <w:pStyle w:val="ListBullet2"/>
            </w:pPr>
            <w:r w:rsidRPr="00BE0D96">
              <w:t>Compliance plate markings.</w:t>
            </w:r>
          </w:p>
          <w:p w:rsidR="00000000" w:rsidRPr="00BE0D96" w:rsidP="00BE0D96">
            <w:pPr>
              <w:pStyle w:val="ListBullet2"/>
            </w:pPr>
            <w:r w:rsidRPr="00BE0D96">
              <w:t>Limitations of non-metallic or specific alloy enclosures.</w:t>
            </w:r>
          </w:p>
          <w:p w:rsidR="00000000" w:rsidRPr="00BE0D96" w:rsidP="00BE0D96">
            <w:pPr>
              <w:pStyle w:val="ListBullet2"/>
            </w:pPr>
            <w:r w:rsidRPr="00BE0D96">
              <w:t>The purpose of conformity and certification/approval for equipment used</w:t>
            </w:r>
            <w:r w:rsidRPr="00BE0D96">
              <w:t xml:space="preserve"> in hazardous areas.</w:t>
            </w:r>
          </w:p>
          <w:p w:rsidR="00000000" w:rsidRPr="00BE0D96" w:rsidP="00BE0D96">
            <w:pPr>
              <w:pStyle w:val="ListBullet2"/>
            </w:pPr>
            <w:r w:rsidRPr="00BE0D96">
              <w:t>Environmental conditions that may impact on explosion-protection techniques.</w:t>
            </w:r>
          </w:p>
          <w:p w:rsidR="00000000" w:rsidRPr="00BE0D96" w:rsidP="00BE0D96">
            <w:pPr>
              <w:pStyle w:val="ListBullet2"/>
            </w:pPr>
            <w:r w:rsidRPr="00BE0D96">
              <w:t>The principles and applications of other and mixed explosion-protection techniques (Other techniques include encapsulation Ex ‘m’; oil-immersion Ex ‘o’</w:t>
            </w:r>
            <w:r w:rsidRPr="00BE0D96">
              <w:t>; powder-filling Ex ‘q’, ventilation Ex ‘v’ and special protection Ex ‘s’).</w:t>
            </w:r>
          </w:p>
          <w:p w:rsidR="00000000" w:rsidRPr="00BE0D96" w:rsidP="00BE0D96">
            <w:pPr>
              <w:pStyle w:val="ListBullet2"/>
            </w:pPr>
            <w:r w:rsidRPr="00BE0D96">
              <w:t>Features and purpose of conduit seals and cable termination devices designed for use in hazardous areas (These include conduit seals and barrier and compression glands for cables w</w:t>
            </w:r>
            <w:r w:rsidRPr="00BE0D96">
              <w:t>ith or without armouring, screening and/or drain wires).</w:t>
            </w:r>
          </w:p>
        </w:tc>
      </w:tr>
    </w:tbl>
    <w:p w:rsidR="00000000" w:rsidRPr="00BE0D96" w:rsidP="00BE0D96">
      <w:pPr>
        <w:pStyle w:val="BodyText"/>
      </w:pPr>
    </w:p>
    <w:p w:rsidR="00000000" w:rsidRPr="00BE0D96" w:rsidP="00BE0D96">
      <w:pPr>
        <w:pStyle w:val="AllowPageBreak"/>
      </w:pPr>
    </w:p>
    <w:p w:rsidR="00000000" w:rsidRPr="00BE0D96" w:rsidP="00BE0D96">
      <w:pPr>
        <w:pStyle w:val="Heading1"/>
      </w:pPr>
      <w:bookmarkStart w:id="10" w:name="O_701135"/>
      <w:bookmarkEnd w:id="10"/>
      <w:r w:rsidRPr="00BE0D96">
        <w:t>Evidence Guide</w:t>
      </w:r>
    </w:p>
    <w:tbl>
      <w:tblPr>
        <w:tblW w:w="0" w:type="auto"/>
        <w:tblLayout w:type="fixed"/>
        <w:tblCellMar>
          <w:left w:w="62" w:type="dxa"/>
          <w:right w:w="62" w:type="dxa"/>
        </w:tblCellMar>
        <w:tblLook w:val="0000"/>
      </w:tblPr>
      <w:tblGrid>
        <w:gridCol w:w="2158"/>
        <w:gridCol w:w="720"/>
        <w:gridCol w:w="540"/>
        <w:gridCol w:w="5042"/>
      </w:tblGrid>
      <w:tr w:rsidTr="0055149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EVIDENCE GUIDE</w:t>
            </w:r>
          </w:p>
        </w:tc>
      </w:tr>
      <w:tr w:rsidTr="0055149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9</w:t>
            </w:r>
            <w:r w:rsidRPr="00BE0D96">
              <w:t xml:space="preserve">) This provides essential advice for assessment of the unit and must be read in conjunction with </w:t>
            </w:r>
            <w:r w:rsidRPr="00BE0D96">
              <w:t>the performance criteria and the range statement of the unit and the Training Package Assessment Guidelines.</w:t>
            </w:r>
          </w:p>
          <w:p w:rsidR="00000000" w:rsidP="00BE0D96">
            <w:pPr>
              <w:pStyle w:val="BodyText"/>
              <w:rPr>
                <w:lang w:val="en-NZ"/>
              </w:rPr>
            </w:pPr>
            <w:r w:rsidRPr="00BE0D96">
              <w:t>The Evidence Guide forms an integral part of this unit. It must be used in conjunction with all components parts of this unit and performed in acco</w:t>
            </w:r>
            <w:r w:rsidRPr="00BE0D96">
              <w:t>rdance with the Assessment Guidelines of this Training Package.</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9</w:t>
            </w:r>
            <w:r w:rsidRPr="00BE0D96">
              <w:t>.</w:t>
            </w:r>
            <w:r w:rsidRPr="00BE0D96">
              <w:rPr>
                <w:rStyle w:val="SpecialBold"/>
              </w:rPr>
              <w:t>1</w:t>
            </w:r>
            <w:r w:rsidRPr="00BE0D96">
              <w:t xml:space="preserve">) </w:t>
            </w:r>
          </w:p>
          <w:p w:rsidR="00000000" w:rsidRPr="00BE0D96" w:rsidP="00BE0D96">
            <w:pPr>
              <w:pStyle w:val="BodyText"/>
            </w:pPr>
            <w:r w:rsidRPr="00BE0D96">
              <w:t>Longitudinal competency development approaches to assessment, such as Profiling, require data to be reliably gathered in a form that can be consistently interp</w:t>
            </w:r>
            <w:r w:rsidRPr="00BE0D96">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BE0D96">
              <w:t>of the competency in the normal work environment or, at a minimum, the application of the competency in a realistically simulated work environment. It is recognised that, in some circumstances, assessment in part or full can occur outside the workplace. Ho</w:t>
            </w:r>
            <w:r w:rsidRPr="00BE0D96">
              <w:t>wever, it must be in accord with industry and regulatory policy.</w:t>
            </w:r>
          </w:p>
          <w:p w:rsidR="00000000" w:rsidRPr="00BE0D96" w:rsidP="00BE0D96">
            <w:pPr>
              <w:pStyle w:val="BodyText"/>
            </w:pPr>
            <w:r w:rsidRPr="00BE0D96">
              <w:t>Methods chosen for a particular assessment will be influenced by various factors. These include the extent of the assessment, the most effective locations for the assessment activities to tak</w:t>
            </w:r>
            <w:r w:rsidRPr="00BE0D96">
              <w:t>e place, access to physical resources, additional safety measures that may be required and the critical nature of the competencies being assessed.</w:t>
            </w:r>
          </w:p>
          <w:p w:rsidR="00000000" w:rsidRPr="00BE0D96" w:rsidP="00BE0D96">
            <w:pPr>
              <w:pStyle w:val="BodyText"/>
            </w:pPr>
            <w:r w:rsidRPr="00BE0D96">
              <w:t>The critical safety nature of working with electricity, electrical equipment, gas or any other hazardous subs</w:t>
            </w:r>
            <w:r w:rsidRPr="00BE0D96">
              <w:t>tance/material carries risk in deeming a person competent. Sources of evidence need to be 'rich' in nature to minimise error in judgment.</w:t>
            </w:r>
          </w:p>
          <w:p w:rsidR="00000000" w:rsidP="00BE0D96">
            <w:pPr>
              <w:pStyle w:val="BodyText"/>
              <w:rPr>
                <w:lang w:val="en-NZ"/>
              </w:rPr>
            </w:pPr>
            <w:r w:rsidRPr="00BE0D96">
              <w:t>Activities associated with normal everyday work influence decisions about how/how much the data gathered will contribu</w:t>
            </w:r>
            <w:r w:rsidRPr="00BE0D96">
              <w:t>te to its 'richness'. Some skills are more critical to safety and operational requirements while the same skills may be more or less frequently practised. These points are raised for the assessors to consider when choosing an assessment method and developi</w:t>
            </w:r>
            <w:r w:rsidRPr="00BE0D96">
              <w:t>ng assessment instruments. Sample assessment instruments are included for Assessors in the Assessment Guidelines of this Training Package.</w:t>
            </w:r>
          </w:p>
        </w:tc>
      </w:tr>
      <w:tr w:rsidTr="00551496">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9</w:t>
            </w:r>
            <w:r w:rsidRPr="00BE0D96">
              <w:t>.</w:t>
            </w:r>
            <w:r w:rsidRPr="00BE0D96">
              <w:rPr>
                <w:rStyle w:val="SpecialBold"/>
              </w:rPr>
              <w:t>2</w:t>
            </w:r>
            <w:r w:rsidRPr="00BE0D96">
              <w:t xml:space="preserve">) </w:t>
            </w:r>
          </w:p>
          <w:p w:rsidR="00000000" w:rsidP="00BE0D96">
            <w:pPr>
              <w:pStyle w:val="BodyText"/>
              <w:rPr>
                <w:lang w:val="en-NZ"/>
              </w:rPr>
            </w:pPr>
            <w:r w:rsidRPr="00BE0D96">
              <w:t>Before the critical aspects of evidence are considered all prerequisites shall be met.</w:t>
            </w:r>
          </w:p>
        </w:tc>
      </w:tr>
      <w:tr w:rsidTr="00551496">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Evidence for competence in this unit shall be considered holistically.  Each element and associated performance criteria must be demonstrated on at least two occasio</w:t>
            </w:r>
            <w:r w:rsidRPr="00BE0D96">
              <w:t>ns in accordance with the 'Assessment Guidelines - UEE07'.  Evidence shall also comprise:</w:t>
            </w:r>
          </w:p>
          <w:p w:rsidR="00000000" w:rsidP="00BE0D96">
            <w:pPr>
              <w:pStyle w:val="ListBullet"/>
              <w:rPr>
                <w:lang w:val="en-NZ"/>
              </w:rPr>
            </w:pPr>
            <w:r w:rsidRPr="00BE0D96">
              <w:t>A representative body of work performance demonstrated within the timeframes typically expected of the discipline, work function and industrial environment. In parti</w:t>
            </w:r>
            <w:r w:rsidRPr="00BE0D96">
              <w:t>cular this shall incorporate evidence that shows a candidate is able to:</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BE0D96" w:rsidP="00BE0D96">
            <w:pPr>
              <w:pStyle w:val="ListBullet2"/>
            </w:pPr>
            <w:r w:rsidRPr="00BE0D96">
              <w:t xml:space="preserve">Implement Occupational Health and Safety workplace procedures and practices, including </w:t>
            </w:r>
            <w:r w:rsidRPr="00BE0D96">
              <w:t>the use of risk control measures as specified in the performance criteria and range statement</w:t>
            </w:r>
          </w:p>
          <w:p w:rsidR="00000000" w:rsidRPr="00BE0D96" w:rsidP="00BE0D96">
            <w:pPr>
              <w:pStyle w:val="ListBullet2"/>
            </w:pPr>
            <w:r w:rsidRPr="00BE0D96">
              <w:t>Apply sustainable energy principles and practices as specified in the performance criteria and range statement</w:t>
            </w:r>
          </w:p>
          <w:p w:rsidR="00000000" w:rsidRPr="00BE0D96" w:rsidP="00BE0D96">
            <w:pPr>
              <w:pStyle w:val="ListBullet2"/>
            </w:pPr>
            <w:r w:rsidRPr="00BE0D96">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E0D96" w:rsidP="00BE0D96">
            <w:pPr>
              <w:pStyle w:val="ListBullet2"/>
            </w:pPr>
            <w:r w:rsidRPr="00BE0D96">
              <w:t>Demonst</w:t>
            </w:r>
            <w:r w:rsidRPr="00BE0D96">
              <w:t>rate an appropriate level of skills enabling employment</w:t>
            </w:r>
          </w:p>
          <w:p w:rsidR="00000000" w:rsidP="00BE0D96">
            <w:pPr>
              <w:pStyle w:val="ListBullet2"/>
              <w:rPr>
                <w:lang w:val="en-NZ"/>
              </w:rPr>
            </w:pPr>
            <w:r w:rsidRPr="00BE0D96">
              <w:t>Conduct work observing the relevant Anti Discrimination legislation, regulations, polices and workplace procedures</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BE0D96">
            <w:pPr>
              <w:pStyle w:val="ListBullet"/>
              <w:rPr>
                <w:lang w:val="en-NZ"/>
              </w:rPr>
            </w:pPr>
            <w:r w:rsidRPr="00BE0D96">
              <w:t>Demonstrated consistent performance across a representative range of contexts fr</w:t>
            </w:r>
            <w:r w:rsidRPr="00BE0D96">
              <w:t>om the prescribed items below:</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BE0D96">
            <w:pPr>
              <w:pStyle w:val="ListBullet2"/>
              <w:rPr>
                <w:lang w:val="en-NZ"/>
              </w:rPr>
            </w:pPr>
            <w:r w:rsidRPr="00BE0D96">
              <w:t>as described in 8) and including:</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A</w:t>
            </w:r>
          </w:p>
        </w:tc>
        <w:tc>
          <w:tcPr>
            <w:tcW w:w="504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Identifying equipment from its marking and certification documentation.</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B</w:t>
            </w:r>
          </w:p>
        </w:tc>
        <w:tc>
          <w:tcPr>
            <w:tcW w:w="504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Checking for correct operation, safety and currency of calibration certification.</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C</w:t>
            </w:r>
          </w:p>
        </w:tc>
        <w:tc>
          <w:tcPr>
            <w:tcW w:w="504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Following overhaul/repair specifications and instructions.</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D</w:t>
            </w:r>
          </w:p>
        </w:tc>
        <w:tc>
          <w:tcPr>
            <w:tcW w:w="504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Identifying replacement parts and components as being authorized by the equipment manufacturer.</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E</w:t>
            </w:r>
          </w:p>
        </w:tc>
        <w:tc>
          <w:tcPr>
            <w:tcW w:w="504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Documenting overhaul/repair work.</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F</w:t>
            </w:r>
          </w:p>
        </w:tc>
        <w:tc>
          <w:tcPr>
            <w:tcW w:w="504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Using quality systems.</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G</w:t>
            </w:r>
          </w:p>
        </w:tc>
        <w:tc>
          <w:tcPr>
            <w:tcW w:w="504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Applying relevant contingency management skills.</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Context of and specific resources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9</w:t>
            </w:r>
            <w:r w:rsidRPr="00BE0D96">
              <w:t>.</w:t>
            </w:r>
            <w:r w:rsidRPr="00BE0D96">
              <w:rPr>
                <w:rStyle w:val="SpecialBold"/>
              </w:rPr>
              <w:t>3</w:t>
            </w:r>
            <w:r w:rsidRPr="00BE0D96">
              <w:t xml:space="preserve">) </w:t>
            </w:r>
          </w:p>
          <w:p w:rsidR="00000000" w:rsidRPr="00BE0D96" w:rsidP="00BE0D96">
            <w:pPr>
              <w:pStyle w:val="BodyText"/>
            </w:pPr>
            <w:r w:rsidRPr="00BE0D96">
              <w:t>This unit should be assessed as it relates to normal work practice using procedures, information and resources typical of a workplace. This should incl</w:t>
            </w:r>
            <w:r w:rsidRPr="00BE0D96">
              <w:t>ude:</w:t>
            </w:r>
          </w:p>
          <w:p w:rsidR="00000000" w:rsidRPr="00BE0D96" w:rsidP="00BE0D96">
            <w:pPr>
              <w:pStyle w:val="ListBullet"/>
            </w:pPr>
            <w:r w:rsidRPr="00BE0D96">
              <w:t>OHS policy and work procedures and instructions.</w:t>
            </w:r>
          </w:p>
          <w:p w:rsidR="00000000" w:rsidRPr="00BE0D96" w:rsidP="00BE0D96">
            <w:pPr>
              <w:pStyle w:val="ListBullet"/>
            </w:pPr>
            <w:r w:rsidRPr="00BE0D96">
              <w:t>Suitable work environment, facilities, equipment and materials to undertake actual work as prescribed by this unit.</w:t>
            </w:r>
          </w:p>
          <w:p w:rsidR="00000000" w:rsidRPr="00BE0D96" w:rsidP="00BE0D96">
            <w:pPr>
              <w:pStyle w:val="BodyText"/>
            </w:pPr>
            <w:r w:rsidRPr="00BE0D96">
              <w:t>These should also be part of the formal learning/assessment environment.</w:t>
            </w:r>
          </w:p>
          <w:p w:rsidR="00000000" w:rsidRPr="00BE0D96" w:rsidP="00BE0D96">
            <w:pPr>
              <w:pStyle w:val="BodyText"/>
            </w:pPr>
            <w:r w:rsidRPr="00BE0D96">
              <w:t>Note:</w:t>
            </w:r>
          </w:p>
          <w:p w:rsidR="00000000" w:rsidP="00BE0D96">
            <w:pPr>
              <w:pStyle w:val="BodyText"/>
              <w:rPr>
                <w:lang w:val="en-NZ"/>
              </w:rPr>
            </w:pPr>
            <w:r w:rsidRPr="00BE0D96">
              <w:t>Where simulation is considered a suitable strategy for assessment, conditions must be authentic and as far as possible reproduce and replicate the workplace and be consistent with the approved industry simulation policy.</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The resources used for assessme</w:t>
            </w:r>
            <w:r w:rsidRPr="00BE0D96">
              <w:t>nt should reflect current industry practices in relation to testing installations in hazardous areas.</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9</w:t>
            </w:r>
            <w:r w:rsidRPr="00BE0D96">
              <w:t>.</w:t>
            </w:r>
            <w:r w:rsidRPr="00BE0D96">
              <w:rPr>
                <w:rStyle w:val="SpecialBold"/>
              </w:rPr>
              <w:t>4</w:t>
            </w:r>
            <w:r w:rsidRPr="00BE0D96">
              <w:t xml:space="preserve">) </w:t>
            </w:r>
          </w:p>
          <w:p w:rsidR="00000000" w:rsidRPr="00BE0D96" w:rsidP="00BE0D96">
            <w:pPr>
              <w:pStyle w:val="BodyText"/>
            </w:pPr>
            <w:r w:rsidRPr="00BE0D96">
              <w:t>This unit shall be assessed by methods given in Volume 1, Part 3 'Assessment Guidelines'.</w:t>
            </w:r>
          </w:p>
          <w:p w:rsidR="00000000" w:rsidRPr="00BE0D96" w:rsidP="00BE0D96">
            <w:pPr>
              <w:pStyle w:val="BodyText"/>
            </w:pPr>
            <w:r w:rsidRPr="00BE0D96">
              <w:t>Note:</w:t>
            </w:r>
          </w:p>
          <w:p w:rsidR="00000000" w:rsidP="00BE0D96">
            <w:pPr>
              <w:pStyle w:val="BodyText"/>
              <w:rPr>
                <w:lang w:val="en-NZ"/>
              </w:rPr>
            </w:pPr>
            <w:r w:rsidRPr="00BE0D96">
              <w:t>Competent performance with i</w:t>
            </w:r>
            <w:r w:rsidRPr="00BE0D96">
              <w:t>nherent safe working practices is expected in the Industry to which this unit applies. This requires assessment in a structured environment primarily intended for learning/assessment which incorporates all necessary equipment and facilities for learners to</w:t>
            </w:r>
            <w:r w:rsidRPr="00BE0D96">
              <w:t xml:space="preserve"> develop and demonstrate the essential knowledge and skills described in this unit.</w:t>
            </w:r>
          </w:p>
        </w:tc>
      </w:tr>
      <w:tr w:rsidTr="00551496">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9</w:t>
            </w:r>
            <w:r w:rsidRPr="00BE0D96">
              <w:t>.</w:t>
            </w:r>
            <w:r w:rsidRPr="00BE0D96">
              <w:rPr>
                <w:rStyle w:val="SpecialBold"/>
              </w:rPr>
              <w:t>5</w:t>
            </w:r>
            <w:r w:rsidRPr="00BE0D96">
              <w:t>)</w:t>
            </w:r>
          </w:p>
          <w:p w:rsidR="00000000" w:rsidRPr="00BE0D96" w:rsidP="00BE0D96">
            <w:pPr>
              <w:pStyle w:val="BodyText"/>
            </w:pPr>
            <w:r w:rsidRPr="00BE0D96">
              <w:t>For optimisation of training and assessment effort, competency development in this unit may be arranged conc</w:t>
            </w:r>
            <w:r w:rsidRPr="00BE0D96">
              <w:t>urrently with any prerequisite unit.</w:t>
            </w:r>
          </w:p>
        </w:tc>
      </w:tr>
    </w:tbl>
    <w:p w:rsidR="00551496" w:rsidP="00BE0D96">
      <w:pPr>
        <w:pStyle w:val="BodyText"/>
      </w:pPr>
    </w:p>
    <w:p w:rsidR="00551496" w:rsidP="00BE0D96">
      <w:pPr>
        <w:pStyle w:val="BodyText"/>
      </w:pPr>
    </w:p>
    <w:p w:rsidR="00000000" w:rsidRPr="00BE0D96" w:rsidP="00BE0D96">
      <w:pPr>
        <w:pStyle w:val="Heading1"/>
      </w:pPr>
      <w:bookmarkStart w:id="11" w:name="O_701134"/>
      <w:bookmarkEnd w:id="11"/>
      <w:r w:rsidRPr="00BE0D96">
        <w:t>Range Statement</w:t>
      </w:r>
    </w:p>
    <w:tbl>
      <w:tblPr>
        <w:tblW w:w="0" w:type="auto"/>
        <w:tblLayout w:type="fixed"/>
        <w:tblCellMar>
          <w:left w:w="62" w:type="dxa"/>
          <w:right w:w="62" w:type="dxa"/>
        </w:tblCellMar>
        <w:tblLook w:val="0000"/>
      </w:tblPr>
      <w:tblGrid>
        <w:gridCol w:w="2698"/>
        <w:gridCol w:w="5762"/>
      </w:tblGrid>
      <w:tr w:rsidTr="0055149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RANGE STATEMENT</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8</w:t>
            </w:r>
            <w:r w:rsidRPr="00BE0D96">
              <w:t xml:space="preserve">) This relates to the unit as a whole providing the range of contexts and conditions to which the </w:t>
            </w:r>
            <w:r w:rsidRPr="00BE0D96">
              <w:t>performance criteria apply. It allows for different work environments and situations that will affect performance.</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This unit shall be demonstrated in relation to overhaul of equipment incorporating all the following explosion-protection techniques:</w:t>
            </w:r>
          </w:p>
        </w:tc>
      </w:tr>
      <w:tr w:rsidTr="0055149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BE0D96" w:rsidP="00BE0D96">
            <w:pPr>
              <w:pStyle w:val="ListBullet"/>
            </w:pPr>
            <w:r w:rsidRPr="00BE0D96">
              <w:t>Flameproof, (Ex 'd')</w:t>
            </w:r>
          </w:p>
          <w:p w:rsidR="00000000" w:rsidRPr="00BE0D96" w:rsidP="00BE0D96">
            <w:pPr>
              <w:pStyle w:val="ListBullet"/>
            </w:pPr>
            <w:r w:rsidRPr="00BE0D96">
              <w:t>Increased safety, (Ex 'e')</w:t>
            </w:r>
          </w:p>
          <w:p w:rsidR="00000000" w:rsidRPr="00BE0D96" w:rsidP="00BE0D96">
            <w:pPr>
              <w:pStyle w:val="ListBullet"/>
            </w:pPr>
            <w:r w:rsidRPr="00BE0D96">
              <w:t>Intrinsic safety, (Ex 'i')</w:t>
            </w:r>
          </w:p>
          <w:p w:rsidR="00000000" w:rsidRPr="00BE0D96" w:rsidP="00BE0D96">
            <w:pPr>
              <w:pStyle w:val="ListBullet"/>
            </w:pPr>
            <w:r w:rsidRPr="00BE0D96">
              <w:t>Non-sparking, (Ex 'n')</w:t>
            </w:r>
          </w:p>
          <w:p w:rsidR="00000000" w:rsidP="00BE0D96">
            <w:pPr>
              <w:pStyle w:val="ListBullet"/>
              <w:rPr>
                <w:lang w:val="en-NZ"/>
              </w:rPr>
            </w:pPr>
            <w:r w:rsidRPr="00BE0D96">
              <w:t>Pressurisation (Ex 'p')</w:t>
            </w:r>
          </w:p>
        </w:tc>
      </w:tr>
      <w:tr w:rsidTr="005514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Generic terms used throughout this Vocational Standard shall be regarded as part of the Range Statement in which competency is demonstrated. The definition of these and other terms that apply are given in Volume 2, Part 2.1.</w:t>
            </w:r>
          </w:p>
        </w:tc>
      </w:tr>
    </w:tbl>
    <w:p w:rsidR="00551496" w:rsidP="00BE0D96">
      <w:pPr>
        <w:pStyle w:val="BodyText"/>
      </w:pPr>
    </w:p>
    <w:p w:rsidR="00551496" w:rsidP="00BE0D96">
      <w:pPr>
        <w:pStyle w:val="BodyText"/>
      </w:pPr>
    </w:p>
    <w:p w:rsidR="00000000" w:rsidRPr="00BE0D96" w:rsidP="00BE0D96">
      <w:pPr>
        <w:pStyle w:val="Heading1"/>
      </w:pPr>
      <w:bookmarkStart w:id="12" w:name="O_701133"/>
      <w:bookmarkEnd w:id="12"/>
      <w:r w:rsidRPr="00BE0D96">
        <w:t>Unit Sector(s)</w:t>
      </w:r>
    </w:p>
    <w:p w:rsidR="00000000" w:rsidRPr="00BE0D96" w:rsidP="00BE0D96">
      <w:pPr>
        <w:pStyle w:val="BodyText"/>
      </w:pPr>
      <w:r w:rsidRPr="00BE0D96">
        <w:t>Not Applicable</w:t>
      </w:r>
    </w:p>
    <w:p w:rsidR="00000000" w:rsidRPr="00BE0D96" w:rsidP="00BE0D96">
      <w:pPr>
        <w:pStyle w:val="AllowPageBreak"/>
      </w:pPr>
    </w:p>
    <w:p w:rsidR="00000000" w:rsidRPr="00BE0D96" w:rsidP="00BE0D96">
      <w:pPr>
        <w:pStyle w:val="Heading1"/>
      </w:pPr>
      <w:bookmarkStart w:id="13" w:name="O_701132"/>
      <w:bookmarkEnd w:id="13"/>
      <w:r w:rsidRPr="00BE0D96">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55149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2</w:t>
            </w:r>
            <w:r w:rsidRPr="00BE0D96">
              <w:t>.</w:t>
            </w:r>
            <w:r w:rsidRPr="00BE0D96">
              <w:rPr>
                <w:rStyle w:val="SpecialBold"/>
              </w:rPr>
              <w:t>2</w:t>
            </w:r>
            <w:r w:rsidRPr="00BE0D96">
              <w:t xml:space="preserve">) </w:t>
            </w:r>
            <w:r w:rsidRPr="00BE0D96">
              <w:rPr>
                <w:rStyle w:val="SpecialBold"/>
              </w:rPr>
              <w:t>Literacy and numeracy skills</w:t>
            </w:r>
          </w:p>
          <w:p w:rsidR="00000000" w:rsidP="00BE0D96">
            <w:pPr>
              <w:pStyle w:val="BodyText"/>
              <w:rPr>
                <w:lang w:val="en-NZ"/>
              </w:rPr>
            </w:pPr>
            <w:r w:rsidRPr="00BE0D96">
              <w:t>Participants are best equipped to achieve competency in this unit if they have reading, writing and numeracy skills indicated by the following scales. Descrip</w:t>
            </w:r>
            <w:r w:rsidRPr="00BE0D96">
              <w:t>tion of each scale is given in Volume 2, Part 3 'Literacy and Numeracy'</w:t>
            </w:r>
          </w:p>
        </w:tc>
      </w:tr>
      <w:tr w:rsidTr="00551496">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Reading</w:t>
            </w:r>
          </w:p>
        </w:tc>
        <w:tc>
          <w:tcPr>
            <w:tcW w:w="118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3</w:t>
            </w:r>
          </w:p>
        </w:tc>
        <w:tc>
          <w:tcPr>
            <w:tcW w:w="1737"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Writing</w:t>
            </w:r>
          </w:p>
        </w:tc>
        <w:tc>
          <w:tcPr>
            <w:tcW w:w="1180"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3</w:t>
            </w:r>
          </w:p>
        </w:tc>
        <w:tc>
          <w:tcPr>
            <w:tcW w:w="1719"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t>Numeracy</w:t>
            </w:r>
          </w:p>
        </w:tc>
        <w:tc>
          <w:tcPr>
            <w:tcW w:w="1189"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3</w:t>
            </w:r>
          </w:p>
        </w:tc>
      </w:tr>
    </w:tbl>
    <w:p w:rsidR="00551496" w:rsidP="00BE0D96">
      <w:pPr>
        <w:pStyle w:val="BodyText"/>
      </w:pPr>
    </w:p>
    <w:p w:rsidR="00551496" w:rsidP="00BE0D96">
      <w:pPr>
        <w:pStyle w:val="BodyText"/>
      </w:pPr>
    </w:p>
    <w:p w:rsidR="00000000" w:rsidRPr="00BE0D96" w:rsidP="00BE0D96">
      <w:pPr>
        <w:pStyle w:val="Heading1"/>
      </w:pPr>
      <w:bookmarkStart w:id="14" w:name="O_701131"/>
      <w:bookmarkEnd w:id="14"/>
      <w:r w:rsidRPr="00BE0D96">
        <w:t>Custom Content Section</w:t>
      </w:r>
    </w:p>
    <w:tbl>
      <w:tblPr>
        <w:tblW w:w="0" w:type="auto"/>
        <w:tblLayout w:type="fixed"/>
        <w:tblCellMar>
          <w:left w:w="62" w:type="dxa"/>
          <w:right w:w="62" w:type="dxa"/>
        </w:tblCellMar>
        <w:tblLook w:val="0000"/>
      </w:tblPr>
      <w:tblGrid>
        <w:gridCol w:w="2698"/>
        <w:gridCol w:w="5762"/>
      </w:tblGrid>
      <w:tr w:rsidTr="00551496">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BE0D96">
            <w:pPr>
              <w:pStyle w:val="BodyText"/>
              <w:rPr>
                <w:lang w:val="en-NZ"/>
              </w:rPr>
            </w:pPr>
            <w:r w:rsidRPr="00BE0D96">
              <w:rPr>
                <w:rStyle w:val="SpecialBold"/>
              </w:rPr>
              <w:t>5</w:t>
            </w:r>
            <w:r w:rsidRPr="00BE0D96">
              <w:t>)</w:t>
            </w:r>
          </w:p>
        </w:tc>
      </w:tr>
      <w:tr w:rsidTr="0055149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BE0D96" w:rsidP="00BE0D96">
            <w:pPr>
              <w:pStyle w:val="BodyText"/>
            </w:pPr>
            <w:r w:rsidRPr="00BE0D96">
              <w:t>Hazards</w:t>
            </w:r>
          </w:p>
        </w:tc>
      </w:tr>
    </w:tbl>
    <w:p w:rsidR="00551496" w:rsidP="00BE0D96">
      <w:pPr>
        <w:pStyle w:val="BodyText"/>
      </w:pPr>
    </w:p>
    <w:p w:rsidR="00551496" w:rsidP="00BE0D96">
      <w:pPr>
        <w:pStyle w:val="BodyText"/>
      </w:pPr>
    </w:p>
    <w:p w:rsidR="00000000" w:rsidRPr="00BE0D96" w:rsidP="00BE0D96"/>
    <w:sectPr w:rsidSect="00BE0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96" w:rsidRPr="00551496" w:rsidP="00551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96" w:rsidP="00BE0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551496" w:rsidP="00BE0D9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51496" w:rsidP="00BE0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96" w:rsidRPr="00551496" w:rsidP="005514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496" w:rsidRPr="002D2AF8" w:rsidP="00BE0D96">
    <w:pPr>
      <w:pStyle w:val="Header"/>
      <w:framePr w:wrap="around"/>
    </w:pPr>
    <w:r>
      <w:fldChar w:fldCharType="begin"/>
    </w:r>
    <w:r>
      <w:instrText xml:space="preserve"> TITLE   \* MERGEFORMAT </w:instrText>
    </w:r>
    <w:r>
      <w:fldChar w:fldCharType="separate"/>
    </w:r>
    <w:r>
      <w:t>UEENEEM062A Carry out overhaul and repair of explosion-protected equipment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551496" w:rsidP="00BE0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80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CE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660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D96"/>
    <w:pPr>
      <w:spacing w:before="360" w:after="60"/>
      <w:outlineLvl w:val="0"/>
    </w:pPr>
    <w:rPr>
      <w:sz w:val="32"/>
    </w:rPr>
  </w:style>
  <w:style w:type="paragraph" w:styleId="Heading2">
    <w:name w:val="heading 2"/>
    <w:basedOn w:val="HeadingBase"/>
    <w:next w:val="BodyText"/>
    <w:link w:val="Heading2Char"/>
    <w:qFormat/>
    <w:rsid w:val="00BE0D96"/>
    <w:pPr>
      <w:keepLines/>
      <w:spacing w:before="240" w:after="120"/>
      <w:outlineLvl w:val="1"/>
    </w:pPr>
    <w:rPr>
      <w:sz w:val="28"/>
      <w:szCs w:val="40"/>
    </w:rPr>
  </w:style>
  <w:style w:type="paragraph" w:styleId="Heading3">
    <w:name w:val="heading 3"/>
    <w:basedOn w:val="HeadingBase"/>
    <w:next w:val="BodyText"/>
    <w:link w:val="Heading3Char"/>
    <w:qFormat/>
    <w:rsid w:val="00BE0D96"/>
    <w:pPr>
      <w:spacing w:before="180" w:after="120"/>
      <w:outlineLvl w:val="2"/>
    </w:pPr>
    <w:rPr>
      <w:spacing w:val="-10"/>
      <w:kern w:val="32"/>
    </w:rPr>
  </w:style>
  <w:style w:type="paragraph" w:styleId="Heading4">
    <w:name w:val="heading 4"/>
    <w:basedOn w:val="HeadingBase"/>
    <w:next w:val="BodyText"/>
    <w:link w:val="Heading4Char"/>
    <w:qFormat/>
    <w:rsid w:val="00BE0D96"/>
    <w:pPr>
      <w:spacing w:before="160" w:after="120"/>
      <w:outlineLvl w:val="3"/>
    </w:pPr>
    <w:rPr>
      <w:sz w:val="22"/>
    </w:rPr>
  </w:style>
  <w:style w:type="paragraph" w:styleId="Heading5">
    <w:name w:val="heading 5"/>
    <w:basedOn w:val="HeadingBase"/>
    <w:next w:val="Normal"/>
    <w:link w:val="Heading5Char"/>
    <w:qFormat/>
    <w:rsid w:val="00BE0D96"/>
    <w:pPr>
      <w:spacing w:before="80"/>
      <w:outlineLvl w:val="4"/>
    </w:pPr>
    <w:rPr>
      <w:color w:val="918585"/>
      <w:sz w:val="20"/>
    </w:rPr>
  </w:style>
  <w:style w:type="paragraph" w:styleId="Heading6">
    <w:name w:val="heading 6"/>
    <w:basedOn w:val="HeadingBase"/>
    <w:next w:val="Normal"/>
    <w:link w:val="Heading6Char"/>
    <w:qFormat/>
    <w:rsid w:val="00BE0D96"/>
    <w:pPr>
      <w:spacing w:before="60"/>
      <w:outlineLvl w:val="5"/>
    </w:pPr>
    <w:rPr>
      <w:color w:val="918585"/>
      <w:sz w:val="20"/>
    </w:rPr>
  </w:style>
  <w:style w:type="paragraph" w:styleId="Heading7">
    <w:name w:val="heading 7"/>
    <w:basedOn w:val="Normal"/>
    <w:next w:val="Normal"/>
    <w:link w:val="Heading7Char"/>
    <w:qFormat/>
    <w:rsid w:val="00BE0D96"/>
    <w:pPr>
      <w:ind w:left="720"/>
      <w:outlineLvl w:val="6"/>
    </w:pPr>
    <w:rPr>
      <w:i/>
    </w:rPr>
  </w:style>
  <w:style w:type="paragraph" w:styleId="Heading8">
    <w:name w:val="heading 8"/>
    <w:basedOn w:val="Normal"/>
    <w:next w:val="Normal"/>
    <w:link w:val="Heading8Char"/>
    <w:qFormat/>
    <w:rsid w:val="00BE0D96"/>
    <w:pPr>
      <w:ind w:left="720"/>
      <w:outlineLvl w:val="7"/>
    </w:pPr>
    <w:rPr>
      <w:i/>
    </w:rPr>
  </w:style>
  <w:style w:type="paragraph" w:styleId="Heading9">
    <w:name w:val="heading 9"/>
    <w:basedOn w:val="Normal"/>
    <w:next w:val="Normal"/>
    <w:link w:val="Heading9Char"/>
    <w:qFormat/>
    <w:rsid w:val="00BE0D96"/>
    <w:pPr>
      <w:ind w:left="720"/>
      <w:outlineLvl w:val="8"/>
    </w:pPr>
    <w:rPr>
      <w:i/>
    </w:rPr>
  </w:style>
  <w:style w:type="character" w:default="1" w:styleId="DefaultParagraphFont">
    <w:name w:val="Default Paragraph Font"/>
    <w:uiPriority w:val="1"/>
    <w:unhideWhenUsed/>
    <w:rsid w:val="00BE0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D96"/>
  </w:style>
  <w:style w:type="character" w:customStyle="1" w:styleId="Heading1Char">
    <w:name w:val="Heading 1 Char"/>
    <w:basedOn w:val="DefaultParagraphFont"/>
    <w:link w:val="Heading1"/>
    <w:rsid w:val="00BE0D96"/>
    <w:rPr>
      <w:rFonts w:ascii="Times New Roman" w:eastAsia="Times New Roman" w:hAnsi="Times New Roman" w:cs="Times New Roman"/>
      <w:b/>
      <w:sz w:val="32"/>
      <w:szCs w:val="20"/>
      <w:lang w:eastAsia="en-US"/>
    </w:rPr>
  </w:style>
  <w:style w:type="paragraph" w:styleId="BodyText">
    <w:name w:val="Body Text"/>
    <w:basedOn w:val="Normal"/>
    <w:link w:val="BodyTextChar"/>
    <w:rsid w:val="00BE0D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D96"/>
    <w:rPr>
      <w:rFonts w:ascii="Times New Roman" w:eastAsia="Times New Roman" w:hAnsi="Times New Roman" w:cs="Times New Roman"/>
      <w:sz w:val="24"/>
      <w:lang w:eastAsia="en-US"/>
    </w:rPr>
  </w:style>
  <w:style w:type="paragraph" w:styleId="ListBullet">
    <w:name w:val="List Bullet"/>
    <w:basedOn w:val="List"/>
    <w:rsid w:val="00BE0D96"/>
    <w:pPr>
      <w:numPr>
        <w:numId w:val="13"/>
      </w:numPr>
      <w:tabs>
        <w:tab w:val="clear" w:pos="340"/>
      </w:tabs>
      <w:spacing w:before="40" w:after="40"/>
    </w:pPr>
  </w:style>
  <w:style w:type="character" w:customStyle="1" w:styleId="SpecialBold">
    <w:name w:val="Special Bold"/>
    <w:basedOn w:val="DefaultParagraphFont"/>
    <w:rsid w:val="00BE0D96"/>
    <w:rPr>
      <w:b/>
      <w:spacing w:val="0"/>
    </w:rPr>
  </w:style>
  <w:style w:type="paragraph" w:styleId="ListBullet2">
    <w:name w:val="List Bullet 2"/>
    <w:basedOn w:val="List2"/>
    <w:rsid w:val="00BE0D96"/>
    <w:pPr>
      <w:numPr>
        <w:numId w:val="14"/>
      </w:numPr>
      <w:tabs>
        <w:tab w:val="clear" w:pos="680"/>
      </w:tabs>
    </w:pPr>
  </w:style>
  <w:style w:type="character" w:styleId="Emphasis">
    <w:name w:val="Emphasis"/>
    <w:basedOn w:val="DefaultParagraphFont"/>
    <w:qFormat/>
    <w:rsid w:val="00BE0D96"/>
    <w:rPr>
      <w:i/>
    </w:rPr>
  </w:style>
  <w:style w:type="paragraph" w:customStyle="1" w:styleId="SuperHeading">
    <w:name w:val="SuperHeading"/>
    <w:basedOn w:val="Normal"/>
    <w:rsid w:val="00BE0D96"/>
    <w:pPr>
      <w:spacing w:before="240" w:after="120"/>
      <w:outlineLvl w:val="0"/>
    </w:pPr>
    <w:rPr>
      <w:rFonts w:ascii="Times New Roman" w:hAnsi="Times New Roman"/>
      <w:b/>
      <w:sz w:val="32"/>
    </w:rPr>
  </w:style>
  <w:style w:type="paragraph" w:customStyle="1" w:styleId="AllowPageBreak">
    <w:name w:val="AllowPageBreak"/>
    <w:rsid w:val="00BE0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D96"/>
    <w:rPr>
      <w:rFonts w:ascii="Courier New" w:eastAsia="Times New Roman" w:hAnsi="Courier New" w:cs="Times New Roman"/>
      <w:i/>
      <w:szCs w:val="20"/>
      <w:lang w:eastAsia="en-US"/>
    </w:rPr>
  </w:style>
  <w:style w:type="paragraph" w:customStyle="1" w:styleId="HeadingBase">
    <w:name w:val="Heading Base"/>
    <w:rsid w:val="00BE0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D96"/>
    <w:pPr>
      <w:tabs>
        <w:tab w:val="right" w:leader="dot" w:pos="9072"/>
      </w:tabs>
      <w:ind w:left="567"/>
    </w:pPr>
    <w:rPr>
      <w:szCs w:val="22"/>
    </w:rPr>
  </w:style>
  <w:style w:type="paragraph" w:customStyle="1" w:styleId="TOCBase">
    <w:name w:val="TOC Base"/>
    <w:rsid w:val="00BE0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D96"/>
    <w:pPr>
      <w:tabs>
        <w:tab w:val="right" w:leader="dot" w:pos="9072"/>
      </w:tabs>
      <w:spacing w:before="40" w:after="40"/>
      <w:ind w:left="284"/>
    </w:pPr>
    <w:rPr>
      <w:rFonts w:ascii="Times New Roman" w:hAnsi="Times New Roman"/>
    </w:rPr>
  </w:style>
  <w:style w:type="paragraph" w:styleId="TOC1">
    <w:name w:val="toc 1"/>
    <w:basedOn w:val="TOCBase"/>
    <w:next w:val="Normal"/>
    <w:rsid w:val="00BE0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D96"/>
    <w:rPr>
      <w:rFonts w:ascii="Times New Roman" w:eastAsia="Times New Roman" w:hAnsi="Times New Roman" w:cs="Times New Roman"/>
      <w:sz w:val="16"/>
      <w:lang w:eastAsia="en-US"/>
    </w:rPr>
  </w:style>
  <w:style w:type="paragraph" w:styleId="Title">
    <w:name w:val="Title"/>
    <w:basedOn w:val="HeadingBase"/>
    <w:link w:val="TitleChar"/>
    <w:qFormat/>
    <w:rsid w:val="00BE0D96"/>
    <w:pPr>
      <w:spacing w:before="5040"/>
      <w:jc w:val="center"/>
    </w:pPr>
    <w:rPr>
      <w:sz w:val="48"/>
      <w:szCs w:val="72"/>
      <w:lang w:val="en-US"/>
    </w:rPr>
  </w:style>
  <w:style w:type="character" w:customStyle="1" w:styleId="TitleChar">
    <w:name w:val="Title Char"/>
    <w:basedOn w:val="DefaultParagraphFont"/>
    <w:link w:val="Title"/>
    <w:rsid w:val="00BE0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D96"/>
    <w:pPr>
      <w:tabs>
        <w:tab w:val="left" w:pos="3600"/>
        <w:tab w:val="left" w:pos="3958"/>
      </w:tabs>
    </w:pPr>
  </w:style>
  <w:style w:type="paragraph" w:styleId="List">
    <w:name w:val="List"/>
    <w:basedOn w:val="BodyText"/>
    <w:next w:val="BodyText"/>
    <w:rsid w:val="00BE0D96"/>
    <w:pPr>
      <w:tabs>
        <w:tab w:val="left" w:pos="340"/>
      </w:tabs>
      <w:spacing w:before="60" w:after="60"/>
      <w:ind w:left="340" w:hanging="340"/>
    </w:pPr>
  </w:style>
  <w:style w:type="paragraph" w:customStyle="1" w:styleId="Note">
    <w:name w:val="Note"/>
    <w:basedOn w:val="BodyText"/>
    <w:rsid w:val="00BE0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D96"/>
    <w:pPr>
      <w:framePr w:wrap="auto" w:hAnchor="text" w:y="6049"/>
    </w:pPr>
    <w:rPr>
      <w:color w:val="000000"/>
      <w:sz w:val="40"/>
    </w:rPr>
  </w:style>
  <w:style w:type="paragraph" w:customStyle="1" w:styleId="TOCTitle">
    <w:name w:val="TOCTitle"/>
    <w:basedOn w:val="Heading1"/>
    <w:rsid w:val="00BE0D96"/>
    <w:pPr>
      <w:spacing w:after="240"/>
      <w:jc w:val="center"/>
      <w:outlineLvl w:val="9"/>
    </w:pPr>
    <w:rPr>
      <w:caps/>
    </w:rPr>
  </w:style>
  <w:style w:type="paragraph" w:customStyle="1" w:styleId="Version">
    <w:name w:val="Version"/>
    <w:rsid w:val="00BE0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D96"/>
    <w:pPr>
      <w:keepNext w:val="0"/>
      <w:tabs>
        <w:tab w:val="right" w:pos="4176"/>
      </w:tabs>
      <w:ind w:left="198" w:hanging="198"/>
    </w:pPr>
    <w:rPr>
      <w:rFonts w:ascii="Garamond" w:hAnsi="Garamond"/>
    </w:rPr>
  </w:style>
  <w:style w:type="paragraph" w:styleId="IndexHeading">
    <w:name w:val="index heading"/>
    <w:basedOn w:val="Normal"/>
    <w:next w:val="Index1"/>
    <w:semiHidden/>
    <w:rsid w:val="00BE0D96"/>
    <w:pPr>
      <w:spacing w:before="120" w:after="120"/>
    </w:pPr>
    <w:rPr>
      <w:rFonts w:ascii="Arial" w:hAnsi="Arial"/>
      <w:b/>
      <w:color w:val="918585"/>
      <w:sz w:val="24"/>
    </w:rPr>
  </w:style>
  <w:style w:type="paragraph" w:styleId="Header">
    <w:name w:val="header"/>
    <w:basedOn w:val="Normal"/>
    <w:link w:val="HeaderChar"/>
    <w:rsid w:val="00BE0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D96"/>
    <w:rPr>
      <w:rFonts w:ascii="Times New Roman" w:eastAsia="Times New Roman" w:hAnsi="Times New Roman" w:cs="Times New Roman"/>
      <w:sz w:val="16"/>
      <w:szCs w:val="20"/>
      <w:lang w:val="en-GB" w:eastAsia="en-US"/>
    </w:rPr>
  </w:style>
  <w:style w:type="paragraph" w:customStyle="1" w:styleId="Chapter">
    <w:name w:val="Chapter"/>
    <w:basedOn w:val="Normal"/>
    <w:rsid w:val="00BE0D96"/>
    <w:pPr>
      <w:spacing w:before="240"/>
    </w:pPr>
    <w:rPr>
      <w:rFonts w:ascii="Times New Roman" w:hAnsi="Times New Roman"/>
      <w:smallCaps/>
      <w:spacing w:val="80"/>
      <w:sz w:val="28"/>
    </w:rPr>
  </w:style>
  <w:style w:type="paragraph" w:customStyle="1" w:styleId="InChapter">
    <w:name w:val="InChapter"/>
    <w:basedOn w:val="Heading3"/>
    <w:rsid w:val="00BE0D96"/>
    <w:pPr>
      <w:spacing w:after="240"/>
      <w:outlineLvl w:val="9"/>
    </w:pPr>
    <w:rPr>
      <w:noProof/>
    </w:rPr>
  </w:style>
  <w:style w:type="paragraph" w:styleId="Index2">
    <w:name w:val="index 2"/>
    <w:basedOn w:val="Normal"/>
    <w:next w:val="Normal"/>
    <w:semiHidden/>
    <w:rsid w:val="00BE0D96"/>
    <w:pPr>
      <w:tabs>
        <w:tab w:val="right" w:pos="4176"/>
      </w:tabs>
      <w:ind w:left="568" w:hanging="284"/>
    </w:pPr>
    <w:rPr>
      <w:rFonts w:ascii="Garamond" w:hAnsi="Garamond"/>
    </w:rPr>
  </w:style>
  <w:style w:type="paragraph" w:customStyle="1" w:styleId="Byline">
    <w:name w:val="Byline"/>
    <w:rsid w:val="00BE0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D96"/>
    <w:pPr>
      <w:tabs>
        <w:tab w:val="clear" w:pos="3600"/>
        <w:tab w:val="clear" w:pos="3958"/>
      </w:tabs>
      <w:jc w:val="right"/>
    </w:pPr>
  </w:style>
  <w:style w:type="paragraph" w:styleId="Caption">
    <w:name w:val="caption"/>
    <w:basedOn w:val="BodyText"/>
    <w:next w:val="Normal"/>
    <w:qFormat/>
    <w:rsid w:val="00BE0D96"/>
    <w:pPr>
      <w:framePr w:w="2268" w:hSpace="181" w:vSpace="181" w:wrap="around" w:vAnchor="text" w:hAnchor="page" w:x="1135" w:y="285" w:anchorLock="1"/>
    </w:pPr>
    <w:rPr>
      <w:i/>
    </w:rPr>
  </w:style>
  <w:style w:type="paragraph" w:customStyle="1" w:styleId="MiniTOCTitle">
    <w:name w:val="MiniTOCTitle"/>
    <w:basedOn w:val="Heading4"/>
    <w:rsid w:val="00BE0D96"/>
    <w:pPr>
      <w:spacing w:before="240"/>
      <w:outlineLvl w:val="9"/>
    </w:pPr>
    <w:rPr>
      <w:noProof/>
      <w:sz w:val="24"/>
    </w:rPr>
  </w:style>
  <w:style w:type="paragraph" w:customStyle="1" w:styleId="MiniTOCItem">
    <w:name w:val="MiniTOCItem"/>
    <w:basedOn w:val="ListBullet"/>
    <w:rsid w:val="00BE0D96"/>
    <w:pPr>
      <w:numPr>
        <w:numId w:val="0"/>
      </w:numPr>
      <w:tabs>
        <w:tab w:val="right" w:leader="dot" w:pos="6521"/>
      </w:tabs>
      <w:spacing w:before="0" w:after="0"/>
    </w:pPr>
  </w:style>
  <w:style w:type="paragraph" w:customStyle="1" w:styleId="TOFTitle">
    <w:name w:val="TOFTitle"/>
    <w:basedOn w:val="TOCTitle"/>
    <w:rsid w:val="00BE0D96"/>
  </w:style>
  <w:style w:type="paragraph" w:styleId="TableofFigures">
    <w:name w:val="table of figures"/>
    <w:basedOn w:val="Normal"/>
    <w:next w:val="Normal"/>
    <w:semiHidden/>
    <w:rsid w:val="00BE0D96"/>
    <w:pPr>
      <w:tabs>
        <w:tab w:val="right" w:leader="dot" w:pos="9072"/>
      </w:tabs>
      <w:ind w:left="970" w:hanging="403"/>
    </w:pPr>
    <w:rPr>
      <w:rFonts w:ascii="Times New Roman" w:hAnsi="Times New Roman"/>
      <w:b/>
    </w:rPr>
  </w:style>
  <w:style w:type="paragraph" w:styleId="ListNumber">
    <w:name w:val="List Number"/>
    <w:basedOn w:val="List"/>
    <w:rsid w:val="00BE0D96"/>
    <w:pPr>
      <w:numPr>
        <w:numId w:val="11"/>
      </w:numPr>
    </w:pPr>
  </w:style>
  <w:style w:type="character" w:customStyle="1" w:styleId="WingdingSymbols">
    <w:name w:val="Wingding Symbols"/>
    <w:rsid w:val="00BE0D96"/>
    <w:rPr>
      <w:rFonts w:ascii="Wingdings" w:hAnsi="Wingdings"/>
    </w:rPr>
  </w:style>
  <w:style w:type="paragraph" w:customStyle="1" w:styleId="TableHeading">
    <w:name w:val="Table Heading"/>
    <w:basedOn w:val="HeadingBase"/>
    <w:rsid w:val="00BE0D96"/>
    <w:pPr>
      <w:keepLines/>
      <w:pBdr>
        <w:bottom w:val="single" w:sz="6" w:space="1" w:color="918585"/>
      </w:pBdr>
      <w:spacing w:before="240"/>
    </w:pPr>
  </w:style>
  <w:style w:type="character" w:customStyle="1" w:styleId="HotSpot">
    <w:name w:val="HotSpot"/>
    <w:rsid w:val="00BE0D96"/>
    <w:rPr>
      <w:color w:val="0033CC"/>
      <w:u w:val="none"/>
    </w:rPr>
  </w:style>
  <w:style w:type="paragraph" w:customStyle="1" w:styleId="BodyTextRight">
    <w:name w:val="Body Text Right"/>
    <w:basedOn w:val="BodyText"/>
    <w:rsid w:val="00BE0D96"/>
    <w:pPr>
      <w:spacing w:before="0" w:after="0"/>
      <w:jc w:val="right"/>
    </w:pPr>
  </w:style>
  <w:style w:type="paragraph" w:styleId="Index3">
    <w:name w:val="index 3"/>
    <w:basedOn w:val="ListNumber2"/>
    <w:next w:val="Normal"/>
    <w:semiHidden/>
    <w:rsid w:val="00BE0D96"/>
    <w:pPr>
      <w:numPr>
        <w:numId w:val="0"/>
      </w:numPr>
      <w:tabs>
        <w:tab w:val="right" w:leader="dot" w:pos="4176"/>
      </w:tabs>
    </w:pPr>
  </w:style>
  <w:style w:type="paragraph" w:styleId="ListNumber2">
    <w:name w:val="List Number 2"/>
    <w:basedOn w:val="List2"/>
    <w:rsid w:val="00BE0D96"/>
    <w:pPr>
      <w:numPr>
        <w:numId w:val="10"/>
      </w:numPr>
      <w:tabs>
        <w:tab w:val="clear" w:pos="1060"/>
      </w:tabs>
    </w:pPr>
  </w:style>
  <w:style w:type="paragraph" w:customStyle="1" w:styleId="MarginNote">
    <w:name w:val="Margin Note"/>
    <w:basedOn w:val="BodyText"/>
    <w:rsid w:val="00BE0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D96"/>
    <w:rPr>
      <w:sz w:val="32"/>
    </w:rPr>
  </w:style>
  <w:style w:type="paragraph" w:customStyle="1" w:styleId="HeadingProcedure">
    <w:name w:val="Heading Procedure"/>
    <w:basedOn w:val="HeadingBase"/>
    <w:next w:val="Normal"/>
    <w:rsid w:val="00BE0D96"/>
    <w:pPr>
      <w:tabs>
        <w:tab w:val="left" w:pos="0"/>
      </w:tabs>
      <w:spacing w:before="120" w:after="60"/>
    </w:pPr>
    <w:rPr>
      <w:i/>
      <w:color w:val="918585"/>
      <w:sz w:val="22"/>
    </w:rPr>
  </w:style>
  <w:style w:type="paragraph" w:customStyle="1" w:styleId="TableBodyText">
    <w:name w:val="Table Body Text"/>
    <w:basedOn w:val="BodyText"/>
    <w:rsid w:val="00BE0D96"/>
    <w:pPr>
      <w:spacing w:before="60" w:after="60"/>
    </w:pPr>
  </w:style>
  <w:style w:type="paragraph" w:styleId="ListContinue">
    <w:name w:val="List Continue"/>
    <w:basedOn w:val="List"/>
    <w:rsid w:val="00BE0D96"/>
    <w:pPr>
      <w:ind w:firstLine="0"/>
    </w:pPr>
  </w:style>
  <w:style w:type="paragraph" w:customStyle="1" w:styleId="ListNote">
    <w:name w:val="List Note"/>
    <w:basedOn w:val="List"/>
    <w:rsid w:val="00BE0D96"/>
    <w:pPr>
      <w:pBdr>
        <w:top w:val="single" w:sz="6" w:space="2" w:color="918585"/>
        <w:bottom w:val="single" w:sz="6" w:space="2" w:color="918585"/>
      </w:pBdr>
      <w:tabs>
        <w:tab w:val="left" w:pos="1021"/>
      </w:tabs>
      <w:ind w:firstLine="0"/>
    </w:pPr>
  </w:style>
  <w:style w:type="paragraph" w:customStyle="1" w:styleId="Warning">
    <w:name w:val="Warning"/>
    <w:basedOn w:val="BodyText"/>
    <w:rsid w:val="00BE0D96"/>
    <w:pPr>
      <w:shd w:val="clear" w:color="auto" w:fill="D9D9D9"/>
      <w:tabs>
        <w:tab w:val="left" w:pos="992"/>
      </w:tabs>
      <w:ind w:left="119" w:right="119"/>
    </w:pPr>
    <w:rPr>
      <w:sz w:val="20"/>
    </w:rPr>
  </w:style>
  <w:style w:type="paragraph" w:customStyle="1" w:styleId="MarginIcons">
    <w:name w:val="Margin Icons"/>
    <w:basedOn w:val="BodyText"/>
    <w:rsid w:val="00BE0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D96"/>
    <w:rPr>
      <w:rFonts w:ascii="Courier New" w:hAnsi="Courier New"/>
    </w:rPr>
  </w:style>
  <w:style w:type="paragraph" w:customStyle="1" w:styleId="NoteBullet">
    <w:name w:val="Note Bullet"/>
    <w:basedOn w:val="Note"/>
    <w:rsid w:val="00BE0D96"/>
    <w:pPr>
      <w:tabs>
        <w:tab w:val="clear" w:pos="680"/>
      </w:tabs>
      <w:spacing w:before="60" w:after="60"/>
    </w:pPr>
  </w:style>
  <w:style w:type="paragraph" w:customStyle="1" w:styleId="SubHeading2">
    <w:name w:val="SubHeading2"/>
    <w:basedOn w:val="HeadingBase"/>
    <w:rsid w:val="00BE0D96"/>
    <w:pPr>
      <w:spacing w:before="240" w:after="60"/>
    </w:pPr>
    <w:rPr>
      <w:sz w:val="20"/>
    </w:rPr>
  </w:style>
  <w:style w:type="paragraph" w:customStyle="1" w:styleId="SubHeading1">
    <w:name w:val="SubHeading1"/>
    <w:basedOn w:val="HeadingBase"/>
    <w:rsid w:val="00BE0D96"/>
    <w:pPr>
      <w:spacing w:before="240" w:after="60"/>
    </w:pPr>
    <w:rPr>
      <w:color w:val="918585"/>
      <w:sz w:val="22"/>
    </w:rPr>
  </w:style>
  <w:style w:type="paragraph" w:customStyle="1" w:styleId="SideHeading">
    <w:name w:val="Side Heading"/>
    <w:basedOn w:val="HeadingBase"/>
    <w:rsid w:val="00BE0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D96"/>
    <w:pPr>
      <w:numPr>
        <w:numId w:val="12"/>
      </w:numPr>
    </w:pPr>
  </w:style>
  <w:style w:type="paragraph" w:styleId="PlainText">
    <w:name w:val="Plain Text"/>
    <w:basedOn w:val="Normal"/>
    <w:link w:val="PlainTextChar"/>
    <w:rsid w:val="00BE0D96"/>
    <w:rPr>
      <w:sz w:val="20"/>
    </w:rPr>
  </w:style>
  <w:style w:type="character" w:customStyle="1" w:styleId="PlainTextChar">
    <w:name w:val="Plain Text Char"/>
    <w:basedOn w:val="DefaultParagraphFont"/>
    <w:link w:val="PlainText"/>
    <w:rsid w:val="00BE0D96"/>
    <w:rPr>
      <w:rFonts w:ascii="Courier New" w:eastAsia="Times New Roman" w:hAnsi="Courier New" w:cs="Times New Roman"/>
      <w:sz w:val="20"/>
      <w:szCs w:val="20"/>
      <w:lang w:eastAsia="en-US"/>
    </w:rPr>
  </w:style>
  <w:style w:type="character" w:customStyle="1" w:styleId="MenuOption">
    <w:name w:val="Menu Option"/>
    <w:basedOn w:val="DefaultParagraphFont"/>
    <w:rsid w:val="00BE0D96"/>
    <w:rPr>
      <w:b/>
      <w:smallCaps/>
    </w:rPr>
  </w:style>
  <w:style w:type="paragraph" w:customStyle="1" w:styleId="TableListNumber">
    <w:name w:val="Table List Number"/>
    <w:basedOn w:val="ListNumber"/>
    <w:rsid w:val="00BE0D96"/>
    <w:pPr>
      <w:numPr>
        <w:numId w:val="0"/>
      </w:numPr>
    </w:pPr>
  </w:style>
  <w:style w:type="paragraph" w:styleId="TOC4">
    <w:name w:val="toc 4"/>
    <w:basedOn w:val="TOCBase"/>
    <w:next w:val="Normal"/>
    <w:semiHidden/>
    <w:rsid w:val="00BE0D96"/>
    <w:pPr>
      <w:tabs>
        <w:tab w:val="right" w:leader="dot" w:pos="9071"/>
      </w:tabs>
      <w:ind w:left="1701"/>
    </w:pPr>
  </w:style>
  <w:style w:type="paragraph" w:customStyle="1" w:styleId="ListAlpha">
    <w:name w:val="List Alpha"/>
    <w:basedOn w:val="List"/>
    <w:rsid w:val="00BE0D96"/>
    <w:pPr>
      <w:numPr>
        <w:numId w:val="9"/>
      </w:numPr>
    </w:pPr>
  </w:style>
  <w:style w:type="paragraph" w:customStyle="1" w:styleId="ListAlpha2">
    <w:name w:val="List Alpha 2"/>
    <w:basedOn w:val="List2"/>
    <w:rsid w:val="00BE0D96"/>
    <w:pPr>
      <w:numPr>
        <w:numId w:val="8"/>
      </w:numPr>
    </w:pPr>
  </w:style>
  <w:style w:type="paragraph" w:styleId="List2">
    <w:name w:val="List 2"/>
    <w:basedOn w:val="BodyText"/>
    <w:rsid w:val="00BE0D96"/>
    <w:pPr>
      <w:tabs>
        <w:tab w:val="left" w:pos="680"/>
      </w:tabs>
      <w:spacing w:before="60" w:after="60"/>
      <w:ind w:left="680" w:hanging="340"/>
    </w:pPr>
  </w:style>
  <w:style w:type="paragraph" w:styleId="List3">
    <w:name w:val="List 3"/>
    <w:basedOn w:val="BodyText"/>
    <w:rsid w:val="00BE0D96"/>
    <w:pPr>
      <w:tabs>
        <w:tab w:val="left" w:pos="1021"/>
      </w:tabs>
      <w:spacing w:before="60" w:after="60"/>
      <w:ind w:left="1020" w:hanging="340"/>
    </w:pPr>
  </w:style>
  <w:style w:type="paragraph" w:styleId="List4">
    <w:name w:val="List 4"/>
    <w:basedOn w:val="BodyText"/>
    <w:rsid w:val="00BE0D96"/>
    <w:pPr>
      <w:tabs>
        <w:tab w:val="left" w:pos="1361"/>
      </w:tabs>
      <w:spacing w:before="60" w:after="60"/>
      <w:ind w:left="1361" w:hanging="340"/>
    </w:pPr>
  </w:style>
  <w:style w:type="paragraph" w:styleId="List5">
    <w:name w:val="List 5"/>
    <w:basedOn w:val="BodyText"/>
    <w:rsid w:val="00BE0D96"/>
    <w:pPr>
      <w:tabs>
        <w:tab w:val="left" w:pos="1701"/>
      </w:tabs>
      <w:spacing w:before="60" w:after="60"/>
      <w:ind w:left="1701" w:hanging="340"/>
    </w:pPr>
  </w:style>
  <w:style w:type="paragraph" w:styleId="ListBullet3">
    <w:name w:val="List Bullet 3"/>
    <w:basedOn w:val="List3"/>
    <w:rsid w:val="00BE0D96"/>
    <w:pPr>
      <w:numPr>
        <w:numId w:val="15"/>
      </w:numPr>
      <w:tabs>
        <w:tab w:val="clear" w:pos="1021"/>
      </w:tabs>
      <w:ind w:left="1037" w:hanging="357"/>
    </w:pPr>
  </w:style>
  <w:style w:type="paragraph" w:styleId="ListBullet4">
    <w:name w:val="List Bullet 4"/>
    <w:basedOn w:val="List4"/>
    <w:rsid w:val="00BE0D96"/>
    <w:pPr>
      <w:numPr>
        <w:numId w:val="3"/>
      </w:numPr>
      <w:tabs>
        <w:tab w:val="clear" w:pos="1361"/>
      </w:tabs>
    </w:pPr>
  </w:style>
  <w:style w:type="paragraph" w:styleId="ListBullet5">
    <w:name w:val="List Bullet 5"/>
    <w:basedOn w:val="List5"/>
    <w:rsid w:val="00BE0D96"/>
    <w:pPr>
      <w:numPr>
        <w:numId w:val="4"/>
      </w:numPr>
    </w:pPr>
  </w:style>
  <w:style w:type="paragraph" w:styleId="ListContinue2">
    <w:name w:val="List Continue 2"/>
    <w:basedOn w:val="List2"/>
    <w:rsid w:val="00BE0D96"/>
    <w:pPr>
      <w:ind w:firstLine="0"/>
    </w:pPr>
  </w:style>
  <w:style w:type="paragraph" w:styleId="ListContinue3">
    <w:name w:val="List Continue 3"/>
    <w:basedOn w:val="List3"/>
    <w:rsid w:val="00BE0D96"/>
    <w:pPr>
      <w:ind w:left="1021" w:firstLine="0"/>
    </w:pPr>
  </w:style>
  <w:style w:type="paragraph" w:styleId="ListContinue4">
    <w:name w:val="List Continue 4"/>
    <w:basedOn w:val="List4"/>
    <w:rsid w:val="00BE0D96"/>
    <w:pPr>
      <w:ind w:firstLine="0"/>
    </w:pPr>
  </w:style>
  <w:style w:type="paragraph" w:styleId="ListContinue5">
    <w:name w:val="List Continue 5"/>
    <w:basedOn w:val="List5"/>
    <w:rsid w:val="00BE0D96"/>
    <w:pPr>
      <w:ind w:firstLine="0"/>
    </w:pPr>
  </w:style>
  <w:style w:type="paragraph" w:styleId="ListNumber3">
    <w:name w:val="List Number 3"/>
    <w:basedOn w:val="List3"/>
    <w:rsid w:val="00BE0D96"/>
    <w:pPr>
      <w:numPr>
        <w:numId w:val="5"/>
      </w:numPr>
    </w:pPr>
  </w:style>
  <w:style w:type="paragraph" w:styleId="ListNumber4">
    <w:name w:val="List Number 4"/>
    <w:basedOn w:val="List4"/>
    <w:rsid w:val="00BE0D96"/>
    <w:pPr>
      <w:numPr>
        <w:numId w:val="6"/>
      </w:numPr>
    </w:pPr>
  </w:style>
  <w:style w:type="paragraph" w:styleId="ListNumber5">
    <w:name w:val="List Number 5"/>
    <w:basedOn w:val="List5"/>
    <w:rsid w:val="00BE0D96"/>
    <w:pPr>
      <w:numPr>
        <w:numId w:val="7"/>
      </w:numPr>
    </w:pPr>
  </w:style>
  <w:style w:type="paragraph" w:styleId="BlockText">
    <w:name w:val="Block Text"/>
    <w:basedOn w:val="Normal"/>
    <w:rsid w:val="00BE0D96"/>
    <w:pPr>
      <w:spacing w:after="120"/>
      <w:ind w:left="1440" w:right="1440"/>
    </w:pPr>
  </w:style>
  <w:style w:type="character" w:customStyle="1" w:styleId="Subscript">
    <w:name w:val="Subscript"/>
    <w:basedOn w:val="DefaultParagraphFont"/>
    <w:rsid w:val="00BE0D96"/>
    <w:rPr>
      <w:sz w:val="16"/>
      <w:vertAlign w:val="subscript"/>
    </w:rPr>
  </w:style>
  <w:style w:type="character" w:customStyle="1" w:styleId="Superscript">
    <w:name w:val="Superscript"/>
    <w:basedOn w:val="DefaultParagraphFont"/>
    <w:rsid w:val="00BE0D96"/>
    <w:rPr>
      <w:sz w:val="16"/>
      <w:vertAlign w:val="superscript"/>
    </w:rPr>
  </w:style>
  <w:style w:type="character" w:customStyle="1" w:styleId="Symbols">
    <w:name w:val="Symbols"/>
    <w:basedOn w:val="DefaultParagraphFont"/>
    <w:rsid w:val="00BE0D96"/>
    <w:rPr>
      <w:rFonts w:ascii="Symbol" w:hAnsi="Symbol"/>
    </w:rPr>
  </w:style>
  <w:style w:type="character" w:customStyle="1" w:styleId="MenuOptions">
    <w:name w:val="Menu Options"/>
    <w:basedOn w:val="DefaultParagraphFont"/>
    <w:rsid w:val="00BE0D96"/>
    <w:rPr>
      <w:rFonts w:ascii="Arial Narrow" w:hAnsi="Arial Narrow"/>
      <w:smallCaps/>
    </w:rPr>
  </w:style>
  <w:style w:type="character" w:customStyle="1" w:styleId="Buttons">
    <w:name w:val="Buttons"/>
    <w:basedOn w:val="DefaultParagraphFont"/>
    <w:rsid w:val="00BE0D96"/>
    <w:rPr>
      <w:b/>
    </w:rPr>
  </w:style>
  <w:style w:type="character" w:customStyle="1" w:styleId="Underlined">
    <w:name w:val="Underlined"/>
    <w:basedOn w:val="DefaultParagraphFont"/>
    <w:rsid w:val="00BE0D96"/>
    <w:rPr>
      <w:u w:val="single"/>
    </w:rPr>
  </w:style>
  <w:style w:type="paragraph" w:customStyle="1" w:styleId="TableBodyTextRight">
    <w:name w:val="Table Body Text Right"/>
    <w:basedOn w:val="TableBodyText"/>
    <w:rsid w:val="00BE0D96"/>
    <w:pPr>
      <w:widowControl w:val="0"/>
      <w:autoSpaceDE w:val="0"/>
      <w:autoSpaceDN w:val="0"/>
      <w:adjustRightInd w:val="0"/>
      <w:jc w:val="right"/>
    </w:pPr>
    <w:rPr>
      <w:rFonts w:cs="Arial"/>
      <w:szCs w:val="18"/>
    </w:rPr>
  </w:style>
  <w:style w:type="paragraph" w:customStyle="1" w:styleId="CopyrightText">
    <w:name w:val="Copyright Text"/>
    <w:basedOn w:val="BodyText"/>
    <w:rsid w:val="00BE0D96"/>
    <w:rPr>
      <w:sz w:val="18"/>
    </w:rPr>
  </w:style>
  <w:style w:type="paragraph" w:customStyle="1" w:styleId="BodySmallRight">
    <w:name w:val="Body Small Right"/>
    <w:basedOn w:val="BodyTextRight"/>
    <w:rsid w:val="00BE0D96"/>
    <w:rPr>
      <w:sz w:val="18"/>
      <w:szCs w:val="18"/>
    </w:rPr>
  </w:style>
  <w:style w:type="paragraph" w:customStyle="1" w:styleId="MarginEdition">
    <w:name w:val="Margin Edition"/>
    <w:basedOn w:val="MarginNote"/>
    <w:rsid w:val="00BE0D96"/>
    <w:pPr>
      <w:spacing w:before="0" w:after="0"/>
    </w:pPr>
    <w:rPr>
      <w:rFonts w:ascii="Times New Roman" w:hAnsi="Times New Roman"/>
      <w:color w:val="999999"/>
    </w:rPr>
  </w:style>
  <w:style w:type="paragraph" w:customStyle="1" w:styleId="Spacer">
    <w:name w:val="Spacer"/>
    <w:basedOn w:val="Normal"/>
    <w:rsid w:val="00BE0D96"/>
    <w:rPr>
      <w:sz w:val="2"/>
      <w:szCs w:val="2"/>
    </w:rPr>
  </w:style>
  <w:style w:type="character" w:customStyle="1" w:styleId="Small">
    <w:name w:val="Small"/>
    <w:basedOn w:val="DefaultParagraphFont"/>
    <w:rsid w:val="00BE0D96"/>
    <w:rPr>
      <w:sz w:val="16"/>
    </w:rPr>
  </w:style>
  <w:style w:type="paragraph" w:customStyle="1" w:styleId="WideTable">
    <w:name w:val="Wide Table"/>
    <w:basedOn w:val="Normal"/>
    <w:rsid w:val="00BE0D96"/>
    <w:pPr>
      <w:ind w:left="-1418"/>
    </w:pPr>
    <w:rPr>
      <w:sz w:val="2"/>
      <w:szCs w:val="2"/>
    </w:rPr>
  </w:style>
  <w:style w:type="character" w:styleId="PageNumber">
    <w:name w:val="page number"/>
    <w:basedOn w:val="DefaultParagraphFont"/>
    <w:rsid w:val="00BE0D96"/>
  </w:style>
  <w:style w:type="paragraph" w:styleId="Quote">
    <w:name w:val="Quote"/>
    <w:basedOn w:val="Heading1"/>
    <w:link w:val="QuoteChar"/>
    <w:qFormat/>
    <w:rsid w:val="00BE0D96"/>
    <w:rPr>
      <w:b w:val="0"/>
      <w:sz w:val="72"/>
      <w:szCs w:val="72"/>
      <w:lang w:val="en-NZ"/>
    </w:rPr>
  </w:style>
  <w:style w:type="character" w:customStyle="1" w:styleId="QuoteChar">
    <w:name w:val="Quote Char"/>
    <w:basedOn w:val="DefaultParagraphFont"/>
    <w:link w:val="Quote"/>
    <w:rsid w:val="00BE0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D96"/>
    <w:pPr>
      <w:pageBreakBefore/>
    </w:pPr>
  </w:style>
  <w:style w:type="paragraph" w:customStyle="1" w:styleId="Border">
    <w:name w:val="Border"/>
    <w:basedOn w:val="Normal"/>
    <w:qFormat/>
    <w:rsid w:val="00BE0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D96"/>
    <w:rPr>
      <w:b/>
      <w:bCs/>
      <w:i/>
      <w:iCs/>
      <w:color w:val="auto"/>
    </w:rPr>
  </w:style>
  <w:style w:type="paragraph" w:styleId="IntenseQuote">
    <w:name w:val="Intense Quote"/>
    <w:basedOn w:val="Normal"/>
    <w:next w:val="Normal"/>
    <w:link w:val="IntenseQuoteChar"/>
    <w:uiPriority w:val="30"/>
    <w:qFormat/>
    <w:rsid w:val="00BE0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D96"/>
    <w:rPr>
      <w:smallCaps/>
      <w:color w:val="auto"/>
      <w:u w:val="single"/>
    </w:rPr>
  </w:style>
  <w:style w:type="character" w:styleId="IntenseReference">
    <w:name w:val="Intense Reference"/>
    <w:basedOn w:val="DefaultParagraphFont"/>
    <w:uiPriority w:val="32"/>
    <w:qFormat/>
    <w:rsid w:val="00BE0D96"/>
    <w:rPr>
      <w:b/>
      <w:bCs/>
      <w:smallCaps/>
      <w:color w:val="auto"/>
      <w:spacing w:val="5"/>
      <w:u w:val="single"/>
    </w:rPr>
  </w:style>
  <w:style w:type="paragraph" w:customStyle="1" w:styleId="2ColumnHeading">
    <w:name w:val="2Column Heading"/>
    <w:basedOn w:val="BodyText"/>
    <w:qFormat/>
    <w:rsid w:val="00BE0D96"/>
    <w:pPr>
      <w:spacing w:after="60"/>
      <w:ind w:left="-2268"/>
    </w:pPr>
    <w:rPr>
      <w:b/>
    </w:rPr>
  </w:style>
  <w:style w:type="paragraph" w:customStyle="1" w:styleId="Heading1TOC">
    <w:name w:val="Heading1 TOC"/>
    <w:basedOn w:val="Normal"/>
    <w:qFormat/>
    <w:rsid w:val="00BE0D96"/>
    <w:pPr>
      <w:spacing w:before="240" w:after="120"/>
    </w:pPr>
    <w:rPr>
      <w:rFonts w:ascii="Times New Roman" w:hAnsi="Times New Roman"/>
      <w:b/>
      <w:sz w:val="32"/>
    </w:rPr>
  </w:style>
  <w:style w:type="paragraph" w:customStyle="1" w:styleId="Heading2TOC">
    <w:name w:val="Heading2 TOC"/>
    <w:basedOn w:val="Normal"/>
    <w:qFormat/>
    <w:rsid w:val="00BE0D96"/>
    <w:pPr>
      <w:spacing w:before="240" w:after="60"/>
    </w:pPr>
    <w:rPr>
      <w:rFonts w:ascii="Times New Roman" w:hAnsi="Times New Roman"/>
      <w:b/>
      <w:sz w:val="28"/>
    </w:rPr>
  </w:style>
  <w:style w:type="character" w:customStyle="1" w:styleId="Underline">
    <w:name w:val="Underline"/>
    <w:basedOn w:val="DefaultParagraphFont"/>
    <w:qFormat/>
    <w:rsid w:val="00BE0D96"/>
    <w:rPr>
      <w:u w:val="single"/>
    </w:rPr>
  </w:style>
  <w:style w:type="character" w:customStyle="1" w:styleId="BoldandItalics">
    <w:name w:val="Bold and Italics"/>
    <w:qFormat/>
    <w:rsid w:val="00BE0D96"/>
    <w:rPr>
      <w:b/>
      <w:i/>
      <w:u w:val="none"/>
    </w:rPr>
  </w:style>
  <w:style w:type="paragraph" w:styleId="BalloonText">
    <w:name w:val="Balloon Text"/>
    <w:basedOn w:val="Normal"/>
    <w:link w:val="BalloonTextChar"/>
    <w:rsid w:val="00BE0D96"/>
    <w:rPr>
      <w:rFonts w:ascii="Tahoma" w:hAnsi="Tahoma" w:cs="Tahoma"/>
      <w:sz w:val="16"/>
      <w:szCs w:val="16"/>
    </w:rPr>
  </w:style>
  <w:style w:type="character" w:customStyle="1" w:styleId="BalloonTextChar">
    <w:name w:val="Balloon Text Char"/>
    <w:basedOn w:val="DefaultParagraphFont"/>
    <w:link w:val="BalloonText"/>
    <w:rsid w:val="00BE0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D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D96"/>
    <w:rPr>
      <w:b/>
      <w:color w:val="660033"/>
      <w:spacing w:val="0"/>
    </w:rPr>
  </w:style>
  <w:style w:type="paragraph" w:customStyle="1" w:styleId="Nameditemlist">
    <w:name w:val="Named item list"/>
    <w:basedOn w:val="BodyText"/>
    <w:qFormat/>
    <w:rsid w:val="00BE0D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2938</Words>
  <Characters>18610</Characters>
  <Application>Microsoft Office Word</Application>
  <DocSecurity>0</DocSecurity>
  <Lines>571</Lines>
  <Paragraphs>244</Paragraphs>
  <ScaleCrop>false</ScaleCrop>
  <Company>Author-it Software Corporation Ltd.</Company>
  <LinksUpToDate>false</LinksUpToDate>
  <CharactersWithSpaces>21403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UEENEEM062A Carry out overhaul and repair of explosion-protected equipment - gas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2014-12-16T11:52:53Z</dcterms:created>
  <dcterms:modified xsi:type="dcterms:W3CDTF">2014-12-16T00:19:00Z</dcterms:modified>
</cp:coreProperties>
</file>