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164" w:rsidP="00D92164">
      <w:pPr>
        <w:pStyle w:val="Title"/>
      </w:pPr>
      <w:r>
        <w:fldChar w:fldCharType="begin"/>
      </w:r>
      <w:r>
        <w:instrText xml:space="preserve"> TITLE   \* MERGEFORMAT </w:instrText>
      </w:r>
      <w:r>
        <w:fldChar w:fldCharType="separate"/>
      </w:r>
      <w:r>
        <w:t>UEENEEM046A Conduct detailed inspection of hazardous areas installations - pressurisation</w:t>
      </w:r>
      <w:r>
        <w:fldChar w:fldCharType="end"/>
      </w:r>
    </w:p>
    <w:p w:rsidR="00D92164" w:rsidP="00D92164">
      <w:pPr>
        <w:pStyle w:val="Version"/>
        <w:sectPr w:rsidSect="00466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66C42" w:rsidP="00466C42">
      <w:pPr>
        <w:pStyle w:val="SuperHeading"/>
      </w:pPr>
      <w:r w:rsidRPr="00466C42">
        <w:t>UEENEEM046A Conduct detailed inspection of hazardous areas installations - pressurisation</w:t>
      </w:r>
    </w:p>
    <w:p w:rsidR="00000000" w:rsidRPr="00466C42" w:rsidP="00466C42">
      <w:pPr>
        <w:pStyle w:val="Heading1"/>
      </w:pPr>
      <w:bookmarkStart w:id="1" w:name="O_700724"/>
      <w:bookmarkEnd w:id="1"/>
      <w:r w:rsidRPr="00466C4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921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Points</w:t>
            </w:r>
          </w:p>
        </w:tc>
      </w:tr>
      <w:tr w:rsidTr="00D921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Edit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42">
            <w:pPr>
              <w:pStyle w:val="BodyText"/>
              <w:rPr>
                <w:lang w:val="en-NZ"/>
              </w:rPr>
            </w:pPr>
            <w:r w:rsidRPr="00466C42">
              <w:t>Correct numbering in Elements and Performance Criteria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42" w:rsidP="00466C42">
            <w:pPr>
              <w:pStyle w:val="BodyText"/>
            </w:pPr>
          </w:p>
        </w:tc>
      </w:tr>
    </w:tbl>
    <w:p w:rsidR="00000000" w:rsidRPr="00466C42" w:rsidP="00466C42">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D921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42">
            <w:pPr>
              <w:pStyle w:val="BodyText"/>
              <w:rPr>
                <w:lang w:val="en-NZ"/>
              </w:rPr>
            </w:pPr>
            <w:r w:rsidRPr="00466C42">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42">
            <w:pPr>
              <w:pStyle w:val="BodyText"/>
              <w:rPr>
                <w:lang w:val="en-NZ"/>
              </w:rPr>
            </w:pPr>
            <w:r w:rsidRPr="00466C4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6C42" w:rsidP="00466C42">
            <w:pPr>
              <w:pStyle w:val="BodyText"/>
            </w:pPr>
            <w:r w:rsidRPr="00466C42">
              <w:t xml:space="preserve">Update pre-requisite </w:t>
            </w:r>
          </w:p>
          <w:p w:rsidR="00000000" w:rsidP="00466C42">
            <w:pPr>
              <w:pStyle w:val="BodyText"/>
              <w:rPr>
                <w:lang w:val="en-NZ"/>
              </w:rPr>
            </w:pPr>
            <w:r w:rsidRPr="00466C42">
              <w:t>UEENEEG123A - Conduct compliance inspection of LV electrical installations with demand exceeding 100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6C42" w:rsidP="00466C42">
            <w:pPr>
              <w:pStyle w:val="BodyText"/>
            </w:pPr>
          </w:p>
        </w:tc>
      </w:tr>
    </w:tbl>
    <w:p w:rsidR="00000000" w:rsidRPr="00466C42" w:rsidP="00466C42">
      <w:pPr>
        <w:pStyle w:val="BodyText"/>
      </w:pPr>
    </w:p>
    <w:p w:rsidR="00000000" w:rsidRPr="00466C42" w:rsidP="00466C42">
      <w:pPr>
        <w:pStyle w:val="AllowPageBreak"/>
      </w:pPr>
    </w:p>
    <w:p w:rsidR="00000000" w:rsidRPr="00466C42" w:rsidP="00466C42">
      <w:pPr>
        <w:pStyle w:val="Heading1"/>
      </w:pPr>
      <w:bookmarkStart w:id="2" w:name="O_700723"/>
      <w:bookmarkEnd w:id="2"/>
      <w:r w:rsidRPr="00466C42">
        <w:t>Unit Descriptor</w:t>
      </w:r>
    </w:p>
    <w:tbl>
      <w:tblPr>
        <w:tblW w:w="0" w:type="auto"/>
        <w:tblLayout w:type="fixed"/>
        <w:tblCellMar>
          <w:left w:w="62" w:type="dxa"/>
          <w:right w:w="62" w:type="dxa"/>
        </w:tblCellMar>
        <w:tblLook w:val="0000"/>
      </w:tblPr>
      <w:tblGrid>
        <w:gridCol w:w="2697"/>
        <w:gridCol w:w="5763"/>
      </w:tblGrid>
      <w:tr w:rsidTr="00D9216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1</w:t>
            </w:r>
            <w:r w:rsidRPr="00466C42">
              <w:t xml:space="preserve">) </w:t>
            </w:r>
          </w:p>
          <w:p w:rsidR="00000000" w:rsidP="00466C42">
            <w:pPr>
              <w:pStyle w:val="BodyText"/>
              <w:rPr>
                <w:lang w:val="en-NZ"/>
              </w:rPr>
            </w:pPr>
            <w:r w:rsidRPr="00466C42">
              <w:rPr>
                <w:rStyle w:val="SpecialBold"/>
              </w:rPr>
              <w:t>1</w:t>
            </w:r>
            <w:r w:rsidRPr="00466C42">
              <w:t>.</w:t>
            </w:r>
            <w:r w:rsidRPr="00466C42">
              <w:rPr>
                <w:rStyle w:val="SpecialBold"/>
              </w:rPr>
              <w:t>1</w:t>
            </w:r>
            <w:r w:rsidRPr="00466C42">
              <w:t xml:space="preserve">) </w:t>
            </w:r>
            <w:r w:rsidRPr="00466C42">
              <w:rPr>
                <w:rStyle w:val="SpecialBold"/>
              </w:rPr>
              <w:t>Descriptor</w:t>
            </w:r>
          </w:p>
        </w:tc>
      </w:tr>
      <w:tr w:rsidTr="00D9216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This unit covers the explosion-protection aspects of conducting close and detailed inspections of explosion-protected equipment and installations. It requires the ability to use a verification dossier, work safely in a hazardous area, inspect against Stand</w:t>
            </w:r>
            <w:r w:rsidRPr="00466C42">
              <w:t>ards and report and act on inspection results.</w:t>
            </w:r>
          </w:p>
          <w:p w:rsidR="00000000" w:rsidRPr="00466C42" w:rsidP="00466C42">
            <w:pPr>
              <w:pStyle w:val="BodyText"/>
            </w:pPr>
            <w:r w:rsidRPr="00466C42">
              <w:t xml:space="preserve">This unit is directly equivalent to the Unit </w:t>
            </w:r>
            <w:r w:rsidRPr="00466C42">
              <w:rPr>
                <w:rStyle w:val="Emphasis"/>
              </w:rPr>
              <w:t>2</w:t>
            </w:r>
            <w:r w:rsidRPr="00466C42">
              <w:t>.</w:t>
            </w:r>
            <w:r w:rsidRPr="00466C42">
              <w:rPr>
                <w:rStyle w:val="Emphasis"/>
              </w:rPr>
              <w:t>12</w:t>
            </w:r>
            <w:r w:rsidRPr="00466C42">
              <w:t xml:space="preserve"> </w:t>
            </w:r>
            <w:r w:rsidRPr="00466C42">
              <w:rPr>
                <w:rStyle w:val="Emphasis"/>
              </w:rPr>
              <w:t>Conduct detailed inspection of hazardous areas installations</w:t>
            </w:r>
            <w:r w:rsidRPr="00466C42">
              <w:t xml:space="preserve"> in the Australian/New Zealand Standard </w:t>
            </w:r>
            <w:r w:rsidRPr="00466C42">
              <w:rPr>
                <w:rStyle w:val="Emphasis"/>
              </w:rPr>
              <w:t>AS</w:t>
            </w:r>
            <w:r w:rsidRPr="00466C42">
              <w:t>/</w:t>
            </w:r>
            <w:r w:rsidRPr="00466C42">
              <w:rPr>
                <w:rStyle w:val="Emphasis"/>
              </w:rPr>
              <w:t>NZS 4761</w:t>
            </w:r>
            <w:r w:rsidRPr="00466C42">
              <w:t>.</w:t>
            </w:r>
            <w:r w:rsidRPr="00466C42">
              <w:rPr>
                <w:rStyle w:val="Emphasis"/>
              </w:rPr>
              <w:t>1 Competencies for working with electrical equi</w:t>
            </w:r>
            <w:r w:rsidRPr="00466C42">
              <w:rPr>
                <w:rStyle w:val="Emphasis"/>
              </w:rPr>
              <w:t>pment for hazardous areas</w:t>
            </w:r>
            <w:r w:rsidRPr="00466C42">
              <w:t xml:space="preserve"> (</w:t>
            </w:r>
            <w:r w:rsidRPr="00466C42">
              <w:rPr>
                <w:rStyle w:val="Emphasis"/>
              </w:rPr>
              <w:t>EEHA</w:t>
            </w:r>
            <w:r w:rsidRPr="00466C42">
              <w:t xml:space="preserve">) </w:t>
            </w:r>
            <w:r w:rsidRPr="00466C42">
              <w:rPr>
                <w:rStyle w:val="Emphasis"/>
              </w:rPr>
              <w:t>Part 1</w:t>
            </w:r>
            <w:r w:rsidRPr="00466C42">
              <w:t xml:space="preserve">: </w:t>
            </w:r>
            <w:r w:rsidRPr="00466C42">
              <w:rPr>
                <w:rStyle w:val="Emphasis"/>
              </w:rPr>
              <w:t>Competency Standards</w:t>
            </w:r>
            <w:r w:rsidRPr="00466C42">
              <w:t>. Equivalence includes endorsement in the explosion-protection techniques listed in the Range statement of this unit.</w:t>
            </w:r>
          </w:p>
        </w:tc>
      </w:tr>
    </w:tbl>
    <w:p w:rsidR="00D92164" w:rsidP="00466C42">
      <w:pPr>
        <w:pStyle w:val="BodyText"/>
      </w:pPr>
    </w:p>
    <w:p w:rsidR="00D92164" w:rsidP="00466C42">
      <w:pPr>
        <w:pStyle w:val="BodyText"/>
      </w:pPr>
    </w:p>
    <w:p w:rsidR="00000000" w:rsidRPr="00466C42" w:rsidP="00466C42">
      <w:pPr>
        <w:pStyle w:val="Heading1"/>
      </w:pPr>
      <w:bookmarkStart w:id="3" w:name="O_700722"/>
      <w:bookmarkEnd w:id="3"/>
      <w:r w:rsidRPr="00466C42">
        <w:t>Application of the Unit</w:t>
      </w:r>
    </w:p>
    <w:tbl>
      <w:tblPr>
        <w:tblW w:w="0" w:type="auto"/>
        <w:tblLayout w:type="fixed"/>
        <w:tblCellMar>
          <w:left w:w="62" w:type="dxa"/>
          <w:right w:w="62" w:type="dxa"/>
        </w:tblCellMar>
        <w:tblLook w:val="0000"/>
      </w:tblPr>
      <w:tblGrid>
        <w:gridCol w:w="2697"/>
        <w:gridCol w:w="5763"/>
      </w:tblGrid>
      <w:tr w:rsidTr="00D9216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4</w:t>
            </w:r>
            <w:r w:rsidRPr="00466C42">
              <w:t>)</w:t>
            </w:r>
          </w:p>
        </w:tc>
      </w:tr>
      <w:tr w:rsidTr="00D9216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This unit augments other formally-acquired competencies in a relevant industry and shall be used only in conjunction such competencies. It applies to electrical, instrumentation, electronics and data communication, installation, maintenance and/or inspecti</w:t>
            </w:r>
            <w:r w:rsidRPr="00466C42">
              <w:t>on job functions. This unit is intended to augment previously acquired competencies. It is suitable for employment-based programs under an approved contract of training.</w:t>
            </w:r>
          </w:p>
          <w:p w:rsidR="00000000" w:rsidRPr="00466C42" w:rsidP="00466C42">
            <w:pPr>
              <w:pStyle w:val="BodyText"/>
            </w:pPr>
            <w:r w:rsidRPr="00466C42">
              <w:t>Note:</w:t>
            </w:r>
          </w:p>
          <w:p w:rsidR="00000000" w:rsidRPr="00466C42" w:rsidP="00466C42">
            <w:pPr>
              <w:pStyle w:val="BodyText"/>
            </w:pPr>
            <w:r w:rsidRPr="00466C42">
              <w:t>Examples of relevant industries include aviations, electrical installation and m</w:t>
            </w:r>
            <w:r w:rsidRPr="00466C42">
              <w:t>aintenance, fuel storage and dispensing industrial process, instrumentation and control, marine, material handling and storage, mining, and petrochemical.</w:t>
            </w:r>
          </w:p>
        </w:tc>
      </w:tr>
    </w:tbl>
    <w:p w:rsidR="00D92164" w:rsidP="00466C42">
      <w:pPr>
        <w:pStyle w:val="BodyText"/>
      </w:pPr>
    </w:p>
    <w:p w:rsidR="00D92164" w:rsidP="00466C42">
      <w:pPr>
        <w:pStyle w:val="BodyText"/>
      </w:pPr>
    </w:p>
    <w:p w:rsidR="00000000" w:rsidRPr="00466C42" w:rsidP="00466C42">
      <w:pPr>
        <w:pStyle w:val="Heading1"/>
      </w:pPr>
      <w:bookmarkStart w:id="4" w:name="O_700721"/>
      <w:bookmarkEnd w:id="4"/>
      <w:r w:rsidRPr="00466C42">
        <w:t>Licensing/Regulatory Information</w:t>
      </w:r>
    </w:p>
    <w:tbl>
      <w:tblPr>
        <w:tblW w:w="0" w:type="auto"/>
        <w:tblLayout w:type="fixed"/>
        <w:tblCellMar>
          <w:left w:w="62" w:type="dxa"/>
          <w:right w:w="62" w:type="dxa"/>
        </w:tblCellMar>
        <w:tblLook w:val="0000"/>
      </w:tblPr>
      <w:tblGrid>
        <w:gridCol w:w="8460"/>
      </w:tblGrid>
      <w:tr w:rsidTr="00D921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1</w:t>
            </w:r>
            <w:r w:rsidRPr="00466C42">
              <w:t>.</w:t>
            </w:r>
            <w:r w:rsidRPr="00466C42">
              <w:rPr>
                <w:rStyle w:val="SpecialBold"/>
              </w:rPr>
              <w:t>2</w:t>
            </w:r>
            <w:r w:rsidRPr="00466C42">
              <w:t xml:space="preserve">) </w:t>
            </w:r>
            <w:r w:rsidRPr="00466C42">
              <w:rPr>
                <w:rStyle w:val="SpecialBold"/>
              </w:rPr>
              <w:t>License to practice</w:t>
            </w:r>
          </w:p>
        </w:tc>
      </w:tr>
      <w:tr w:rsidTr="00D921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The skills and knowledge described in this unit require a license to practice in the workplace where plant and equipment operate at voltage above 50 V a.c. or 120 V d.c. However other conditions may apply in some jurisdictions subject to regulations relate</w:t>
            </w:r>
            <w:r w:rsidRPr="00466C42">
              <w:t>d to electrical work. Practice in the workplace and during training is also subject to regulations directly related to occupational health and safety and where applicable contracts of training such as apprenticeships.</w:t>
            </w:r>
          </w:p>
          <w:p w:rsidR="00000000" w:rsidRPr="00466C42" w:rsidP="00466C42">
            <w:pPr>
              <w:pStyle w:val="BodyText"/>
            </w:pPr>
            <w:r w:rsidRPr="00466C42">
              <w:t>Note:</w:t>
            </w:r>
          </w:p>
          <w:p w:rsidR="00000000" w:rsidRPr="00466C42" w:rsidP="00466C42">
            <w:pPr>
              <w:pStyle w:val="BodyText"/>
            </w:pPr>
            <w:r w:rsidRPr="00466C42">
              <w:t>1. Compliance with permits may b</w:t>
            </w:r>
            <w:r w:rsidRPr="00466C42">
              <w:t>e required in various jurisdictions and typically relates to the operation of plant, machinery and equipment such as elevating work platforms, powder operated fixing tools, power operated tools, vehicles, road signage and traffic control and lifting equipm</w:t>
            </w:r>
            <w:r w:rsidRPr="00466C42">
              <w:t>ent. Permits may also be required for some work environments such as confined spaces, working aloft, near live electrical apparatus and site rehabilitation.</w:t>
            </w:r>
          </w:p>
          <w:p w:rsidR="00000000" w:rsidRPr="00466C42" w:rsidP="00466C42">
            <w:pPr>
              <w:pStyle w:val="BodyText"/>
            </w:pPr>
            <w:r w:rsidRPr="00466C42">
              <w:t xml:space="preserve">2. Compliance may be required in various jurisdictions relating to currency in First Aid, confined </w:t>
            </w:r>
            <w:r w:rsidRPr="00466C42">
              <w:t>space, lifting and risk safety measures.</w:t>
            </w:r>
          </w:p>
        </w:tc>
      </w:tr>
    </w:tbl>
    <w:p w:rsidR="00D92164" w:rsidP="00466C42">
      <w:pPr>
        <w:pStyle w:val="BodyText"/>
      </w:pPr>
    </w:p>
    <w:p w:rsidR="00D92164" w:rsidP="00466C42">
      <w:pPr>
        <w:pStyle w:val="BodyText"/>
      </w:pPr>
    </w:p>
    <w:p w:rsidR="00000000" w:rsidRPr="00466C42" w:rsidP="00466C42">
      <w:pPr>
        <w:pStyle w:val="Heading1"/>
      </w:pPr>
      <w:bookmarkStart w:id="5" w:name="O_700720"/>
      <w:bookmarkEnd w:id="5"/>
      <w:r w:rsidRPr="00466C42">
        <w:t>Pre-Requisites</w:t>
      </w:r>
    </w:p>
    <w:tbl>
      <w:tblPr>
        <w:tblW w:w="0" w:type="auto"/>
        <w:tblLayout w:type="fixed"/>
        <w:tblCellMar>
          <w:left w:w="62" w:type="dxa"/>
          <w:right w:w="62" w:type="dxa"/>
        </w:tblCellMar>
        <w:tblLook w:val="0000"/>
      </w:tblPr>
      <w:tblGrid>
        <w:gridCol w:w="2700"/>
        <w:gridCol w:w="1440"/>
        <w:gridCol w:w="4323"/>
      </w:tblGrid>
      <w:tr w:rsidTr="00D921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 xml:space="preserve">2) </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6C42">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2.1) Competencies</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Granting competency in this unit shall be made after or concurrently with confirming competency in the following units:</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UEENEEM026A</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Install explosion-protected equipment and wiring systems pressurisation</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OR</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UEENEEM030A</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Maintain equipment in hazardous areas  pressurisation</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OR</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UEENEEM080A</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Report on the integrity of explosion-protected equipment in a hazardous area</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AND</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UEENEEM054A</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Plan electrical installations for hazardous areas)</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OR</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UEENEEM080A</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Report on the integrity of explosion-protected equipment in a hazardous area</w:t>
            </w: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AND</w:t>
            </w:r>
          </w:p>
        </w:tc>
        <w:tc>
          <w:tcPr>
            <w:tcW w:w="432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r>
      <w:tr w:rsidTr="00D921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UEENEEG123A</w:t>
            </w:r>
          </w:p>
        </w:tc>
        <w:tc>
          <w:tcPr>
            <w:tcW w:w="432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Conduct compliance inspection of LV electrical installations with demand exceeding 100 A per phase</w:t>
            </w:r>
          </w:p>
        </w:tc>
      </w:tr>
    </w:tbl>
    <w:p w:rsidR="00000000" w:rsidRPr="00466C42" w:rsidP="00466C42">
      <w:pPr>
        <w:pStyle w:val="BodyText"/>
      </w:pPr>
    </w:p>
    <w:p w:rsidR="00000000" w:rsidRPr="00466C42" w:rsidP="00466C42">
      <w:pPr>
        <w:pStyle w:val="AllowPageBreak"/>
      </w:pPr>
    </w:p>
    <w:p w:rsidR="00000000" w:rsidRPr="00466C42" w:rsidP="00466C42">
      <w:pPr>
        <w:pStyle w:val="Heading1"/>
      </w:pPr>
      <w:bookmarkStart w:id="6" w:name="O_700719"/>
      <w:bookmarkEnd w:id="6"/>
      <w:r w:rsidRPr="00466C42">
        <w:t>Employability Skills Information</w:t>
      </w:r>
    </w:p>
    <w:tbl>
      <w:tblPr>
        <w:tblW w:w="0" w:type="auto"/>
        <w:tblLayout w:type="fixed"/>
        <w:tblCellMar>
          <w:left w:w="62" w:type="dxa"/>
          <w:right w:w="62" w:type="dxa"/>
        </w:tblCellMar>
        <w:tblLook w:val="0000"/>
      </w:tblPr>
      <w:tblGrid>
        <w:gridCol w:w="2697"/>
        <w:gridCol w:w="5763"/>
      </w:tblGrid>
      <w:tr w:rsidTr="00D9216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3</w:t>
            </w:r>
            <w:r w:rsidRPr="00466C42">
              <w:t>)</w:t>
            </w:r>
          </w:p>
          <w:p w:rsidR="00000000" w:rsidRPr="00466C42" w:rsidP="00466C42">
            <w:pPr>
              <w:pStyle w:val="BodyText"/>
            </w:pPr>
            <w:r w:rsidRPr="00466C4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66C42">
              <w:t>requirements.</w:t>
            </w:r>
          </w:p>
        </w:tc>
      </w:tr>
    </w:tbl>
    <w:p w:rsidR="00D92164" w:rsidP="00466C42">
      <w:pPr>
        <w:pStyle w:val="BodyText"/>
      </w:pPr>
    </w:p>
    <w:p w:rsidR="00D92164" w:rsidP="00466C42">
      <w:pPr>
        <w:pStyle w:val="BodyText"/>
      </w:pPr>
    </w:p>
    <w:p w:rsidR="00000000" w:rsidRPr="00466C42" w:rsidP="00466C42">
      <w:pPr>
        <w:pStyle w:val="Heading1"/>
      </w:pPr>
      <w:bookmarkStart w:id="7" w:name="O_700718"/>
      <w:bookmarkEnd w:id="7"/>
      <w:r w:rsidRPr="00466C42">
        <w:t>Elements and Performance Criteria Pre-Content</w:t>
      </w:r>
    </w:p>
    <w:tbl>
      <w:tblPr>
        <w:tblW w:w="0" w:type="auto"/>
        <w:tblLayout w:type="fixed"/>
        <w:tblCellMar>
          <w:left w:w="62" w:type="dxa"/>
          <w:right w:w="62" w:type="dxa"/>
        </w:tblCellMar>
        <w:tblLook w:val="0000"/>
      </w:tblPr>
      <w:tblGrid>
        <w:gridCol w:w="2697"/>
      </w:tblGrid>
      <w:tr w:rsidTr="00D9216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6</w:t>
            </w:r>
            <w:r w:rsidRPr="00466C42">
              <w:t>) Elements describe the essential outcomes of a unit</w:t>
            </w:r>
          </w:p>
        </w:tc>
      </w:tr>
    </w:tbl>
    <w:p w:rsidR="00000000" w:rsidRPr="00466C42" w:rsidP="00466C42">
      <w:pPr>
        <w:pStyle w:val="BodyText"/>
      </w:pPr>
    </w:p>
    <w:p w:rsidR="00000000" w:rsidRPr="00466C42" w:rsidP="00466C42">
      <w:pPr>
        <w:pStyle w:val="AllowPageBreak"/>
      </w:pPr>
    </w:p>
    <w:p w:rsidR="00000000" w:rsidRPr="00466C42" w:rsidP="00466C42">
      <w:pPr>
        <w:pStyle w:val="Heading1"/>
      </w:pPr>
      <w:bookmarkStart w:id="8" w:name="O_700717"/>
      <w:bookmarkEnd w:id="8"/>
      <w:r w:rsidRPr="00466C42">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D92164">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PERFORMANCE CRITERIA</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w:t>
            </w:r>
          </w:p>
        </w:tc>
        <w:tc>
          <w:tcPr>
            <w:tcW w:w="2294" w:type="dxa"/>
            <w:vMerge w:val="restart"/>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Prepare for inspection.</w:t>
            </w: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1.1</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Type and grade of inspection is ascertained from the inspection schedule retained in the verification dossier.</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1.2</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Areas classification is ascertained from hazardous areas layout drawings retained in the verification dossier.</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1.3</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Type and intended location of each item of equipment and circuits subject to inspection are determined from design drawings and documentation</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1.4</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OHS policies and procedures for preparing to work in a hazardous area are followed</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1.5</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Special tools, eq</w:t>
            </w:r>
            <w:r w:rsidRPr="00466C42">
              <w:t>uipment and devices needed for the inspection are obtained and checked for correct operation and safety</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w:t>
            </w:r>
          </w:p>
        </w:tc>
        <w:tc>
          <w:tcPr>
            <w:tcW w:w="2294"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Conduct inspection</w:t>
            </w: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2.1</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OHS policies and procedure for working in a hazardous area are followed.</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2.2</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Where applicable, an appropriately qualified person is directed to access equipment to facilitate the inspection.</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2.3</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Parts of equipment that are dismantled in order to conduct inspection are stored to protect them against loss or damage.</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2.4</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Equipme</w:t>
            </w:r>
            <w:r w:rsidRPr="00466C42">
              <w:t>nt, systems and installation are inspected for compliance with the design specifications retained in the verification dossier and in accordance with requirements.</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2.5</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Where applicable, after the inspection of each item, equipment parts and circuit connections are replaced in a manner that ensures the integrity of the explosion-protection system.</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4</w:t>
            </w:r>
          </w:p>
        </w:tc>
        <w:tc>
          <w:tcPr>
            <w:tcW w:w="2294"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Report inspection results</w:t>
            </w: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3.1</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Any non-conformances, faults or unauthoris</w:t>
            </w:r>
            <w:r w:rsidRPr="00466C42">
              <w:t>ed modifications are documented in accordance with established procedures.</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3.2</w:t>
            </w:r>
          </w:p>
        </w:tc>
        <w:tc>
          <w:tcPr>
            <w:tcW w:w="48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Where applicable, a non-conformance report, including the actions taken and a statement on whether circuits have been re-energised, is made and forwarded to the appropriate p</w:t>
            </w:r>
            <w:r w:rsidRPr="00466C42">
              <w:t>ersonnel.</w:t>
            </w:r>
          </w:p>
        </w:tc>
      </w:tr>
      <w:tr w:rsidTr="00D9216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3.3</w:t>
            </w:r>
          </w:p>
        </w:tc>
        <w:tc>
          <w:tcPr>
            <w:tcW w:w="48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Documentation in relation to all aspects of the inspection are forwarded to the appropriate personnel for inclusion in the verification dossier in accordance with requirements</w:t>
            </w:r>
          </w:p>
        </w:tc>
      </w:tr>
    </w:tbl>
    <w:p w:rsidR="00D92164" w:rsidP="00466C42">
      <w:pPr>
        <w:pStyle w:val="BodyText"/>
      </w:pPr>
    </w:p>
    <w:p w:rsidR="00D92164" w:rsidP="00466C42">
      <w:pPr>
        <w:pStyle w:val="BodyText"/>
      </w:pPr>
    </w:p>
    <w:p w:rsidR="00000000" w:rsidRPr="00466C42" w:rsidP="00466C42">
      <w:pPr>
        <w:pStyle w:val="Heading1"/>
      </w:pPr>
      <w:bookmarkStart w:id="9" w:name="O_700716"/>
      <w:bookmarkEnd w:id="9"/>
      <w:r w:rsidRPr="00466C42">
        <w:t>Required Skills and Knowledge</w:t>
      </w:r>
    </w:p>
    <w:tbl>
      <w:tblPr>
        <w:tblW w:w="0" w:type="auto"/>
        <w:tblLayout w:type="fixed"/>
        <w:tblCellMar>
          <w:left w:w="62" w:type="dxa"/>
          <w:right w:w="62" w:type="dxa"/>
        </w:tblCellMar>
        <w:tblLook w:val="0000"/>
      </w:tblPr>
      <w:tblGrid>
        <w:gridCol w:w="1530"/>
        <w:gridCol w:w="6930"/>
      </w:tblGrid>
      <w:tr w:rsidTr="00D9216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REQUIRED SKILLS AND KNOWLEDGE</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7)</w:t>
            </w:r>
            <w:r w:rsidRPr="00466C42">
              <w:t xml:space="preserve"> This describes the essential skills and knowledge and their level, required for this unit.</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Evidence shall show that knowledge has been acquired of safe working practices and conducting detailed inspection of hazardous a</w:t>
            </w:r>
            <w:r w:rsidRPr="00466C42">
              <w:t>reas installations.</w:t>
            </w:r>
          </w:p>
          <w:p w:rsidR="00000000" w:rsidP="00466C42">
            <w:pPr>
              <w:pStyle w:val="BodyText"/>
              <w:rPr>
                <w:lang w:val="en-NZ"/>
              </w:rPr>
            </w:pPr>
            <w:r w:rsidRPr="00466C42">
              <w:t>All knowledge and skills detailed in this unit should be contextualised to current industry practices and technologies.</w:t>
            </w:r>
          </w:p>
        </w:tc>
      </w:tr>
      <w:tr w:rsidTr="00D9216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KS01-EM046A</w:t>
            </w:r>
          </w:p>
        </w:tc>
        <w:tc>
          <w:tcPr>
            <w:tcW w:w="693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Hazardous areas detailed inspection techniques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Evidence shall show an understanding of hazardous areas detailed inspection techniques to an extent indicated by the following aspects: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w:t>
            </w:r>
            <w:r w:rsidRPr="00466C42">
              <w:tab/>
              <w:t>Explosion-protection equipment — Ex certification schemes encompassing:</w:t>
            </w:r>
          </w:p>
          <w:p w:rsidR="00000000" w:rsidRPr="00466C42" w:rsidP="00466C42">
            <w:pPr>
              <w:pStyle w:val="ListBullet2"/>
            </w:pPr>
            <w:r w:rsidRPr="00466C42">
              <w:t>Purpose and scope of certification schemes</w:t>
            </w:r>
            <w:r w:rsidRPr="00466C42">
              <w:t>.</w:t>
            </w:r>
          </w:p>
          <w:p w:rsidR="00000000" w:rsidRPr="00466C42" w:rsidP="00466C42">
            <w:pPr>
              <w:pStyle w:val="ListBullet2"/>
            </w:pPr>
            <w:r w:rsidRPr="00466C42">
              <w:t>Schemes accepted in Australia and New Zealand.</w:t>
            </w:r>
          </w:p>
          <w:p w:rsidR="00000000" w:rsidRPr="00466C42" w:rsidP="00466C42">
            <w:pPr>
              <w:pStyle w:val="ListBullet2"/>
            </w:pPr>
            <w:r w:rsidRPr="00466C42">
              <w:t>Schemes commonly used in countries other than Australia and New Zealand.</w:t>
            </w:r>
          </w:p>
          <w:p w:rsidR="00000000" w:rsidP="00466C42">
            <w:pPr>
              <w:pStyle w:val="ListBullet2"/>
              <w:rPr>
                <w:lang w:val="en-NZ"/>
              </w:rPr>
            </w:pPr>
            <w:r w:rsidRPr="00466C42">
              <w:t>Processes for having equipment certified under the acceptable Ex schemes — scheme procedures; quality management requirements; conform</w:t>
            </w:r>
            <w:r w:rsidRPr="00466C42">
              <w:t>ance testing and assessment; and requirements for ongoing certification.</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T2</w:t>
            </w:r>
            <w:r w:rsidRPr="00466C42">
              <w:tab/>
              <w:t>Flameproof (Ex ‘d’) explosion-protection technique encompassing:</w:t>
            </w:r>
          </w:p>
          <w:p w:rsidR="00000000" w:rsidRPr="00466C42" w:rsidP="00466C42">
            <w:pPr>
              <w:pStyle w:val="ListBullet2"/>
            </w:pPr>
            <w:r w:rsidRPr="00466C42">
              <w:t xml:space="preserve">The purpose and characteristics of the design features of apparatus and circuits protected </w:t>
            </w:r>
            <w:r w:rsidRPr="00466C42">
              <w:t>by the flameproof (Ex ‘d’) technique. (Examples of characteristics and design features are flame paths, integrity under pressure, pressure piling, and enclosure entries).</w:t>
            </w:r>
          </w:p>
          <w:p w:rsidR="00000000" w:rsidRPr="00466C42" w:rsidP="00466C42">
            <w:pPr>
              <w:pStyle w:val="ListBullet2"/>
            </w:pPr>
            <w:r w:rsidRPr="00466C42">
              <w:t>Typical situations where the flameproof explosion-protection technique is used;</w:t>
            </w:r>
          </w:p>
          <w:p w:rsidR="00000000" w:rsidRPr="00466C42" w:rsidP="00466C42">
            <w:pPr>
              <w:pStyle w:val="ListBullet2"/>
            </w:pPr>
            <w:r w:rsidRPr="00466C42">
              <w:t>Actio</w:t>
            </w:r>
            <w:r w:rsidRPr="00466C42">
              <w:t xml:space="preserve">ns or conditions that would void the protection provided the Flameproof technique; </w:t>
            </w:r>
          </w:p>
          <w:p w:rsidR="00000000" w:rsidP="00466C42">
            <w:pPr>
              <w:pStyle w:val="ListBullet2"/>
              <w:rPr>
                <w:lang w:val="en-NZ"/>
              </w:rPr>
            </w:pPr>
            <w:r w:rsidRPr="00466C42">
              <w:t>The use of Standards in determining the requirements to which the installation of flameproof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T3</w:t>
            </w:r>
            <w:r w:rsidRPr="00466C42">
              <w:tab/>
              <w:t>Increased safety (Ex ‘e’) expl</w:t>
            </w:r>
            <w:r w:rsidRPr="00466C42">
              <w:t>osion-protection technique encompassing:</w:t>
            </w:r>
          </w:p>
          <w:p w:rsidR="00000000" w:rsidRPr="00466C42" w:rsidP="00466C42">
            <w:pPr>
              <w:pStyle w:val="ListBullet2"/>
            </w:pPr>
            <w:r w:rsidRPr="00466C42">
              <w:t>The purpose and characteristics of the design features of apparatus and circuits protected by the Increased safety (Ex ‘e’) technique (Examples of characteristics and design features are temperature rise, maximum p</w:t>
            </w:r>
            <w:r w:rsidRPr="00466C42">
              <w:t>ower dissipation, protection devices, certified components, creepage and clearance distances, absence of sparking contacts and enclosure entries).</w:t>
            </w:r>
          </w:p>
          <w:p w:rsidR="00000000" w:rsidRPr="00466C42" w:rsidP="00466C42">
            <w:pPr>
              <w:pStyle w:val="ListBullet2"/>
            </w:pPr>
            <w:r w:rsidRPr="00466C42">
              <w:t>Typical situations where the Increased safety explosion-protection technique is used;</w:t>
            </w:r>
          </w:p>
          <w:p w:rsidR="00000000" w:rsidRPr="00466C42" w:rsidP="00466C42">
            <w:pPr>
              <w:pStyle w:val="ListBullet2"/>
            </w:pPr>
            <w:r w:rsidRPr="00466C42">
              <w:t>Actions or conditions t</w:t>
            </w:r>
            <w:r w:rsidRPr="00466C42">
              <w:t xml:space="preserve">hat would void the protection provided the Increased safety technique; </w:t>
            </w:r>
          </w:p>
          <w:p w:rsidR="00000000" w:rsidP="00466C42">
            <w:pPr>
              <w:pStyle w:val="ListBullet2"/>
              <w:rPr>
                <w:lang w:val="en-NZ"/>
              </w:rPr>
            </w:pPr>
            <w:r w:rsidRPr="00466C42">
              <w:t>The use of Standards in determining the requirements to which the installation of Increased safety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T4</w:t>
            </w:r>
            <w:r w:rsidRPr="00466C42">
              <w:tab/>
              <w:t>Non-sparking (Ex ‘n’</w:t>
            </w:r>
            <w:r w:rsidRPr="00466C42">
              <w:t>) explosion-protection technique encompassing:</w:t>
            </w:r>
          </w:p>
          <w:p w:rsidR="00000000" w:rsidRPr="00466C42" w:rsidP="00466C42">
            <w:pPr>
              <w:pStyle w:val="ListBullet2"/>
            </w:pPr>
            <w:r w:rsidRPr="00466C42">
              <w:t>The purpose and characteristics of the design features of apparatus and circuits protected by the Non-sparking (Ex ‘n’) technique (Examples of characteristics and design features are creepage and clearance di</w:t>
            </w:r>
            <w:r w:rsidRPr="00466C42">
              <w:t>stances and restricted breathing).</w:t>
            </w:r>
          </w:p>
          <w:p w:rsidR="00000000" w:rsidRPr="00466C42" w:rsidP="00466C42">
            <w:pPr>
              <w:pStyle w:val="ListBullet2"/>
            </w:pPr>
            <w:r w:rsidRPr="00466C42">
              <w:t>Typical situations where the Non-sparking explosion-protection technique is used;</w:t>
            </w:r>
          </w:p>
          <w:p w:rsidR="00000000" w:rsidRPr="00466C42" w:rsidP="00466C42">
            <w:pPr>
              <w:pStyle w:val="ListBullet2"/>
            </w:pPr>
            <w:r w:rsidRPr="00466C42">
              <w:t>Actions or conditions that would void the protection provided the Non-sparking technique; and</w:t>
            </w:r>
          </w:p>
          <w:p w:rsidR="00000000" w:rsidP="00466C42">
            <w:pPr>
              <w:pStyle w:val="ListBullet2"/>
              <w:rPr>
                <w:lang w:val="en-NZ"/>
              </w:rPr>
            </w:pPr>
            <w:r w:rsidRPr="00466C42">
              <w:t>The use of Standards in determining the requi</w:t>
            </w:r>
            <w:r w:rsidRPr="00466C42">
              <w:t>rements to which the installation of Non-sparking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T5</w:t>
            </w:r>
            <w:r w:rsidRPr="00466C42">
              <w:tab/>
              <w:t>Intrinsic safety (Ex ‘i’) explosion-protection technique encompassing:</w:t>
            </w:r>
          </w:p>
          <w:p w:rsidR="00000000" w:rsidRPr="00466C42" w:rsidP="00466C42">
            <w:pPr>
              <w:pStyle w:val="ListBullet2"/>
            </w:pPr>
            <w:r w:rsidRPr="00466C42">
              <w:t>The purpose and characteristics of the design features of apparatus and circuits prot</w:t>
            </w:r>
            <w:r w:rsidRPr="00466C42">
              <w:t>ected by the Intrinsic safety (Ex ‘i’) technique (Examples of characteristics and design features are field devices, cables, safe area devices, earthing, entity versus integrated system concept, simple devices and interface devices and their parameters, se</w:t>
            </w:r>
            <w:r w:rsidRPr="00466C42">
              <w:t>gregation, infallible components, current and voltage limiting, creepage and clearance distances).</w:t>
            </w:r>
          </w:p>
          <w:p w:rsidR="00000000" w:rsidRPr="00466C42" w:rsidP="00466C42">
            <w:pPr>
              <w:pStyle w:val="ListBullet2"/>
            </w:pPr>
            <w:r w:rsidRPr="00466C42">
              <w:t>Typical situations where the Intrinsic safety explosion-protection technique is used;</w:t>
            </w:r>
          </w:p>
          <w:p w:rsidR="00000000" w:rsidRPr="00466C42" w:rsidP="00466C42">
            <w:pPr>
              <w:pStyle w:val="ListBullet2"/>
            </w:pPr>
            <w:r w:rsidRPr="00466C42">
              <w:t>Actions or conditions that would void the protection provided the Intri</w:t>
            </w:r>
            <w:r w:rsidRPr="00466C42">
              <w:t xml:space="preserve">nsic safety; </w:t>
            </w:r>
          </w:p>
          <w:p w:rsidR="00000000" w:rsidP="00466C42">
            <w:pPr>
              <w:pStyle w:val="ListBullet2"/>
              <w:rPr>
                <w:lang w:val="en-NZ"/>
              </w:rPr>
            </w:pPr>
            <w:r w:rsidRPr="00466C42">
              <w:t>The use of Standards in determining the requirements to which the installation of Intrinsic safety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T6</w:t>
            </w:r>
            <w:r w:rsidRPr="00466C42">
              <w:tab/>
              <w:t>Pressurization (Ex ‘p’) explosion-protection technique encompassing:</w:t>
            </w:r>
          </w:p>
          <w:p w:rsidR="00000000" w:rsidRPr="00466C42" w:rsidP="00466C42">
            <w:pPr>
              <w:pStyle w:val="ListBullet2"/>
            </w:pPr>
            <w:r w:rsidRPr="00466C42">
              <w:t>The purpose and characteristics of the design features of apparatus and circuits protected by the Pressurization (Ex ‘p’) technique (Examples of characteristics and design features are exclusion and dilution; purge periods, controlled shut down, monitoring</w:t>
            </w:r>
            <w:r w:rsidRPr="00466C42">
              <w:t xml:space="preserve"> and sources of internal release).</w:t>
            </w:r>
          </w:p>
          <w:p w:rsidR="00000000" w:rsidRPr="00466C42" w:rsidP="00466C42">
            <w:pPr>
              <w:pStyle w:val="ListBullet2"/>
            </w:pPr>
            <w:r w:rsidRPr="00466C42">
              <w:t>Typical situations where the pressurization explosion-protection technique is used;</w:t>
            </w:r>
          </w:p>
          <w:p w:rsidR="00000000" w:rsidRPr="00466C42" w:rsidP="00466C42">
            <w:pPr>
              <w:pStyle w:val="ListBullet2"/>
            </w:pPr>
            <w:r w:rsidRPr="00466C42">
              <w:t>Actions or conditions that would void the protection provided the pressurization technique;</w:t>
            </w:r>
          </w:p>
          <w:p w:rsidR="00000000" w:rsidP="00466C42">
            <w:pPr>
              <w:pStyle w:val="ListBullet2"/>
              <w:rPr>
                <w:lang w:val="en-NZ"/>
              </w:rPr>
            </w:pPr>
            <w:r w:rsidRPr="00466C42">
              <w:t>The use of Standards in determining the requi</w:t>
            </w:r>
            <w:r w:rsidRPr="00466C42">
              <w:t>rements to which the installation of pressurization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T7</w:t>
            </w:r>
            <w:r w:rsidRPr="00466C42">
              <w:tab/>
              <w:t>Enclosures for dusts (Ex ‘tD’) - explosion-protection technique encompassing:</w:t>
            </w:r>
          </w:p>
          <w:p w:rsidR="00000000" w:rsidRPr="00466C42" w:rsidP="00466C42">
            <w:pPr>
              <w:pStyle w:val="ListBullet2"/>
            </w:pPr>
            <w:r w:rsidRPr="00466C42">
              <w:t>The purpose and characteristics of the design features of apparatus and circ</w:t>
            </w:r>
            <w:r w:rsidRPr="00466C42">
              <w:t>uits protected by the techniques for dusts (Examples of characteristics and design features are for enclosures; pressurization; encapsulation; and intrinsic safety).</w:t>
            </w:r>
          </w:p>
          <w:p w:rsidR="00000000" w:rsidRPr="00466C42" w:rsidP="00466C42">
            <w:pPr>
              <w:pStyle w:val="ListBullet2"/>
            </w:pPr>
            <w:r w:rsidRPr="00466C42">
              <w:t>Typical situations where the each dust explosion-protection technique is used;</w:t>
            </w:r>
          </w:p>
          <w:p w:rsidR="00000000" w:rsidRPr="00466C42" w:rsidP="00466C42">
            <w:pPr>
              <w:pStyle w:val="ListBullet2"/>
            </w:pPr>
            <w:r w:rsidRPr="00466C42">
              <w:t xml:space="preserve">Actions or </w:t>
            </w:r>
            <w:r w:rsidRPr="00466C42">
              <w:t xml:space="preserve">conditions that would void the protection provided the each dust technique; </w:t>
            </w:r>
          </w:p>
          <w:p w:rsidR="00000000" w:rsidP="00466C42">
            <w:pPr>
              <w:pStyle w:val="ListBullet2"/>
              <w:rPr>
                <w:lang w:val="en-NZ"/>
              </w:rPr>
            </w:pPr>
            <w:r w:rsidRPr="00466C42">
              <w:t>The use of Standards in determining the requirements to which the installation of dust explosion-protected apparatus 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T8</w:t>
            </w:r>
            <w:r w:rsidRPr="00466C42">
              <w:tab/>
            </w:r>
            <w:r w:rsidRPr="00466C42">
              <w:t>Common characteristics of explosion-protection techniques encompassing:</w:t>
            </w:r>
          </w:p>
          <w:p w:rsidR="00000000" w:rsidRPr="00466C42" w:rsidP="00466C42">
            <w:pPr>
              <w:pStyle w:val="ListBullet2"/>
            </w:pPr>
            <w:r w:rsidRPr="00466C42">
              <w:t>The purposes of ‘temperature classification’ and ‘gas grouping/apparatus grouping’.</w:t>
            </w:r>
          </w:p>
          <w:p w:rsidR="00000000" w:rsidRPr="00466C42" w:rsidP="00466C42">
            <w:pPr>
              <w:pStyle w:val="ListBullet2"/>
            </w:pPr>
            <w:r w:rsidRPr="00466C42">
              <w:t>Compliance plate markings.</w:t>
            </w:r>
          </w:p>
          <w:p w:rsidR="00000000" w:rsidRPr="00466C42" w:rsidP="00466C42">
            <w:pPr>
              <w:pStyle w:val="ListBullet2"/>
            </w:pPr>
            <w:r w:rsidRPr="00466C42">
              <w:t>Limitations of non-metallic or specific alloy enclosures.</w:t>
            </w:r>
          </w:p>
          <w:p w:rsidR="00000000" w:rsidRPr="00466C42" w:rsidP="00466C42">
            <w:pPr>
              <w:pStyle w:val="ListBullet2"/>
            </w:pPr>
            <w:r w:rsidRPr="00466C42">
              <w:t>The purpose of</w:t>
            </w:r>
            <w:r w:rsidRPr="00466C42">
              <w:t xml:space="preserve"> conformity and certification/approval for equipment used in hazardous areas.</w:t>
            </w:r>
          </w:p>
          <w:p w:rsidR="00000000" w:rsidRPr="00466C42" w:rsidP="00466C42">
            <w:pPr>
              <w:pStyle w:val="ListBullet2"/>
            </w:pPr>
            <w:r w:rsidRPr="00466C42">
              <w:t>Environmental conditions that may impact on explosion-protection techniques.</w:t>
            </w:r>
          </w:p>
          <w:p w:rsidR="00000000" w:rsidRPr="00466C42" w:rsidP="00466C42">
            <w:pPr>
              <w:pStyle w:val="ListBullet2"/>
            </w:pPr>
            <w:r w:rsidRPr="00466C42">
              <w:t xml:space="preserve">The principles and applications of other and mixed explosion-protection techniques (Other techniques </w:t>
            </w:r>
            <w:r w:rsidRPr="00466C42">
              <w:t>include encapsulation Ex ‘m’; oil-immersion Ex ‘o’; powder-filling Ex ‘q’, ventilation Ex ‘v’ and special protection Ex ‘s’).</w:t>
            </w:r>
          </w:p>
          <w:p w:rsidR="00000000" w:rsidP="00466C42">
            <w:pPr>
              <w:pStyle w:val="ListBullet2"/>
              <w:rPr>
                <w:lang w:val="en-NZ"/>
              </w:rPr>
            </w:pPr>
            <w:r w:rsidRPr="00466C42">
              <w:t>Features and purpose of conduit seals and cable termination devices designed for use in hazardous areas (These include conduit sea</w:t>
            </w:r>
            <w:r w:rsidRPr="00466C42">
              <w:t>ls and barrier and compression glands for cables with or without armouring, screening and/or drain wires).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T9</w:t>
            </w:r>
            <w:r w:rsidRPr="00466C42">
              <w:tab/>
              <w:t>Preparation to install and maintain explosion-protected equipment in hazardous areas encompassing:</w:t>
            </w:r>
          </w:p>
          <w:p w:rsidR="00000000" w:rsidRPr="00466C42" w:rsidP="00466C42">
            <w:pPr>
              <w:pStyle w:val="ListBullet2"/>
            </w:pPr>
            <w:r w:rsidRPr="00466C42">
              <w:t>OHS procedures to be followed when working i</w:t>
            </w:r>
            <w:r w:rsidRPr="00466C42">
              <w:t>n a hazardous area;</w:t>
            </w:r>
          </w:p>
          <w:p w:rsidR="00000000" w:rsidRPr="00466C42" w:rsidP="00466C42">
            <w:pPr>
              <w:pStyle w:val="ListBullet2"/>
            </w:pPr>
            <w:r w:rsidRPr="00466C42">
              <w:t>the significance of information provided on the certification documentation and schedules for a given item of explosion-protected equipment;</w:t>
            </w:r>
          </w:p>
          <w:p w:rsidR="00000000" w:rsidRPr="00466C42" w:rsidP="00466C42">
            <w:pPr>
              <w:pStyle w:val="ListBullet2"/>
            </w:pPr>
            <w:r w:rsidRPr="00466C42">
              <w:t>the typical contents of a verification dossier and their purpose; and</w:t>
            </w:r>
          </w:p>
          <w:p w:rsidR="00000000" w:rsidP="00466C42">
            <w:pPr>
              <w:pStyle w:val="ListBullet2"/>
              <w:rPr>
                <w:lang w:val="en-NZ"/>
              </w:rPr>
            </w:pPr>
            <w:r w:rsidRPr="00466C42">
              <w:t>limitations in the use of tools and testing devices in hazardous areas.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T10</w:t>
            </w:r>
            <w:r w:rsidRPr="00466C42">
              <w:tab/>
              <w:t>The relationship between explosion-protected equipment, their certification documents and required locations given in specifications and layout drawings and/or written instructio</w:t>
            </w:r>
            <w:r w:rsidRPr="00466C42">
              <w:t>ns encompassing:</w:t>
            </w:r>
          </w:p>
          <w:p w:rsidR="00000000" w:rsidRPr="00466C42" w:rsidP="00466C42">
            <w:pPr>
              <w:pStyle w:val="ListBullet2"/>
            </w:pPr>
            <w:r w:rsidRPr="00466C42">
              <w:t>the purpose of markings on the compliance plate and certification documents for a given item of explosion-protected equipment;</w:t>
            </w:r>
          </w:p>
          <w:p w:rsidR="00000000" w:rsidRPr="00466C42" w:rsidP="00466C42">
            <w:pPr>
              <w:pStyle w:val="ListBullet2"/>
            </w:pPr>
            <w:r w:rsidRPr="00466C42">
              <w:t>matching explosion-protected equipment with certification documents and the equipment specified for an installa</w:t>
            </w:r>
            <w:r w:rsidRPr="00466C42">
              <w:t>tion; and</w:t>
            </w:r>
          </w:p>
          <w:p w:rsidR="00000000" w:rsidP="00466C42">
            <w:pPr>
              <w:pStyle w:val="ListBullet2"/>
              <w:rPr>
                <w:lang w:val="en-NZ"/>
              </w:rPr>
            </w:pPr>
            <w:r w:rsidRPr="00466C42">
              <w:t>the location the items of explosion-protected equipment for an installation from specifications and layout drawings and/or instructions.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T11</w:t>
            </w:r>
            <w:r w:rsidRPr="00466C42">
              <w:tab/>
              <w:t>Installation Standards and requirements applicable to hazardous encompassing:</w:t>
            </w:r>
          </w:p>
          <w:p w:rsidR="00000000" w:rsidRPr="00466C42" w:rsidP="00466C42">
            <w:pPr>
              <w:pStyle w:val="ListBullet2"/>
            </w:pPr>
            <w:r w:rsidRPr="00466C42">
              <w:t>the wiring systems permi</w:t>
            </w:r>
            <w:r w:rsidRPr="00466C42">
              <w:t>tted and not permitted in or above hazardous areas;</w:t>
            </w:r>
          </w:p>
          <w:p w:rsidR="00000000" w:rsidRPr="00466C42" w:rsidP="00466C42">
            <w:pPr>
              <w:pStyle w:val="ListBullet2"/>
            </w:pPr>
            <w:r w:rsidRPr="00466C42">
              <w:t>equipment not permitted in or above hazardous areas;</w:t>
            </w:r>
          </w:p>
          <w:p w:rsidR="00000000" w:rsidRPr="00466C42" w:rsidP="00466C42">
            <w:pPr>
              <w:pStyle w:val="ListBullet2"/>
            </w:pPr>
            <w:r w:rsidRPr="00466C42">
              <w:t>the regulations and Standards to which explosion-protected equipment and wiring must be installed in a hazardous area and how these are applied; and</w:t>
            </w:r>
          </w:p>
          <w:p w:rsidR="00000000" w:rsidP="00466C42">
            <w:pPr>
              <w:pStyle w:val="ListBullet2"/>
              <w:rPr>
                <w:lang w:val="en-NZ"/>
              </w:rPr>
            </w:pPr>
            <w:r w:rsidRPr="00466C42">
              <w:t>the documentation required as a record of the installation process, including certification documentation.</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T12</w:t>
            </w:r>
            <w:r w:rsidRPr="00466C42">
              <w:tab/>
              <w:t>Maintenance procedures in hazardous areas that will ensure the integrity of the explosion-protection technique encompassing:</w:t>
            </w:r>
          </w:p>
          <w:p w:rsidR="00000000" w:rsidRPr="00466C42" w:rsidP="00466C42">
            <w:pPr>
              <w:pStyle w:val="ListBullet2"/>
            </w:pPr>
            <w:r w:rsidRPr="00466C42">
              <w:t xml:space="preserve">the purpose of a </w:t>
            </w:r>
            <w:r w:rsidRPr="00466C42">
              <w:t>maintenance schedule;</w:t>
            </w:r>
          </w:p>
          <w:p w:rsidR="00000000" w:rsidRPr="00466C42" w:rsidP="00466C42">
            <w:pPr>
              <w:pStyle w:val="ListBullet2"/>
            </w:pPr>
            <w:r w:rsidRPr="00466C42">
              <w:t>the purpose and extent of ‘close’, ‘sample’ and ‘periodic’ inspections;</w:t>
            </w:r>
          </w:p>
          <w:p w:rsidR="00000000" w:rsidRPr="00466C42" w:rsidP="00466C42">
            <w:pPr>
              <w:pStyle w:val="ListBullet2"/>
            </w:pPr>
            <w:r w:rsidRPr="00466C42">
              <w:t>the features of each explosion-protection techniques that should be included in a maintenance schedule;</w:t>
            </w:r>
          </w:p>
          <w:p w:rsidR="00000000" w:rsidRPr="00466C42" w:rsidP="00466C42">
            <w:pPr>
              <w:pStyle w:val="ListBullet2"/>
            </w:pPr>
            <w:r w:rsidRPr="00466C42">
              <w:t>the impact of environmental conditions on explosion-protec</w:t>
            </w:r>
            <w:r w:rsidRPr="00466C42">
              <w:t xml:space="preserve">ted equipment, including corrosion and frequency of maintenance; </w:t>
            </w:r>
          </w:p>
          <w:p w:rsidR="00000000" w:rsidRPr="00466C42" w:rsidP="00466C42">
            <w:pPr>
              <w:pStyle w:val="ListBullet2"/>
            </w:pPr>
            <w:r w:rsidRPr="00466C42">
              <w:t>the documentation requirements for recording the maintenance process and results;</w:t>
            </w:r>
          </w:p>
          <w:p w:rsidR="00000000" w:rsidP="00466C42">
            <w:pPr>
              <w:pStyle w:val="ListBullet2"/>
              <w:rPr>
                <w:lang w:val="en-NZ"/>
              </w:rPr>
            </w:pPr>
            <w:r w:rsidRPr="00466C42">
              <w:t xml:space="preserve">the use of Standards in determining the requirements with which the design of explosion-protected apparatus </w:t>
            </w:r>
            <w:r w:rsidRPr="00466C42">
              <w:t>shall comply.</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T13</w:t>
            </w:r>
            <w:r w:rsidRPr="00466C42">
              <w:tab/>
              <w:t>Cable termination types suitable for use in hazardous areas encompassing:</w:t>
            </w:r>
          </w:p>
          <w:p w:rsidR="00000000" w:rsidRPr="00466C42" w:rsidP="00466C42">
            <w:pPr>
              <w:pStyle w:val="ListBullet2"/>
            </w:pPr>
            <w:r w:rsidRPr="00466C42">
              <w:t>explosion protection features of cable terminations devices.</w:t>
            </w:r>
          </w:p>
          <w:p w:rsidR="00000000" w:rsidP="00466C42">
            <w:pPr>
              <w:pStyle w:val="ListBullet2"/>
              <w:rPr>
                <w:lang w:val="en-NZ"/>
              </w:rPr>
            </w:pPr>
            <w:r w:rsidRPr="00466C42">
              <w:t>selecting compliant cable termination devices.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T14</w:t>
            </w:r>
            <w:r w:rsidRPr="00466C42">
              <w:tab/>
            </w:r>
            <w:r w:rsidRPr="00466C42">
              <w:t>Terminating cables suitable for use in hazardous areas encompassing:</w:t>
            </w:r>
          </w:p>
          <w:p w:rsidR="00000000" w:rsidRPr="00466C42" w:rsidP="00466C42">
            <w:pPr>
              <w:pStyle w:val="ListBullet2"/>
            </w:pPr>
            <w:r w:rsidRPr="00466C42">
              <w:t>installing conduit systems, where applicable, including seals to meet hazardous areas requirements. (Gases only.)</w:t>
            </w:r>
          </w:p>
          <w:p w:rsidR="00000000" w:rsidRPr="00466C42" w:rsidP="00466C42">
            <w:pPr>
              <w:pStyle w:val="ListBullet2"/>
            </w:pPr>
            <w:r w:rsidRPr="00466C42">
              <w:t>terminating a cable with a barrier gland. (Gases only.)</w:t>
            </w:r>
          </w:p>
          <w:p w:rsidR="00000000" w:rsidRPr="00466C42" w:rsidP="00466C42">
            <w:pPr>
              <w:pStyle w:val="ListBullet2"/>
            </w:pPr>
            <w:r w:rsidRPr="00466C42">
              <w:t>terminating a mu</w:t>
            </w:r>
            <w:r w:rsidRPr="00466C42">
              <w:t>ltipair, SWA, overall screened, individual screened cable into an enclosure.</w:t>
            </w:r>
          </w:p>
          <w:p w:rsidR="00000000" w:rsidP="00466C42">
            <w:pPr>
              <w:pStyle w:val="ListBullet2"/>
              <w:rPr>
                <w:lang w:val="en-NZ"/>
              </w:rPr>
            </w:pPr>
            <w:r w:rsidRPr="00466C42">
              <w:t>testing termination/connections of installed cables/circuits.</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T15</w:t>
            </w:r>
            <w:r w:rsidRPr="00466C42">
              <w:tab/>
              <w:t>The relationship between the documentation held in a verification dossier and the installed equipment encompass</w:t>
            </w:r>
            <w:r w:rsidRPr="00466C42">
              <w:t>ing:</w:t>
            </w:r>
          </w:p>
          <w:p w:rsidR="00000000" w:rsidRPr="00466C42" w:rsidP="00466C42">
            <w:pPr>
              <w:pStyle w:val="ListBullet2"/>
            </w:pPr>
            <w:r w:rsidRPr="00466C42">
              <w:t>consistency between the location and type of equipment with the area classification details in the verification  dossier; and</w:t>
            </w:r>
          </w:p>
          <w:p w:rsidR="00000000" w:rsidP="00466C42">
            <w:pPr>
              <w:pStyle w:val="ListBullet2"/>
              <w:rPr>
                <w:lang w:val="en-NZ"/>
              </w:rPr>
            </w:pPr>
            <w:r w:rsidRPr="00466C42">
              <w:t>equipment certification and any attached conditions that relate to the equipment as it is installed.</w:t>
            </w:r>
          </w:p>
        </w:tc>
      </w:tr>
      <w:tr w:rsidTr="00D9216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T16</w:t>
            </w:r>
            <w:r w:rsidRPr="00466C42">
              <w:tab/>
            </w:r>
            <w:r w:rsidRPr="00466C42">
              <w:t>Inspecting a hazardous area installation encompassing:</w:t>
            </w:r>
          </w:p>
          <w:p w:rsidR="00000000" w:rsidRPr="00466C42" w:rsidP="00466C42">
            <w:pPr>
              <w:pStyle w:val="ListBullet2"/>
            </w:pPr>
            <w:r w:rsidRPr="00466C42">
              <w:t>typical processes for undertaking the inspection of a hazardous area installation;</w:t>
            </w:r>
          </w:p>
          <w:p w:rsidR="00000000" w:rsidRPr="00466C42" w:rsidP="00466C42">
            <w:pPr>
              <w:pStyle w:val="ListBullet2"/>
            </w:pPr>
            <w:r w:rsidRPr="00466C42">
              <w:t>requirements applicable to a given installation; and</w:t>
            </w:r>
          </w:p>
          <w:p w:rsidR="00000000" w:rsidRPr="00466C42" w:rsidP="00466C42">
            <w:pPr>
              <w:pStyle w:val="ListBullet2"/>
            </w:pPr>
            <w:r w:rsidRPr="00466C42">
              <w:t>reporting of an inspection of a hazardous area installation.</w:t>
            </w:r>
          </w:p>
        </w:tc>
      </w:tr>
    </w:tbl>
    <w:p w:rsidR="00000000" w:rsidRPr="00466C42" w:rsidP="00466C42">
      <w:pPr>
        <w:pStyle w:val="BodyText"/>
      </w:pPr>
    </w:p>
    <w:p w:rsidR="00000000" w:rsidRPr="00466C42" w:rsidP="00466C42">
      <w:pPr>
        <w:pStyle w:val="AllowPageBreak"/>
      </w:pPr>
    </w:p>
    <w:p w:rsidR="00000000" w:rsidRPr="00466C42" w:rsidP="00466C42">
      <w:pPr>
        <w:pStyle w:val="Heading1"/>
      </w:pPr>
      <w:bookmarkStart w:id="10" w:name="O_700715"/>
      <w:bookmarkEnd w:id="10"/>
      <w:r w:rsidRPr="00466C42">
        <w:t>Evidence Guide</w:t>
      </w:r>
    </w:p>
    <w:tbl>
      <w:tblPr>
        <w:tblW w:w="0" w:type="auto"/>
        <w:tblLayout w:type="fixed"/>
        <w:tblCellMar>
          <w:left w:w="62" w:type="dxa"/>
          <w:right w:w="62" w:type="dxa"/>
        </w:tblCellMar>
        <w:tblLook w:val="0000"/>
      </w:tblPr>
      <w:tblGrid>
        <w:gridCol w:w="2157"/>
        <w:gridCol w:w="720"/>
        <w:gridCol w:w="540"/>
        <w:gridCol w:w="5043"/>
      </w:tblGrid>
      <w:tr w:rsidTr="00D9216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EVIDENCE GUIDE</w:t>
            </w:r>
          </w:p>
        </w:tc>
      </w:tr>
      <w:tr w:rsidTr="00D9216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 xml:space="preserve">) This provides essential advice for assessment of the unit and must be read in conjunction with </w:t>
            </w:r>
            <w:r w:rsidRPr="00466C42">
              <w:t>the performance criteria and the range statement of the unit and the Training Package Assessment Guidelines.</w:t>
            </w:r>
          </w:p>
          <w:p w:rsidR="00000000" w:rsidP="00466C42">
            <w:pPr>
              <w:pStyle w:val="BodyText"/>
              <w:rPr>
                <w:lang w:val="en-NZ"/>
              </w:rPr>
            </w:pPr>
            <w:r w:rsidRPr="00466C42">
              <w:t>The Evidence Guide forms an integral part of this unit. It must be used in conjunction with all components parts of this unit and performed in acco</w:t>
            </w:r>
            <w:r w:rsidRPr="00466C42">
              <w:t>rdance with the Assessment Guidelines of this Training Package.</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w:t>
            </w:r>
            <w:r w:rsidRPr="00466C42">
              <w:rPr>
                <w:rStyle w:val="SpecialBold"/>
              </w:rPr>
              <w:t>1</w:t>
            </w:r>
            <w:r w:rsidRPr="00466C42">
              <w:t xml:space="preserve">) </w:t>
            </w:r>
          </w:p>
          <w:p w:rsidR="00000000" w:rsidRPr="00466C42" w:rsidP="00466C42">
            <w:pPr>
              <w:pStyle w:val="BodyText"/>
            </w:pPr>
            <w:r w:rsidRPr="00466C42">
              <w:t>Longitudinal competency development approaches to assessment, such as Profiling, require data to be reliably gathered in a form that can be consistently interp</w:t>
            </w:r>
            <w:r w:rsidRPr="00466C42">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466C42">
              <w:t>of the competency in the normal work environment or, at a minimum, the application of the competency in a realistically simulated work environment. It is recognised that, in some circumstances, assessment in part or full can occur outside the workplace. Ho</w:t>
            </w:r>
            <w:r w:rsidRPr="00466C42">
              <w:t>wever, it must be in accord with industry and regulatory policy.</w:t>
            </w:r>
          </w:p>
          <w:p w:rsidR="00000000" w:rsidRPr="00466C42" w:rsidP="00466C42">
            <w:pPr>
              <w:pStyle w:val="BodyText"/>
            </w:pPr>
            <w:r w:rsidRPr="00466C42">
              <w:t>Methods chosen for a particular assessment will be influenced by various factors. These include the extent of the assessment, the most effective locations for the assessment activities to tak</w:t>
            </w:r>
            <w:r w:rsidRPr="00466C42">
              <w:t>e place, access to physical resources, additional safety measures that may be required and the critical nature of the competencies being assessed.</w:t>
            </w:r>
          </w:p>
          <w:p w:rsidR="00000000" w:rsidRPr="00466C42" w:rsidP="00466C42">
            <w:pPr>
              <w:pStyle w:val="BodyText"/>
            </w:pPr>
            <w:r w:rsidRPr="00466C42">
              <w:t>The critical safety nature of working with electricity, electrical equipment, gas or any other hazardous subs</w:t>
            </w:r>
            <w:r w:rsidRPr="00466C42">
              <w:t>tance/material carries risk in deeming a person competent. Sources of evidence need to be 'rich' in nature to minimise error in judgment.</w:t>
            </w:r>
          </w:p>
          <w:p w:rsidR="00000000" w:rsidP="00466C42">
            <w:pPr>
              <w:pStyle w:val="BodyText"/>
              <w:rPr>
                <w:lang w:val="en-NZ"/>
              </w:rPr>
            </w:pPr>
            <w:r w:rsidRPr="00466C42">
              <w:t>Activities associated with normal everyday work influence decisions about how/how much the data gathered will contribu</w:t>
            </w:r>
            <w:r w:rsidRPr="00466C42">
              <w:t>te to its 'richness'. Some skills are more critical to safety and operational requirements while the same skills may be more or less frequently practised. These points are raised for the assessors to consider when choosing an assessment method and developi</w:t>
            </w:r>
            <w:r w:rsidRPr="00466C42">
              <w:t>ng assessment instruments. Sample assessment instruments are included for Assessors in the Assessment Guidelines of this Training Package.</w:t>
            </w:r>
          </w:p>
        </w:tc>
      </w:tr>
      <w:tr w:rsidTr="00D92164">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w:t>
            </w:r>
            <w:r w:rsidRPr="00466C42">
              <w:rPr>
                <w:rStyle w:val="SpecialBold"/>
              </w:rPr>
              <w:t>2</w:t>
            </w:r>
            <w:r w:rsidRPr="00466C42">
              <w:t xml:space="preserve">) </w:t>
            </w:r>
          </w:p>
          <w:p w:rsidR="00000000" w:rsidP="00466C42">
            <w:pPr>
              <w:pStyle w:val="BodyText"/>
              <w:rPr>
                <w:lang w:val="en-NZ"/>
              </w:rPr>
            </w:pPr>
            <w:r w:rsidRPr="00466C42">
              <w:t>Before the critical aspects of evidence are considered all prerequisites shall be met.</w:t>
            </w:r>
          </w:p>
        </w:tc>
      </w:tr>
      <w:tr w:rsidTr="00D92164">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Evidence for competence in this unit shall be considered holistically.  Each element and associated performance criteria must be demonstrated on at least two occasio</w:t>
            </w:r>
            <w:r w:rsidRPr="00466C42">
              <w:t>ns in accordance with the 'Assessment Guidelines - UEE07'.  Evidence shall also comprise:</w:t>
            </w:r>
          </w:p>
          <w:p w:rsidR="00000000" w:rsidP="00466C42">
            <w:pPr>
              <w:pStyle w:val="ListBullet"/>
              <w:rPr>
                <w:lang w:val="en-NZ"/>
              </w:rPr>
            </w:pPr>
            <w:r w:rsidRPr="00466C42">
              <w:t>A representative body of work performance demonstrated within the timeframes typically expected of the discipline, work function and industrial environment. In parti</w:t>
            </w:r>
            <w:r w:rsidRPr="00466C42">
              <w:t>cular this shall incorporate evidence that shows a candidate is able to:</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ListBullet2"/>
            </w:pPr>
            <w:r w:rsidRPr="00466C42">
              <w:t xml:space="preserve">Implement Occupational Health and Safety workplace procedures and practices, including </w:t>
            </w:r>
            <w:r w:rsidRPr="00466C42">
              <w:t>the use of risk control measures as specified in the performance criteria and range statement</w:t>
            </w:r>
          </w:p>
          <w:p w:rsidR="00000000" w:rsidRPr="00466C42" w:rsidP="00466C42">
            <w:pPr>
              <w:pStyle w:val="ListBullet2"/>
            </w:pPr>
            <w:r w:rsidRPr="00466C42">
              <w:t>Apply sustainable energy principles and practices as specified in the performance criteria and range statement</w:t>
            </w:r>
          </w:p>
          <w:p w:rsidR="00000000" w:rsidRPr="00466C42" w:rsidP="00466C42">
            <w:pPr>
              <w:pStyle w:val="ListBullet2"/>
            </w:pPr>
            <w:r w:rsidRPr="00466C4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466C42" w:rsidP="00466C42">
            <w:pPr>
              <w:pStyle w:val="ListBullet2"/>
            </w:pPr>
            <w:r w:rsidRPr="00466C42">
              <w:t>Demonst</w:t>
            </w:r>
            <w:r w:rsidRPr="00466C42">
              <w:t>rate an appropriate level of skills enabling employment</w:t>
            </w:r>
          </w:p>
          <w:p w:rsidR="00000000" w:rsidP="00466C42">
            <w:pPr>
              <w:pStyle w:val="ListBullet2"/>
              <w:rPr>
                <w:lang w:val="en-NZ"/>
              </w:rPr>
            </w:pPr>
            <w:r w:rsidRPr="00466C42">
              <w:t>Conduct work observing the relevant Anti Discrimination legislation, regulations, polices and workplace procedures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466C42">
            <w:pPr>
              <w:pStyle w:val="ListBullet"/>
              <w:rPr>
                <w:lang w:val="en-NZ"/>
              </w:rPr>
            </w:pPr>
            <w:r w:rsidRPr="00466C42">
              <w:t>Demonstrated consistent performance across a representative range of contexts fr</w:t>
            </w:r>
            <w:r w:rsidRPr="00466C42">
              <w:t>om the prescribed items below:</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466C42">
            <w:pPr>
              <w:pStyle w:val="ListBullet2"/>
              <w:rPr>
                <w:lang w:val="en-NZ"/>
              </w:rPr>
            </w:pPr>
            <w:r w:rsidRPr="00466C42">
              <w:t>Conduct detailed inspection of hazardous areas installations as described in 8) and including:</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Working safely in a hazardous area in rela</w:t>
            </w:r>
            <w:r w:rsidRPr="00466C42">
              <w:t>tion to work permits and clearances, hazard monitoring and evacuation procedures, and plant and electrical isolation.</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B</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Determining the extent of the inspection and location of equipment Handling and installing equipment and wiring in a manner that does not reduce the type of protection afforded by the equipment design.</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C</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Conducting close and detailed inspections in acco</w:t>
            </w:r>
            <w:r w:rsidRPr="00466C42">
              <w:t>rdance with requirements and procedures. Identifying non-compliant apparatus.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D</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Ensuring appropriate handling of dismantled parts of equipment Identifying non-compliant installation methods.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E</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Ensuring replacement of equipment parts and connections t</w:t>
            </w:r>
            <w:r w:rsidRPr="00466C42">
              <w:t>hat maintain the integrity of the explosion-protection system at the completion of each inspection.</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F</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Documenting inspection outcomes.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G</w:t>
            </w:r>
          </w:p>
        </w:tc>
        <w:tc>
          <w:tcPr>
            <w:tcW w:w="504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Applying relevant contingency management skills.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Note:</w:t>
            </w:r>
          </w:p>
          <w:p w:rsidR="00000000" w:rsidP="00466C42">
            <w:pPr>
              <w:pStyle w:val="BodyText"/>
              <w:rPr>
                <w:lang w:val="en-NZ"/>
              </w:rPr>
            </w:pPr>
            <w:r w:rsidRPr="00466C42">
              <w:t>Successful completion of relevant vendor training may be used to contribute to evidence on which competency is deemed. In these cases the alignment of outcomes of vendor training with performance criteria and critical aspects of evidence shall be clearly i</w:t>
            </w:r>
            <w:r w:rsidRPr="00466C42">
              <w:t>dentified.</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w:t>
            </w:r>
            <w:r w:rsidRPr="00466C42">
              <w:rPr>
                <w:rStyle w:val="SpecialBold"/>
              </w:rPr>
              <w:t>3</w:t>
            </w:r>
            <w:r w:rsidRPr="00466C42">
              <w:t xml:space="preserve">) </w:t>
            </w:r>
          </w:p>
          <w:p w:rsidR="00000000" w:rsidRPr="00466C42" w:rsidP="00466C42">
            <w:pPr>
              <w:pStyle w:val="BodyText"/>
            </w:pPr>
            <w:r w:rsidRPr="00466C42">
              <w:t>This unit should be assessed as it relates to normal work practice using procedures, information and resources typical of a workplace. This should include:</w:t>
            </w:r>
          </w:p>
          <w:p w:rsidR="00000000" w:rsidRPr="00466C42" w:rsidP="00466C42">
            <w:pPr>
              <w:pStyle w:val="ListBullet"/>
            </w:pPr>
            <w:r w:rsidRPr="00466C42">
              <w:t>OHS policy and work procedures and instructions.</w:t>
            </w:r>
          </w:p>
          <w:p w:rsidR="00000000" w:rsidRPr="00466C42" w:rsidP="00466C42">
            <w:pPr>
              <w:pStyle w:val="ListBullet"/>
            </w:pPr>
            <w:r w:rsidRPr="00466C42">
              <w:t>Suitable work environment, facilities, equipment and materials to undertake actual work as prescribed by this unit.</w:t>
            </w:r>
          </w:p>
          <w:p w:rsidR="00000000" w:rsidRPr="00466C42" w:rsidP="00466C42">
            <w:pPr>
              <w:pStyle w:val="BodyText"/>
            </w:pPr>
            <w:r w:rsidRPr="00466C42">
              <w:t>These should also be part of the formal learning/assessment environment.</w:t>
            </w:r>
          </w:p>
          <w:p w:rsidR="00000000" w:rsidRPr="00466C42" w:rsidP="00466C42">
            <w:pPr>
              <w:pStyle w:val="BodyText"/>
            </w:pPr>
            <w:r w:rsidRPr="00466C42">
              <w:t>Note:</w:t>
            </w:r>
          </w:p>
          <w:p w:rsidR="00000000" w:rsidP="00466C42">
            <w:pPr>
              <w:pStyle w:val="BodyText"/>
              <w:rPr>
                <w:lang w:val="en-NZ"/>
              </w:rPr>
            </w:pPr>
            <w:r w:rsidRPr="00466C42">
              <w:t>Where simula</w:t>
            </w:r>
            <w:r w:rsidRPr="00466C42">
              <w:t>tion is considered a suitable strategy for assessment, conditions must be authentic and as far as possible reproduce and replicate the workplace and be consistent with the approved industry simulation policy.</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The resources used for assessment should re</w:t>
            </w:r>
            <w:r w:rsidRPr="00466C42">
              <w:t>flect current industry practices in relation to conducting detailed inspection of hazardous areas installations.</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w:t>
            </w:r>
            <w:r w:rsidRPr="00466C42">
              <w:rPr>
                <w:rStyle w:val="SpecialBold"/>
              </w:rPr>
              <w:t>4</w:t>
            </w:r>
            <w:r w:rsidRPr="00466C42">
              <w:t xml:space="preserve">) </w:t>
            </w:r>
          </w:p>
          <w:p w:rsidR="00000000" w:rsidRPr="00466C42" w:rsidP="00466C42">
            <w:pPr>
              <w:pStyle w:val="BodyText"/>
            </w:pPr>
            <w:r w:rsidRPr="00466C42">
              <w:t>This unit shall be assessed by methods given in Volume 1, Part 3 'Assessment Guidelines'.</w:t>
            </w:r>
          </w:p>
          <w:p w:rsidR="00000000" w:rsidRPr="00466C42" w:rsidP="00466C42">
            <w:pPr>
              <w:pStyle w:val="BodyText"/>
            </w:pPr>
            <w:r w:rsidRPr="00466C42">
              <w:t>Note:</w:t>
            </w:r>
          </w:p>
          <w:p w:rsidR="00000000" w:rsidP="00466C42">
            <w:pPr>
              <w:pStyle w:val="BodyText"/>
              <w:rPr>
                <w:lang w:val="en-NZ"/>
              </w:rPr>
            </w:pPr>
            <w:r w:rsidRPr="00466C42">
              <w:t>Competent performance with inherent safe working practices is expected in the Industry to which this unit applies. This requires assessment in a structured environment primarily intended for learning/assessment which incorporates all necessary equipment an</w:t>
            </w:r>
            <w:r w:rsidRPr="00466C42">
              <w:t>d facilities for learners to develop and demonstrate the essential knowledge and skills described in this unit.</w:t>
            </w:r>
          </w:p>
        </w:tc>
      </w:tr>
      <w:tr w:rsidTr="00D9216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9</w:t>
            </w:r>
            <w:r w:rsidRPr="00466C42">
              <w:t>.</w:t>
            </w:r>
            <w:r w:rsidRPr="00466C42">
              <w:rPr>
                <w:rStyle w:val="SpecialBold"/>
              </w:rPr>
              <w:t>5</w:t>
            </w:r>
            <w:r w:rsidRPr="00466C42">
              <w:t>)</w:t>
            </w:r>
          </w:p>
          <w:p w:rsidR="00000000" w:rsidRPr="00466C42" w:rsidP="00466C42">
            <w:pPr>
              <w:pStyle w:val="BodyText"/>
            </w:pPr>
            <w:r w:rsidRPr="00466C42">
              <w:t>For optimisation of training and assessment effort, competency development in th</w:t>
            </w:r>
            <w:r w:rsidRPr="00466C42">
              <w:t>is unit may be arranged concurrently with  any of the following:</w:t>
            </w:r>
          </w:p>
          <w:p w:rsidR="00000000" w:rsidRPr="00466C42" w:rsidP="00466C42">
            <w:pPr>
              <w:pStyle w:val="BodyText"/>
            </w:pPr>
            <w:r w:rsidRPr="00466C42">
              <w:t>NEENEEG023B</w:t>
            </w:r>
            <w:r w:rsidRPr="00466C42">
              <w:tab/>
              <w:t>Conduct compliance inspection of electrical installations with demand exceeding 100 A per phase.</w:t>
            </w:r>
          </w:p>
          <w:p w:rsidR="00000000" w:rsidRPr="00466C42" w:rsidP="00466C42">
            <w:pPr>
              <w:pStyle w:val="BodyText"/>
            </w:pPr>
            <w:r w:rsidRPr="00466C42">
              <w:t>UEENEEM080A</w:t>
            </w:r>
            <w:r w:rsidRPr="00466C42">
              <w:tab/>
              <w:t>Report on the integrity of explosion-protected equipment in a hazardou</w:t>
            </w:r>
            <w:r w:rsidRPr="00466C42">
              <w:t>s area</w:t>
            </w:r>
          </w:p>
          <w:p w:rsidR="00000000" w:rsidRPr="00466C42" w:rsidP="00466C42">
            <w:pPr>
              <w:pStyle w:val="BodyText"/>
            </w:pPr>
            <w:r w:rsidRPr="00466C42">
              <w:t>UEENEEM026A</w:t>
            </w:r>
            <w:r w:rsidRPr="00466C42">
              <w:tab/>
              <w:t>Install explosion-protected equipment and wiring systems  pressurisation</w:t>
            </w:r>
          </w:p>
          <w:p w:rsidR="00000000" w:rsidRPr="00466C42" w:rsidP="00466C42">
            <w:pPr>
              <w:pStyle w:val="BodyText"/>
            </w:pPr>
            <w:r w:rsidRPr="00466C42">
              <w:t>UEENEEM030A</w:t>
            </w:r>
            <w:r w:rsidRPr="00466C42">
              <w:tab/>
              <w:t xml:space="preserve">Maintain equipment in hazardous areas  pressurisation </w:t>
            </w:r>
          </w:p>
          <w:p w:rsidR="00000000" w:rsidRPr="00466C42" w:rsidP="00466C42">
            <w:pPr>
              <w:pStyle w:val="BodyText"/>
            </w:pPr>
            <w:r w:rsidRPr="00466C42">
              <w:t>UEENEEM054A</w:t>
            </w:r>
            <w:r w:rsidRPr="00466C42">
              <w:tab/>
              <w:t>Plan electrical installations for hazardous areas</w:t>
            </w:r>
          </w:p>
        </w:tc>
      </w:tr>
    </w:tbl>
    <w:p w:rsidR="00D92164" w:rsidP="00466C42">
      <w:pPr>
        <w:pStyle w:val="BodyText"/>
      </w:pPr>
    </w:p>
    <w:p w:rsidR="00D92164" w:rsidP="00466C42">
      <w:pPr>
        <w:pStyle w:val="BodyText"/>
      </w:pPr>
    </w:p>
    <w:p w:rsidR="00000000" w:rsidRPr="00466C42" w:rsidP="00466C42">
      <w:pPr>
        <w:pStyle w:val="Heading1"/>
      </w:pPr>
      <w:bookmarkStart w:id="11" w:name="O_700714"/>
      <w:bookmarkEnd w:id="11"/>
      <w:r w:rsidRPr="00466C42">
        <w:t>Range Statement</w:t>
      </w:r>
    </w:p>
    <w:tbl>
      <w:tblPr>
        <w:tblW w:w="0" w:type="auto"/>
        <w:tblLayout w:type="fixed"/>
        <w:tblCellMar>
          <w:left w:w="62" w:type="dxa"/>
          <w:right w:w="62" w:type="dxa"/>
        </w:tblCellMar>
        <w:tblLook w:val="0000"/>
      </w:tblPr>
      <w:tblGrid>
        <w:gridCol w:w="8460"/>
      </w:tblGrid>
      <w:tr w:rsidTr="00D921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RANGE STATEMENT</w:t>
            </w:r>
          </w:p>
        </w:tc>
      </w:tr>
      <w:tr w:rsidTr="00D921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8</w:t>
            </w:r>
            <w:r w:rsidRPr="00466C42">
              <w:t>) This relates to the unit as a whole providing the range of contexts and conditions to which the performance criteria apply. It allows for different work environments and situations that will affect performance.</w:t>
            </w:r>
          </w:p>
        </w:tc>
      </w:tr>
      <w:tr w:rsidTr="00D921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This uni</w:t>
            </w:r>
            <w:r w:rsidRPr="00466C42">
              <w:t>t shall be demonstrated in relation to any classified hazardous area and the Pressurisation (Ex 'p') explosion-protection technique.</w:t>
            </w:r>
          </w:p>
        </w:tc>
      </w:tr>
      <w:tr w:rsidTr="00D921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Generic terms used throughout this Vocational Standard shall be regarded as part of the Range Statement in which competenc</w:t>
            </w:r>
            <w:r w:rsidRPr="00466C42">
              <w:t>y is demonstrated. The definition of these and other terms that apply are given in Volume 2, Part 2.1.</w:t>
            </w:r>
          </w:p>
        </w:tc>
      </w:tr>
    </w:tbl>
    <w:p w:rsidR="00D92164" w:rsidP="00466C42">
      <w:pPr>
        <w:pStyle w:val="BodyText"/>
      </w:pPr>
    </w:p>
    <w:p w:rsidR="00D92164" w:rsidP="00466C42">
      <w:pPr>
        <w:pStyle w:val="BodyText"/>
      </w:pPr>
    </w:p>
    <w:p w:rsidR="00000000" w:rsidRPr="00466C42" w:rsidP="00466C42">
      <w:pPr>
        <w:pStyle w:val="Heading1"/>
      </w:pPr>
      <w:bookmarkStart w:id="12" w:name="O_700713"/>
      <w:bookmarkEnd w:id="12"/>
      <w:r w:rsidRPr="00466C42">
        <w:t>Unit Sector(s)</w:t>
      </w:r>
    </w:p>
    <w:p w:rsidR="00000000" w:rsidRPr="00466C42" w:rsidP="00466C42">
      <w:pPr>
        <w:pStyle w:val="BodyText"/>
      </w:pPr>
      <w:r w:rsidRPr="00466C42">
        <w:t>Not Applicable</w:t>
      </w:r>
    </w:p>
    <w:p w:rsidR="00000000" w:rsidRPr="00466C42" w:rsidP="00466C42">
      <w:pPr>
        <w:pStyle w:val="AllowPageBreak"/>
      </w:pPr>
    </w:p>
    <w:p w:rsidR="00000000" w:rsidRPr="00466C42" w:rsidP="00466C42">
      <w:pPr>
        <w:pStyle w:val="Heading1"/>
      </w:pPr>
      <w:bookmarkStart w:id="13" w:name="O_700712"/>
      <w:bookmarkEnd w:id="13"/>
      <w:r w:rsidRPr="00466C42">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D9216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2</w:t>
            </w:r>
            <w:r w:rsidRPr="00466C42">
              <w:t>.</w:t>
            </w:r>
            <w:r w:rsidRPr="00466C42">
              <w:rPr>
                <w:rStyle w:val="SpecialBold"/>
              </w:rPr>
              <w:t>2</w:t>
            </w:r>
            <w:r w:rsidRPr="00466C42">
              <w:t xml:space="preserve">) </w:t>
            </w:r>
            <w:r w:rsidRPr="00466C42">
              <w:rPr>
                <w:rStyle w:val="SpecialBold"/>
              </w:rPr>
              <w:t>Literacy and numeracy skills</w:t>
            </w:r>
          </w:p>
          <w:p w:rsidR="00000000" w:rsidP="00466C42">
            <w:pPr>
              <w:pStyle w:val="BodyText"/>
              <w:rPr>
                <w:lang w:val="en-NZ"/>
              </w:rPr>
            </w:pPr>
            <w:r w:rsidRPr="00466C42">
              <w:t>Participants are best equipped to achieve competency in this unit if they have reading, writing and numeracy skills indicated by the following scales. Description of each scale is given in Volume 2, Part 3 'Literacy and Numeracy'</w:t>
            </w:r>
          </w:p>
        </w:tc>
      </w:tr>
      <w:tr w:rsidTr="00D92164">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Reading</w:t>
            </w:r>
          </w:p>
        </w:tc>
        <w:tc>
          <w:tcPr>
            <w:tcW w:w="1182"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4</w:t>
            </w:r>
          </w:p>
        </w:tc>
        <w:tc>
          <w:tcPr>
            <w:tcW w:w="1738"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Writing</w:t>
            </w:r>
          </w:p>
        </w:tc>
        <w:tc>
          <w:tcPr>
            <w:tcW w:w="1182"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4</w:t>
            </w:r>
          </w:p>
        </w:tc>
        <w:tc>
          <w:tcPr>
            <w:tcW w:w="1720"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t>Numeracy</w:t>
            </w:r>
          </w:p>
        </w:tc>
        <w:tc>
          <w:tcPr>
            <w:tcW w:w="1186"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4</w:t>
            </w:r>
          </w:p>
        </w:tc>
      </w:tr>
    </w:tbl>
    <w:p w:rsidR="00D92164" w:rsidP="00466C42">
      <w:pPr>
        <w:pStyle w:val="BodyText"/>
      </w:pPr>
    </w:p>
    <w:p w:rsidR="00D92164" w:rsidP="00466C42">
      <w:pPr>
        <w:pStyle w:val="BodyText"/>
      </w:pPr>
    </w:p>
    <w:p w:rsidR="00000000" w:rsidRPr="00466C42" w:rsidP="00466C42">
      <w:pPr>
        <w:pStyle w:val="Heading1"/>
      </w:pPr>
      <w:bookmarkStart w:id="14" w:name="O_700711"/>
      <w:bookmarkEnd w:id="14"/>
      <w:r w:rsidRPr="00466C42">
        <w:t>Custom Content Section</w:t>
      </w:r>
    </w:p>
    <w:tbl>
      <w:tblPr>
        <w:tblW w:w="0" w:type="auto"/>
        <w:tblLayout w:type="fixed"/>
        <w:tblCellMar>
          <w:left w:w="62" w:type="dxa"/>
          <w:right w:w="62" w:type="dxa"/>
        </w:tblCellMar>
        <w:tblLook w:val="0000"/>
      </w:tblPr>
      <w:tblGrid>
        <w:gridCol w:w="2697"/>
        <w:gridCol w:w="5763"/>
      </w:tblGrid>
      <w:tr w:rsidTr="00D9216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466C42">
            <w:pPr>
              <w:pStyle w:val="BodyText"/>
              <w:rPr>
                <w:lang w:val="en-NZ"/>
              </w:rPr>
            </w:pPr>
            <w:r w:rsidRPr="00466C42">
              <w:rPr>
                <w:rStyle w:val="SpecialBold"/>
              </w:rPr>
              <w:t>5</w:t>
            </w:r>
            <w:r w:rsidRPr="00466C42">
              <w:t>)</w:t>
            </w:r>
          </w:p>
        </w:tc>
      </w:tr>
      <w:tr w:rsidTr="00D9216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466C42" w:rsidP="00466C42">
            <w:pPr>
              <w:pStyle w:val="BodyText"/>
            </w:pPr>
            <w:r w:rsidRPr="00466C42">
              <w:t>Hazards</w:t>
            </w:r>
          </w:p>
        </w:tc>
      </w:tr>
    </w:tbl>
    <w:p w:rsidR="00D92164" w:rsidP="00466C42">
      <w:pPr>
        <w:pStyle w:val="BodyText"/>
      </w:pPr>
    </w:p>
    <w:p w:rsidR="00D92164" w:rsidP="00466C42">
      <w:pPr>
        <w:pStyle w:val="BodyText"/>
      </w:pPr>
    </w:p>
    <w:p w:rsidR="00000000" w:rsidRPr="00466C42" w:rsidP="00466C42"/>
    <w:sectPr w:rsidSect="00466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42" w:rsidRPr="00D92164" w:rsidP="00D92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64" w:rsidP="00466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2164" w:rsidP="00466C42">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2164" w:rsidP="00466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C42" w:rsidRPr="00D92164" w:rsidP="00D92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64" w:rsidRPr="002D2AF8" w:rsidP="00466C42">
    <w:pPr>
      <w:pStyle w:val="Header"/>
      <w:framePr w:wrap="around"/>
    </w:pPr>
    <w:r>
      <w:fldChar w:fldCharType="begin"/>
    </w:r>
    <w:r>
      <w:instrText xml:space="preserve"> TITLE   \* MERGEFORMAT </w:instrText>
    </w:r>
    <w:r>
      <w:fldChar w:fldCharType="separate"/>
    </w:r>
    <w:r>
      <w:t>UEENEEM046A Conduct detailed inspection of hazardous areas installations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D92164" w:rsidP="00466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62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01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6F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C42"/>
    <w:pPr>
      <w:spacing w:before="360" w:after="60"/>
      <w:outlineLvl w:val="0"/>
    </w:pPr>
    <w:rPr>
      <w:sz w:val="32"/>
    </w:rPr>
  </w:style>
  <w:style w:type="paragraph" w:styleId="Heading2">
    <w:name w:val="heading 2"/>
    <w:basedOn w:val="HeadingBase"/>
    <w:next w:val="BodyText"/>
    <w:link w:val="Heading2Char"/>
    <w:qFormat/>
    <w:rsid w:val="00466C42"/>
    <w:pPr>
      <w:keepLines/>
      <w:spacing w:before="240" w:after="120"/>
      <w:outlineLvl w:val="1"/>
    </w:pPr>
    <w:rPr>
      <w:sz w:val="28"/>
      <w:szCs w:val="40"/>
    </w:rPr>
  </w:style>
  <w:style w:type="paragraph" w:styleId="Heading3">
    <w:name w:val="heading 3"/>
    <w:basedOn w:val="HeadingBase"/>
    <w:next w:val="BodyText"/>
    <w:link w:val="Heading3Char"/>
    <w:qFormat/>
    <w:rsid w:val="00466C42"/>
    <w:pPr>
      <w:spacing w:before="180" w:after="120"/>
      <w:outlineLvl w:val="2"/>
    </w:pPr>
    <w:rPr>
      <w:spacing w:val="-10"/>
      <w:kern w:val="32"/>
    </w:rPr>
  </w:style>
  <w:style w:type="paragraph" w:styleId="Heading4">
    <w:name w:val="heading 4"/>
    <w:basedOn w:val="HeadingBase"/>
    <w:next w:val="BodyText"/>
    <w:link w:val="Heading4Char"/>
    <w:qFormat/>
    <w:rsid w:val="00466C42"/>
    <w:pPr>
      <w:spacing w:before="160" w:after="120"/>
      <w:outlineLvl w:val="3"/>
    </w:pPr>
    <w:rPr>
      <w:sz w:val="22"/>
    </w:rPr>
  </w:style>
  <w:style w:type="paragraph" w:styleId="Heading5">
    <w:name w:val="heading 5"/>
    <w:basedOn w:val="HeadingBase"/>
    <w:next w:val="Normal"/>
    <w:link w:val="Heading5Char"/>
    <w:qFormat/>
    <w:rsid w:val="00466C42"/>
    <w:pPr>
      <w:spacing w:before="80"/>
      <w:outlineLvl w:val="4"/>
    </w:pPr>
    <w:rPr>
      <w:color w:val="918585"/>
      <w:sz w:val="20"/>
    </w:rPr>
  </w:style>
  <w:style w:type="paragraph" w:styleId="Heading6">
    <w:name w:val="heading 6"/>
    <w:basedOn w:val="HeadingBase"/>
    <w:next w:val="Normal"/>
    <w:link w:val="Heading6Char"/>
    <w:qFormat/>
    <w:rsid w:val="00466C42"/>
    <w:pPr>
      <w:spacing w:before="60"/>
      <w:outlineLvl w:val="5"/>
    </w:pPr>
    <w:rPr>
      <w:color w:val="918585"/>
      <w:sz w:val="20"/>
    </w:rPr>
  </w:style>
  <w:style w:type="paragraph" w:styleId="Heading7">
    <w:name w:val="heading 7"/>
    <w:basedOn w:val="Normal"/>
    <w:next w:val="Normal"/>
    <w:link w:val="Heading7Char"/>
    <w:qFormat/>
    <w:rsid w:val="00466C42"/>
    <w:pPr>
      <w:ind w:left="720"/>
      <w:outlineLvl w:val="6"/>
    </w:pPr>
    <w:rPr>
      <w:i/>
    </w:rPr>
  </w:style>
  <w:style w:type="paragraph" w:styleId="Heading8">
    <w:name w:val="heading 8"/>
    <w:basedOn w:val="Normal"/>
    <w:next w:val="Normal"/>
    <w:link w:val="Heading8Char"/>
    <w:qFormat/>
    <w:rsid w:val="00466C42"/>
    <w:pPr>
      <w:ind w:left="720"/>
      <w:outlineLvl w:val="7"/>
    </w:pPr>
    <w:rPr>
      <w:i/>
    </w:rPr>
  </w:style>
  <w:style w:type="paragraph" w:styleId="Heading9">
    <w:name w:val="heading 9"/>
    <w:basedOn w:val="Normal"/>
    <w:next w:val="Normal"/>
    <w:link w:val="Heading9Char"/>
    <w:qFormat/>
    <w:rsid w:val="00466C42"/>
    <w:pPr>
      <w:ind w:left="720"/>
      <w:outlineLvl w:val="8"/>
    </w:pPr>
    <w:rPr>
      <w:i/>
    </w:rPr>
  </w:style>
  <w:style w:type="character" w:default="1" w:styleId="DefaultParagraphFont">
    <w:name w:val="Default Paragraph Font"/>
    <w:uiPriority w:val="1"/>
    <w:unhideWhenUsed/>
    <w:rsid w:val="00466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C42"/>
  </w:style>
  <w:style w:type="character" w:customStyle="1" w:styleId="Heading1Char">
    <w:name w:val="Heading 1 Char"/>
    <w:basedOn w:val="DefaultParagraphFont"/>
    <w:link w:val="Heading1"/>
    <w:rsid w:val="00466C42"/>
    <w:rPr>
      <w:rFonts w:ascii="Times New Roman" w:eastAsia="Times New Roman" w:hAnsi="Times New Roman" w:cs="Times New Roman"/>
      <w:b/>
      <w:sz w:val="32"/>
      <w:szCs w:val="20"/>
      <w:lang w:eastAsia="en-US"/>
    </w:rPr>
  </w:style>
  <w:style w:type="paragraph" w:styleId="BodyText">
    <w:name w:val="Body Text"/>
    <w:basedOn w:val="Normal"/>
    <w:link w:val="BodyTextChar"/>
    <w:rsid w:val="00466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C42"/>
    <w:rPr>
      <w:rFonts w:ascii="Times New Roman" w:eastAsia="Times New Roman" w:hAnsi="Times New Roman" w:cs="Times New Roman"/>
      <w:sz w:val="24"/>
      <w:lang w:eastAsia="en-US"/>
    </w:rPr>
  </w:style>
  <w:style w:type="paragraph" w:styleId="ListBullet">
    <w:name w:val="List Bullet"/>
    <w:basedOn w:val="List"/>
    <w:rsid w:val="00466C42"/>
    <w:pPr>
      <w:numPr>
        <w:numId w:val="13"/>
      </w:numPr>
      <w:tabs>
        <w:tab w:val="clear" w:pos="340"/>
      </w:tabs>
      <w:spacing w:before="40" w:after="40"/>
    </w:pPr>
  </w:style>
  <w:style w:type="character" w:customStyle="1" w:styleId="SpecialBold">
    <w:name w:val="Special Bold"/>
    <w:basedOn w:val="DefaultParagraphFont"/>
    <w:rsid w:val="00466C42"/>
    <w:rPr>
      <w:b/>
      <w:spacing w:val="0"/>
    </w:rPr>
  </w:style>
  <w:style w:type="paragraph" w:styleId="ListBullet2">
    <w:name w:val="List Bullet 2"/>
    <w:basedOn w:val="List2"/>
    <w:rsid w:val="00466C42"/>
    <w:pPr>
      <w:numPr>
        <w:numId w:val="14"/>
      </w:numPr>
      <w:tabs>
        <w:tab w:val="clear" w:pos="680"/>
      </w:tabs>
    </w:pPr>
  </w:style>
  <w:style w:type="character" w:styleId="Emphasis">
    <w:name w:val="Emphasis"/>
    <w:basedOn w:val="DefaultParagraphFont"/>
    <w:qFormat/>
    <w:rsid w:val="00466C42"/>
    <w:rPr>
      <w:i/>
    </w:rPr>
  </w:style>
  <w:style w:type="paragraph" w:customStyle="1" w:styleId="SuperHeading">
    <w:name w:val="SuperHeading"/>
    <w:basedOn w:val="Normal"/>
    <w:rsid w:val="00466C42"/>
    <w:pPr>
      <w:spacing w:before="240" w:after="120"/>
      <w:outlineLvl w:val="0"/>
    </w:pPr>
    <w:rPr>
      <w:rFonts w:ascii="Times New Roman" w:hAnsi="Times New Roman"/>
      <w:b/>
      <w:sz w:val="32"/>
    </w:rPr>
  </w:style>
  <w:style w:type="paragraph" w:customStyle="1" w:styleId="AllowPageBreak">
    <w:name w:val="AllowPageBreak"/>
    <w:rsid w:val="00466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C42"/>
    <w:rPr>
      <w:rFonts w:ascii="Courier New" w:eastAsia="Times New Roman" w:hAnsi="Courier New" w:cs="Times New Roman"/>
      <w:i/>
      <w:szCs w:val="20"/>
      <w:lang w:eastAsia="en-US"/>
    </w:rPr>
  </w:style>
  <w:style w:type="paragraph" w:customStyle="1" w:styleId="HeadingBase">
    <w:name w:val="Heading Base"/>
    <w:rsid w:val="00466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C42"/>
    <w:pPr>
      <w:tabs>
        <w:tab w:val="right" w:leader="dot" w:pos="9072"/>
      </w:tabs>
      <w:ind w:left="567"/>
    </w:pPr>
    <w:rPr>
      <w:szCs w:val="22"/>
    </w:rPr>
  </w:style>
  <w:style w:type="paragraph" w:customStyle="1" w:styleId="TOCBase">
    <w:name w:val="TOC Base"/>
    <w:rsid w:val="00466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C42"/>
    <w:pPr>
      <w:tabs>
        <w:tab w:val="right" w:leader="dot" w:pos="9072"/>
      </w:tabs>
      <w:spacing w:before="40" w:after="40"/>
      <w:ind w:left="284"/>
    </w:pPr>
    <w:rPr>
      <w:rFonts w:ascii="Times New Roman" w:hAnsi="Times New Roman"/>
    </w:rPr>
  </w:style>
  <w:style w:type="paragraph" w:styleId="TOC1">
    <w:name w:val="toc 1"/>
    <w:basedOn w:val="TOCBase"/>
    <w:next w:val="Normal"/>
    <w:rsid w:val="00466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C42"/>
    <w:rPr>
      <w:rFonts w:ascii="Times New Roman" w:eastAsia="Times New Roman" w:hAnsi="Times New Roman" w:cs="Times New Roman"/>
      <w:sz w:val="16"/>
      <w:lang w:eastAsia="en-US"/>
    </w:rPr>
  </w:style>
  <w:style w:type="paragraph" w:styleId="Title">
    <w:name w:val="Title"/>
    <w:basedOn w:val="HeadingBase"/>
    <w:link w:val="TitleChar"/>
    <w:qFormat/>
    <w:rsid w:val="00466C42"/>
    <w:pPr>
      <w:spacing w:before="5040"/>
      <w:jc w:val="center"/>
    </w:pPr>
    <w:rPr>
      <w:sz w:val="48"/>
      <w:szCs w:val="72"/>
      <w:lang w:val="en-US"/>
    </w:rPr>
  </w:style>
  <w:style w:type="character" w:customStyle="1" w:styleId="TitleChar">
    <w:name w:val="Title Char"/>
    <w:basedOn w:val="DefaultParagraphFont"/>
    <w:link w:val="Title"/>
    <w:rsid w:val="00466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C42"/>
    <w:pPr>
      <w:tabs>
        <w:tab w:val="left" w:pos="3600"/>
        <w:tab w:val="left" w:pos="3958"/>
      </w:tabs>
    </w:pPr>
  </w:style>
  <w:style w:type="paragraph" w:styleId="List">
    <w:name w:val="List"/>
    <w:basedOn w:val="BodyText"/>
    <w:next w:val="BodyText"/>
    <w:rsid w:val="00466C42"/>
    <w:pPr>
      <w:tabs>
        <w:tab w:val="left" w:pos="340"/>
      </w:tabs>
      <w:spacing w:before="60" w:after="60"/>
      <w:ind w:left="340" w:hanging="340"/>
    </w:pPr>
  </w:style>
  <w:style w:type="paragraph" w:customStyle="1" w:styleId="Note">
    <w:name w:val="Note"/>
    <w:basedOn w:val="BodyText"/>
    <w:rsid w:val="00466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C42"/>
    <w:pPr>
      <w:framePr w:wrap="auto" w:hAnchor="text" w:y="6049"/>
    </w:pPr>
    <w:rPr>
      <w:color w:val="000000"/>
      <w:sz w:val="40"/>
    </w:rPr>
  </w:style>
  <w:style w:type="paragraph" w:customStyle="1" w:styleId="TOCTitle">
    <w:name w:val="TOCTitle"/>
    <w:basedOn w:val="Heading1"/>
    <w:rsid w:val="00466C42"/>
    <w:pPr>
      <w:spacing w:after="240"/>
      <w:jc w:val="center"/>
      <w:outlineLvl w:val="9"/>
    </w:pPr>
    <w:rPr>
      <w:caps/>
    </w:rPr>
  </w:style>
  <w:style w:type="paragraph" w:customStyle="1" w:styleId="Version">
    <w:name w:val="Version"/>
    <w:rsid w:val="00466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C42"/>
    <w:pPr>
      <w:keepNext w:val="0"/>
      <w:tabs>
        <w:tab w:val="right" w:pos="4176"/>
      </w:tabs>
      <w:ind w:left="198" w:hanging="198"/>
    </w:pPr>
    <w:rPr>
      <w:rFonts w:ascii="Garamond" w:hAnsi="Garamond"/>
    </w:rPr>
  </w:style>
  <w:style w:type="paragraph" w:styleId="IndexHeading">
    <w:name w:val="index heading"/>
    <w:basedOn w:val="Normal"/>
    <w:next w:val="Index1"/>
    <w:semiHidden/>
    <w:rsid w:val="00466C42"/>
    <w:pPr>
      <w:spacing w:before="120" w:after="120"/>
    </w:pPr>
    <w:rPr>
      <w:rFonts w:ascii="Arial" w:hAnsi="Arial"/>
      <w:b/>
      <w:color w:val="918585"/>
      <w:sz w:val="24"/>
    </w:rPr>
  </w:style>
  <w:style w:type="paragraph" w:styleId="Header">
    <w:name w:val="header"/>
    <w:basedOn w:val="Normal"/>
    <w:link w:val="HeaderChar"/>
    <w:rsid w:val="00466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C42"/>
    <w:rPr>
      <w:rFonts w:ascii="Times New Roman" w:eastAsia="Times New Roman" w:hAnsi="Times New Roman" w:cs="Times New Roman"/>
      <w:sz w:val="16"/>
      <w:szCs w:val="20"/>
      <w:lang w:val="en-GB" w:eastAsia="en-US"/>
    </w:rPr>
  </w:style>
  <w:style w:type="paragraph" w:customStyle="1" w:styleId="Chapter">
    <w:name w:val="Chapter"/>
    <w:basedOn w:val="Normal"/>
    <w:rsid w:val="00466C42"/>
    <w:pPr>
      <w:spacing w:before="240"/>
    </w:pPr>
    <w:rPr>
      <w:rFonts w:ascii="Times New Roman" w:hAnsi="Times New Roman"/>
      <w:smallCaps/>
      <w:spacing w:val="80"/>
      <w:sz w:val="28"/>
    </w:rPr>
  </w:style>
  <w:style w:type="paragraph" w:customStyle="1" w:styleId="InChapter">
    <w:name w:val="InChapter"/>
    <w:basedOn w:val="Heading3"/>
    <w:rsid w:val="00466C42"/>
    <w:pPr>
      <w:spacing w:after="240"/>
      <w:outlineLvl w:val="9"/>
    </w:pPr>
    <w:rPr>
      <w:noProof/>
    </w:rPr>
  </w:style>
  <w:style w:type="paragraph" w:styleId="Index2">
    <w:name w:val="index 2"/>
    <w:basedOn w:val="Normal"/>
    <w:next w:val="Normal"/>
    <w:semiHidden/>
    <w:rsid w:val="00466C42"/>
    <w:pPr>
      <w:tabs>
        <w:tab w:val="right" w:pos="4176"/>
      </w:tabs>
      <w:ind w:left="568" w:hanging="284"/>
    </w:pPr>
    <w:rPr>
      <w:rFonts w:ascii="Garamond" w:hAnsi="Garamond"/>
    </w:rPr>
  </w:style>
  <w:style w:type="paragraph" w:customStyle="1" w:styleId="Byline">
    <w:name w:val="Byline"/>
    <w:rsid w:val="00466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C42"/>
    <w:pPr>
      <w:tabs>
        <w:tab w:val="clear" w:pos="3600"/>
        <w:tab w:val="clear" w:pos="3958"/>
      </w:tabs>
      <w:jc w:val="right"/>
    </w:pPr>
  </w:style>
  <w:style w:type="paragraph" w:styleId="Caption">
    <w:name w:val="caption"/>
    <w:basedOn w:val="BodyText"/>
    <w:next w:val="Normal"/>
    <w:qFormat/>
    <w:rsid w:val="00466C42"/>
    <w:pPr>
      <w:framePr w:w="2268" w:hSpace="181" w:vSpace="181" w:wrap="around" w:vAnchor="text" w:hAnchor="page" w:x="1135" w:y="285" w:anchorLock="1"/>
    </w:pPr>
    <w:rPr>
      <w:i/>
    </w:rPr>
  </w:style>
  <w:style w:type="paragraph" w:customStyle="1" w:styleId="MiniTOCTitle">
    <w:name w:val="MiniTOCTitle"/>
    <w:basedOn w:val="Heading4"/>
    <w:rsid w:val="00466C42"/>
    <w:pPr>
      <w:spacing w:before="240"/>
      <w:outlineLvl w:val="9"/>
    </w:pPr>
    <w:rPr>
      <w:noProof/>
      <w:sz w:val="24"/>
    </w:rPr>
  </w:style>
  <w:style w:type="paragraph" w:customStyle="1" w:styleId="MiniTOCItem">
    <w:name w:val="MiniTOCItem"/>
    <w:basedOn w:val="ListBullet"/>
    <w:rsid w:val="00466C42"/>
    <w:pPr>
      <w:numPr>
        <w:numId w:val="0"/>
      </w:numPr>
      <w:tabs>
        <w:tab w:val="right" w:leader="dot" w:pos="6521"/>
      </w:tabs>
      <w:spacing w:before="0" w:after="0"/>
    </w:pPr>
  </w:style>
  <w:style w:type="paragraph" w:customStyle="1" w:styleId="TOFTitle">
    <w:name w:val="TOFTitle"/>
    <w:basedOn w:val="TOCTitle"/>
    <w:rsid w:val="00466C42"/>
  </w:style>
  <w:style w:type="paragraph" w:styleId="TableofFigures">
    <w:name w:val="table of figures"/>
    <w:basedOn w:val="Normal"/>
    <w:next w:val="Normal"/>
    <w:semiHidden/>
    <w:rsid w:val="00466C42"/>
    <w:pPr>
      <w:tabs>
        <w:tab w:val="right" w:leader="dot" w:pos="9072"/>
      </w:tabs>
      <w:ind w:left="970" w:hanging="403"/>
    </w:pPr>
    <w:rPr>
      <w:rFonts w:ascii="Times New Roman" w:hAnsi="Times New Roman"/>
      <w:b/>
    </w:rPr>
  </w:style>
  <w:style w:type="paragraph" w:styleId="ListNumber">
    <w:name w:val="List Number"/>
    <w:basedOn w:val="List"/>
    <w:rsid w:val="00466C42"/>
    <w:pPr>
      <w:numPr>
        <w:numId w:val="11"/>
      </w:numPr>
    </w:pPr>
  </w:style>
  <w:style w:type="character" w:customStyle="1" w:styleId="WingdingSymbols">
    <w:name w:val="Wingding Symbols"/>
    <w:rsid w:val="00466C42"/>
    <w:rPr>
      <w:rFonts w:ascii="Wingdings" w:hAnsi="Wingdings"/>
    </w:rPr>
  </w:style>
  <w:style w:type="paragraph" w:customStyle="1" w:styleId="TableHeading">
    <w:name w:val="Table Heading"/>
    <w:basedOn w:val="HeadingBase"/>
    <w:rsid w:val="00466C42"/>
    <w:pPr>
      <w:keepLines/>
      <w:pBdr>
        <w:bottom w:val="single" w:sz="6" w:space="1" w:color="918585"/>
      </w:pBdr>
      <w:spacing w:before="240"/>
    </w:pPr>
  </w:style>
  <w:style w:type="character" w:customStyle="1" w:styleId="HotSpot">
    <w:name w:val="HotSpot"/>
    <w:rsid w:val="00466C42"/>
    <w:rPr>
      <w:color w:val="0033CC"/>
      <w:u w:val="none"/>
    </w:rPr>
  </w:style>
  <w:style w:type="paragraph" w:customStyle="1" w:styleId="BodyTextRight">
    <w:name w:val="Body Text Right"/>
    <w:basedOn w:val="BodyText"/>
    <w:rsid w:val="00466C42"/>
    <w:pPr>
      <w:spacing w:before="0" w:after="0"/>
      <w:jc w:val="right"/>
    </w:pPr>
  </w:style>
  <w:style w:type="paragraph" w:styleId="Index3">
    <w:name w:val="index 3"/>
    <w:basedOn w:val="ListNumber2"/>
    <w:next w:val="Normal"/>
    <w:semiHidden/>
    <w:rsid w:val="00466C42"/>
    <w:pPr>
      <w:numPr>
        <w:numId w:val="0"/>
      </w:numPr>
      <w:tabs>
        <w:tab w:val="right" w:leader="dot" w:pos="4176"/>
      </w:tabs>
    </w:pPr>
  </w:style>
  <w:style w:type="paragraph" w:styleId="ListNumber2">
    <w:name w:val="List Number 2"/>
    <w:basedOn w:val="List2"/>
    <w:rsid w:val="00466C42"/>
    <w:pPr>
      <w:numPr>
        <w:numId w:val="10"/>
      </w:numPr>
      <w:tabs>
        <w:tab w:val="clear" w:pos="1060"/>
      </w:tabs>
    </w:pPr>
  </w:style>
  <w:style w:type="paragraph" w:customStyle="1" w:styleId="MarginNote">
    <w:name w:val="Margin Note"/>
    <w:basedOn w:val="BodyText"/>
    <w:rsid w:val="00466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C42"/>
    <w:rPr>
      <w:sz w:val="32"/>
    </w:rPr>
  </w:style>
  <w:style w:type="paragraph" w:customStyle="1" w:styleId="HeadingProcedure">
    <w:name w:val="Heading Procedure"/>
    <w:basedOn w:val="HeadingBase"/>
    <w:next w:val="Normal"/>
    <w:rsid w:val="00466C42"/>
    <w:pPr>
      <w:tabs>
        <w:tab w:val="left" w:pos="0"/>
      </w:tabs>
      <w:spacing w:before="120" w:after="60"/>
    </w:pPr>
    <w:rPr>
      <w:i/>
      <w:color w:val="918585"/>
      <w:sz w:val="22"/>
    </w:rPr>
  </w:style>
  <w:style w:type="paragraph" w:customStyle="1" w:styleId="TableBodyText">
    <w:name w:val="Table Body Text"/>
    <w:basedOn w:val="BodyText"/>
    <w:rsid w:val="00466C42"/>
    <w:pPr>
      <w:spacing w:before="60" w:after="60"/>
    </w:pPr>
  </w:style>
  <w:style w:type="paragraph" w:styleId="ListContinue">
    <w:name w:val="List Continue"/>
    <w:basedOn w:val="List"/>
    <w:rsid w:val="00466C42"/>
    <w:pPr>
      <w:ind w:firstLine="0"/>
    </w:pPr>
  </w:style>
  <w:style w:type="paragraph" w:customStyle="1" w:styleId="ListNote">
    <w:name w:val="List Note"/>
    <w:basedOn w:val="List"/>
    <w:rsid w:val="00466C42"/>
    <w:pPr>
      <w:pBdr>
        <w:top w:val="single" w:sz="6" w:space="2" w:color="918585"/>
        <w:bottom w:val="single" w:sz="6" w:space="2" w:color="918585"/>
      </w:pBdr>
      <w:tabs>
        <w:tab w:val="left" w:pos="1021"/>
      </w:tabs>
      <w:ind w:firstLine="0"/>
    </w:pPr>
  </w:style>
  <w:style w:type="paragraph" w:customStyle="1" w:styleId="Warning">
    <w:name w:val="Warning"/>
    <w:basedOn w:val="BodyText"/>
    <w:rsid w:val="00466C42"/>
    <w:pPr>
      <w:shd w:val="clear" w:color="auto" w:fill="D9D9D9"/>
      <w:tabs>
        <w:tab w:val="left" w:pos="992"/>
      </w:tabs>
      <w:ind w:left="119" w:right="119"/>
    </w:pPr>
    <w:rPr>
      <w:sz w:val="20"/>
    </w:rPr>
  </w:style>
  <w:style w:type="paragraph" w:customStyle="1" w:styleId="MarginIcons">
    <w:name w:val="Margin Icons"/>
    <w:basedOn w:val="BodyText"/>
    <w:rsid w:val="00466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C42"/>
    <w:rPr>
      <w:rFonts w:ascii="Courier New" w:hAnsi="Courier New"/>
    </w:rPr>
  </w:style>
  <w:style w:type="paragraph" w:customStyle="1" w:styleId="NoteBullet">
    <w:name w:val="Note Bullet"/>
    <w:basedOn w:val="Note"/>
    <w:rsid w:val="00466C42"/>
    <w:pPr>
      <w:tabs>
        <w:tab w:val="clear" w:pos="680"/>
      </w:tabs>
      <w:spacing w:before="60" w:after="60"/>
    </w:pPr>
  </w:style>
  <w:style w:type="paragraph" w:customStyle="1" w:styleId="SubHeading2">
    <w:name w:val="SubHeading2"/>
    <w:basedOn w:val="HeadingBase"/>
    <w:rsid w:val="00466C42"/>
    <w:pPr>
      <w:spacing w:before="240" w:after="60"/>
    </w:pPr>
    <w:rPr>
      <w:sz w:val="20"/>
    </w:rPr>
  </w:style>
  <w:style w:type="paragraph" w:customStyle="1" w:styleId="SubHeading1">
    <w:name w:val="SubHeading1"/>
    <w:basedOn w:val="HeadingBase"/>
    <w:rsid w:val="00466C42"/>
    <w:pPr>
      <w:spacing w:before="240" w:after="60"/>
    </w:pPr>
    <w:rPr>
      <w:color w:val="918585"/>
      <w:sz w:val="22"/>
    </w:rPr>
  </w:style>
  <w:style w:type="paragraph" w:customStyle="1" w:styleId="SideHeading">
    <w:name w:val="Side Heading"/>
    <w:basedOn w:val="HeadingBase"/>
    <w:rsid w:val="00466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C42"/>
    <w:pPr>
      <w:numPr>
        <w:numId w:val="12"/>
      </w:numPr>
    </w:pPr>
  </w:style>
  <w:style w:type="paragraph" w:styleId="PlainText">
    <w:name w:val="Plain Text"/>
    <w:basedOn w:val="Normal"/>
    <w:link w:val="PlainTextChar"/>
    <w:rsid w:val="00466C42"/>
    <w:rPr>
      <w:sz w:val="20"/>
    </w:rPr>
  </w:style>
  <w:style w:type="character" w:customStyle="1" w:styleId="PlainTextChar">
    <w:name w:val="Plain Text Char"/>
    <w:basedOn w:val="DefaultParagraphFont"/>
    <w:link w:val="PlainText"/>
    <w:rsid w:val="00466C42"/>
    <w:rPr>
      <w:rFonts w:ascii="Courier New" w:eastAsia="Times New Roman" w:hAnsi="Courier New" w:cs="Times New Roman"/>
      <w:sz w:val="20"/>
      <w:szCs w:val="20"/>
      <w:lang w:eastAsia="en-US"/>
    </w:rPr>
  </w:style>
  <w:style w:type="character" w:customStyle="1" w:styleId="MenuOption">
    <w:name w:val="Menu Option"/>
    <w:basedOn w:val="DefaultParagraphFont"/>
    <w:rsid w:val="00466C42"/>
    <w:rPr>
      <w:b/>
      <w:smallCaps/>
    </w:rPr>
  </w:style>
  <w:style w:type="paragraph" w:customStyle="1" w:styleId="TableListNumber">
    <w:name w:val="Table List Number"/>
    <w:basedOn w:val="ListNumber"/>
    <w:rsid w:val="00466C42"/>
    <w:pPr>
      <w:numPr>
        <w:numId w:val="0"/>
      </w:numPr>
    </w:pPr>
  </w:style>
  <w:style w:type="paragraph" w:styleId="TOC4">
    <w:name w:val="toc 4"/>
    <w:basedOn w:val="TOCBase"/>
    <w:next w:val="Normal"/>
    <w:semiHidden/>
    <w:rsid w:val="00466C42"/>
    <w:pPr>
      <w:tabs>
        <w:tab w:val="right" w:leader="dot" w:pos="9071"/>
      </w:tabs>
      <w:ind w:left="1701"/>
    </w:pPr>
  </w:style>
  <w:style w:type="paragraph" w:customStyle="1" w:styleId="ListAlpha">
    <w:name w:val="List Alpha"/>
    <w:basedOn w:val="List"/>
    <w:rsid w:val="00466C42"/>
    <w:pPr>
      <w:numPr>
        <w:numId w:val="9"/>
      </w:numPr>
    </w:pPr>
  </w:style>
  <w:style w:type="paragraph" w:customStyle="1" w:styleId="ListAlpha2">
    <w:name w:val="List Alpha 2"/>
    <w:basedOn w:val="List2"/>
    <w:rsid w:val="00466C42"/>
    <w:pPr>
      <w:numPr>
        <w:numId w:val="8"/>
      </w:numPr>
    </w:pPr>
  </w:style>
  <w:style w:type="paragraph" w:styleId="List2">
    <w:name w:val="List 2"/>
    <w:basedOn w:val="BodyText"/>
    <w:rsid w:val="00466C42"/>
    <w:pPr>
      <w:tabs>
        <w:tab w:val="left" w:pos="680"/>
      </w:tabs>
      <w:spacing w:before="60" w:after="60"/>
      <w:ind w:left="680" w:hanging="340"/>
    </w:pPr>
  </w:style>
  <w:style w:type="paragraph" w:styleId="List3">
    <w:name w:val="List 3"/>
    <w:basedOn w:val="BodyText"/>
    <w:rsid w:val="00466C42"/>
    <w:pPr>
      <w:tabs>
        <w:tab w:val="left" w:pos="1021"/>
      </w:tabs>
      <w:spacing w:before="60" w:after="60"/>
      <w:ind w:left="1020" w:hanging="340"/>
    </w:pPr>
  </w:style>
  <w:style w:type="paragraph" w:styleId="List4">
    <w:name w:val="List 4"/>
    <w:basedOn w:val="BodyText"/>
    <w:rsid w:val="00466C42"/>
    <w:pPr>
      <w:tabs>
        <w:tab w:val="left" w:pos="1361"/>
      </w:tabs>
      <w:spacing w:before="60" w:after="60"/>
      <w:ind w:left="1361" w:hanging="340"/>
    </w:pPr>
  </w:style>
  <w:style w:type="paragraph" w:styleId="List5">
    <w:name w:val="List 5"/>
    <w:basedOn w:val="BodyText"/>
    <w:rsid w:val="00466C42"/>
    <w:pPr>
      <w:tabs>
        <w:tab w:val="left" w:pos="1701"/>
      </w:tabs>
      <w:spacing w:before="60" w:after="60"/>
      <w:ind w:left="1701" w:hanging="340"/>
    </w:pPr>
  </w:style>
  <w:style w:type="paragraph" w:styleId="ListBullet3">
    <w:name w:val="List Bullet 3"/>
    <w:basedOn w:val="List3"/>
    <w:rsid w:val="00466C42"/>
    <w:pPr>
      <w:numPr>
        <w:numId w:val="15"/>
      </w:numPr>
      <w:tabs>
        <w:tab w:val="clear" w:pos="1021"/>
      </w:tabs>
      <w:ind w:left="1037" w:hanging="357"/>
    </w:pPr>
  </w:style>
  <w:style w:type="paragraph" w:styleId="ListBullet4">
    <w:name w:val="List Bullet 4"/>
    <w:basedOn w:val="List4"/>
    <w:rsid w:val="00466C42"/>
    <w:pPr>
      <w:numPr>
        <w:numId w:val="3"/>
      </w:numPr>
      <w:tabs>
        <w:tab w:val="clear" w:pos="1361"/>
      </w:tabs>
    </w:pPr>
  </w:style>
  <w:style w:type="paragraph" w:styleId="ListBullet5">
    <w:name w:val="List Bullet 5"/>
    <w:basedOn w:val="List5"/>
    <w:rsid w:val="00466C42"/>
    <w:pPr>
      <w:numPr>
        <w:numId w:val="4"/>
      </w:numPr>
    </w:pPr>
  </w:style>
  <w:style w:type="paragraph" w:styleId="ListContinue2">
    <w:name w:val="List Continue 2"/>
    <w:basedOn w:val="List2"/>
    <w:rsid w:val="00466C42"/>
    <w:pPr>
      <w:ind w:firstLine="0"/>
    </w:pPr>
  </w:style>
  <w:style w:type="paragraph" w:styleId="ListContinue3">
    <w:name w:val="List Continue 3"/>
    <w:basedOn w:val="List3"/>
    <w:rsid w:val="00466C42"/>
    <w:pPr>
      <w:ind w:left="1021" w:firstLine="0"/>
    </w:pPr>
  </w:style>
  <w:style w:type="paragraph" w:styleId="ListContinue4">
    <w:name w:val="List Continue 4"/>
    <w:basedOn w:val="List4"/>
    <w:rsid w:val="00466C42"/>
    <w:pPr>
      <w:ind w:firstLine="0"/>
    </w:pPr>
  </w:style>
  <w:style w:type="paragraph" w:styleId="ListContinue5">
    <w:name w:val="List Continue 5"/>
    <w:basedOn w:val="List5"/>
    <w:rsid w:val="00466C42"/>
    <w:pPr>
      <w:ind w:firstLine="0"/>
    </w:pPr>
  </w:style>
  <w:style w:type="paragraph" w:styleId="ListNumber3">
    <w:name w:val="List Number 3"/>
    <w:basedOn w:val="List3"/>
    <w:rsid w:val="00466C42"/>
    <w:pPr>
      <w:numPr>
        <w:numId w:val="5"/>
      </w:numPr>
    </w:pPr>
  </w:style>
  <w:style w:type="paragraph" w:styleId="ListNumber4">
    <w:name w:val="List Number 4"/>
    <w:basedOn w:val="List4"/>
    <w:rsid w:val="00466C42"/>
    <w:pPr>
      <w:numPr>
        <w:numId w:val="6"/>
      </w:numPr>
    </w:pPr>
  </w:style>
  <w:style w:type="paragraph" w:styleId="ListNumber5">
    <w:name w:val="List Number 5"/>
    <w:basedOn w:val="List5"/>
    <w:rsid w:val="00466C42"/>
    <w:pPr>
      <w:numPr>
        <w:numId w:val="7"/>
      </w:numPr>
    </w:pPr>
  </w:style>
  <w:style w:type="paragraph" w:styleId="BlockText">
    <w:name w:val="Block Text"/>
    <w:basedOn w:val="Normal"/>
    <w:rsid w:val="00466C42"/>
    <w:pPr>
      <w:spacing w:after="120"/>
      <w:ind w:left="1440" w:right="1440"/>
    </w:pPr>
  </w:style>
  <w:style w:type="character" w:customStyle="1" w:styleId="Subscript">
    <w:name w:val="Subscript"/>
    <w:basedOn w:val="DefaultParagraphFont"/>
    <w:rsid w:val="00466C42"/>
    <w:rPr>
      <w:sz w:val="16"/>
      <w:vertAlign w:val="subscript"/>
    </w:rPr>
  </w:style>
  <w:style w:type="character" w:customStyle="1" w:styleId="Superscript">
    <w:name w:val="Superscript"/>
    <w:basedOn w:val="DefaultParagraphFont"/>
    <w:rsid w:val="00466C42"/>
    <w:rPr>
      <w:sz w:val="16"/>
      <w:vertAlign w:val="superscript"/>
    </w:rPr>
  </w:style>
  <w:style w:type="character" w:customStyle="1" w:styleId="Symbols">
    <w:name w:val="Symbols"/>
    <w:basedOn w:val="DefaultParagraphFont"/>
    <w:rsid w:val="00466C42"/>
    <w:rPr>
      <w:rFonts w:ascii="Symbol" w:hAnsi="Symbol"/>
    </w:rPr>
  </w:style>
  <w:style w:type="character" w:customStyle="1" w:styleId="MenuOptions">
    <w:name w:val="Menu Options"/>
    <w:basedOn w:val="DefaultParagraphFont"/>
    <w:rsid w:val="00466C42"/>
    <w:rPr>
      <w:rFonts w:ascii="Arial Narrow" w:hAnsi="Arial Narrow"/>
      <w:smallCaps/>
    </w:rPr>
  </w:style>
  <w:style w:type="character" w:customStyle="1" w:styleId="Buttons">
    <w:name w:val="Buttons"/>
    <w:basedOn w:val="DefaultParagraphFont"/>
    <w:rsid w:val="00466C42"/>
    <w:rPr>
      <w:b/>
    </w:rPr>
  </w:style>
  <w:style w:type="character" w:customStyle="1" w:styleId="Underlined">
    <w:name w:val="Underlined"/>
    <w:basedOn w:val="DefaultParagraphFont"/>
    <w:rsid w:val="00466C42"/>
    <w:rPr>
      <w:u w:val="single"/>
    </w:rPr>
  </w:style>
  <w:style w:type="paragraph" w:customStyle="1" w:styleId="TableBodyTextRight">
    <w:name w:val="Table Body Text Right"/>
    <w:basedOn w:val="TableBodyText"/>
    <w:rsid w:val="00466C42"/>
    <w:pPr>
      <w:widowControl w:val="0"/>
      <w:autoSpaceDE w:val="0"/>
      <w:autoSpaceDN w:val="0"/>
      <w:adjustRightInd w:val="0"/>
      <w:jc w:val="right"/>
    </w:pPr>
    <w:rPr>
      <w:rFonts w:cs="Arial"/>
      <w:szCs w:val="18"/>
    </w:rPr>
  </w:style>
  <w:style w:type="paragraph" w:customStyle="1" w:styleId="CopyrightText">
    <w:name w:val="Copyright Text"/>
    <w:basedOn w:val="BodyText"/>
    <w:rsid w:val="00466C42"/>
    <w:rPr>
      <w:sz w:val="18"/>
    </w:rPr>
  </w:style>
  <w:style w:type="paragraph" w:customStyle="1" w:styleId="BodySmallRight">
    <w:name w:val="Body Small Right"/>
    <w:basedOn w:val="BodyTextRight"/>
    <w:rsid w:val="00466C42"/>
    <w:rPr>
      <w:sz w:val="18"/>
      <w:szCs w:val="18"/>
    </w:rPr>
  </w:style>
  <w:style w:type="paragraph" w:customStyle="1" w:styleId="MarginEdition">
    <w:name w:val="Margin Edition"/>
    <w:basedOn w:val="MarginNote"/>
    <w:rsid w:val="00466C42"/>
    <w:pPr>
      <w:spacing w:before="0" w:after="0"/>
    </w:pPr>
    <w:rPr>
      <w:rFonts w:ascii="Times New Roman" w:hAnsi="Times New Roman"/>
      <w:color w:val="999999"/>
    </w:rPr>
  </w:style>
  <w:style w:type="paragraph" w:customStyle="1" w:styleId="Spacer">
    <w:name w:val="Spacer"/>
    <w:basedOn w:val="Normal"/>
    <w:rsid w:val="00466C42"/>
    <w:rPr>
      <w:sz w:val="2"/>
      <w:szCs w:val="2"/>
    </w:rPr>
  </w:style>
  <w:style w:type="character" w:customStyle="1" w:styleId="Small">
    <w:name w:val="Small"/>
    <w:basedOn w:val="DefaultParagraphFont"/>
    <w:rsid w:val="00466C42"/>
    <w:rPr>
      <w:sz w:val="16"/>
    </w:rPr>
  </w:style>
  <w:style w:type="paragraph" w:customStyle="1" w:styleId="WideTable">
    <w:name w:val="Wide Table"/>
    <w:basedOn w:val="Normal"/>
    <w:rsid w:val="00466C42"/>
    <w:pPr>
      <w:ind w:left="-1418"/>
    </w:pPr>
    <w:rPr>
      <w:sz w:val="2"/>
      <w:szCs w:val="2"/>
    </w:rPr>
  </w:style>
  <w:style w:type="character" w:styleId="PageNumber">
    <w:name w:val="page number"/>
    <w:basedOn w:val="DefaultParagraphFont"/>
    <w:rsid w:val="00466C42"/>
  </w:style>
  <w:style w:type="paragraph" w:styleId="Quote">
    <w:name w:val="Quote"/>
    <w:basedOn w:val="Heading1"/>
    <w:link w:val="QuoteChar"/>
    <w:qFormat/>
    <w:rsid w:val="00466C42"/>
    <w:rPr>
      <w:b w:val="0"/>
      <w:sz w:val="72"/>
      <w:szCs w:val="72"/>
      <w:lang w:val="en-NZ"/>
    </w:rPr>
  </w:style>
  <w:style w:type="character" w:customStyle="1" w:styleId="QuoteChar">
    <w:name w:val="Quote Char"/>
    <w:basedOn w:val="DefaultParagraphFont"/>
    <w:link w:val="Quote"/>
    <w:rsid w:val="00466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C42"/>
    <w:pPr>
      <w:pageBreakBefore/>
    </w:pPr>
  </w:style>
  <w:style w:type="paragraph" w:customStyle="1" w:styleId="Border">
    <w:name w:val="Border"/>
    <w:basedOn w:val="Normal"/>
    <w:qFormat/>
    <w:rsid w:val="00466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C42"/>
    <w:rPr>
      <w:b/>
      <w:bCs/>
      <w:i/>
      <w:iCs/>
      <w:color w:val="auto"/>
    </w:rPr>
  </w:style>
  <w:style w:type="paragraph" w:styleId="IntenseQuote">
    <w:name w:val="Intense Quote"/>
    <w:basedOn w:val="Normal"/>
    <w:next w:val="Normal"/>
    <w:link w:val="IntenseQuoteChar"/>
    <w:uiPriority w:val="30"/>
    <w:qFormat/>
    <w:rsid w:val="00466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C42"/>
    <w:rPr>
      <w:smallCaps/>
      <w:color w:val="auto"/>
      <w:u w:val="single"/>
    </w:rPr>
  </w:style>
  <w:style w:type="character" w:styleId="IntenseReference">
    <w:name w:val="Intense Reference"/>
    <w:basedOn w:val="DefaultParagraphFont"/>
    <w:uiPriority w:val="32"/>
    <w:qFormat/>
    <w:rsid w:val="00466C42"/>
    <w:rPr>
      <w:b/>
      <w:bCs/>
      <w:smallCaps/>
      <w:color w:val="auto"/>
      <w:spacing w:val="5"/>
      <w:u w:val="single"/>
    </w:rPr>
  </w:style>
  <w:style w:type="paragraph" w:customStyle="1" w:styleId="2ColumnHeading">
    <w:name w:val="2Column Heading"/>
    <w:basedOn w:val="BodyText"/>
    <w:qFormat/>
    <w:rsid w:val="00466C42"/>
    <w:pPr>
      <w:spacing w:after="60"/>
      <w:ind w:left="-2268"/>
    </w:pPr>
    <w:rPr>
      <w:b/>
    </w:rPr>
  </w:style>
  <w:style w:type="paragraph" w:customStyle="1" w:styleId="Heading1TOC">
    <w:name w:val="Heading1 TOC"/>
    <w:basedOn w:val="Normal"/>
    <w:qFormat/>
    <w:rsid w:val="00466C42"/>
    <w:pPr>
      <w:spacing w:before="240" w:after="120"/>
    </w:pPr>
    <w:rPr>
      <w:rFonts w:ascii="Times New Roman" w:hAnsi="Times New Roman"/>
      <w:b/>
      <w:sz w:val="32"/>
    </w:rPr>
  </w:style>
  <w:style w:type="paragraph" w:customStyle="1" w:styleId="Heading2TOC">
    <w:name w:val="Heading2 TOC"/>
    <w:basedOn w:val="Normal"/>
    <w:qFormat/>
    <w:rsid w:val="00466C42"/>
    <w:pPr>
      <w:spacing w:before="240" w:after="60"/>
    </w:pPr>
    <w:rPr>
      <w:rFonts w:ascii="Times New Roman" w:hAnsi="Times New Roman"/>
      <w:b/>
      <w:sz w:val="28"/>
    </w:rPr>
  </w:style>
  <w:style w:type="character" w:customStyle="1" w:styleId="Underline">
    <w:name w:val="Underline"/>
    <w:basedOn w:val="DefaultParagraphFont"/>
    <w:qFormat/>
    <w:rsid w:val="00466C42"/>
    <w:rPr>
      <w:u w:val="single"/>
    </w:rPr>
  </w:style>
  <w:style w:type="character" w:customStyle="1" w:styleId="BoldandItalics">
    <w:name w:val="Bold and Italics"/>
    <w:qFormat/>
    <w:rsid w:val="00466C42"/>
    <w:rPr>
      <w:b/>
      <w:i/>
      <w:u w:val="none"/>
    </w:rPr>
  </w:style>
  <w:style w:type="paragraph" w:styleId="BalloonText">
    <w:name w:val="Balloon Text"/>
    <w:basedOn w:val="Normal"/>
    <w:link w:val="BalloonTextChar"/>
    <w:rsid w:val="00466C42"/>
    <w:rPr>
      <w:rFonts w:ascii="Tahoma" w:hAnsi="Tahoma" w:cs="Tahoma"/>
      <w:sz w:val="16"/>
      <w:szCs w:val="16"/>
    </w:rPr>
  </w:style>
  <w:style w:type="character" w:customStyle="1" w:styleId="BalloonTextChar">
    <w:name w:val="Balloon Text Char"/>
    <w:basedOn w:val="DefaultParagraphFont"/>
    <w:link w:val="BalloonText"/>
    <w:rsid w:val="00466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C42"/>
    <w:rPr>
      <w:b/>
      <w:color w:val="660033"/>
      <w:spacing w:val="0"/>
    </w:rPr>
  </w:style>
  <w:style w:type="paragraph" w:customStyle="1" w:styleId="Nameditemlist">
    <w:name w:val="Named item list"/>
    <w:basedOn w:val="BodyText"/>
    <w:qFormat/>
    <w:rsid w:val="00466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3208</Words>
  <Characters>20328</Characters>
  <Application>Microsoft Office Word</Application>
  <DocSecurity>0</DocSecurity>
  <Lines>638</Lines>
  <Paragraphs>264</Paragraphs>
  <ScaleCrop>false</ScaleCrop>
  <Company>Author-it Software Corporation Ltd.</Company>
  <LinksUpToDate>false</LinksUpToDate>
  <CharactersWithSpaces>23368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UEENEEM046A Conduct detailed inspection of hazardous areas installations - pressurisation</dc:title>
  <dc:subject>Approved</dc:subject>
  <dc:creator>Australian Industry Standards</dc:creator>
  <cp:keywords>Release: 5</cp:keywords>
  <dc:description>Review Date: 12 April 2008</dc:description>
  <cp:lastModifiedBy>TPCMS</cp:lastModifiedBy>
  <cp:revision>3</cp:revision>
  <dcterms:created xsi:type="dcterms:W3CDTF">2017-06-15T23:44:00Z</dcterms:created>
  <dcterms:modified xsi:type="dcterms:W3CDTF">2017-06-15T23:44:00Z</dcterms:modified>
</cp:coreProperties>
</file>