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28F" w:rsidP="00FD028F">
      <w:pPr>
        <w:pStyle w:val="Title"/>
      </w:pPr>
      <w:r>
        <w:fldChar w:fldCharType="begin"/>
      </w:r>
      <w:r>
        <w:instrText xml:space="preserve"> TITLE   \* MERGEFORMAT </w:instrText>
      </w:r>
      <w:r>
        <w:fldChar w:fldCharType="separate"/>
      </w:r>
      <w:r>
        <w:t>UEENEEM030A Maintain equipment in hazardous areas - pressurisation</w:t>
      </w:r>
      <w:r>
        <w:fldChar w:fldCharType="end"/>
      </w:r>
    </w:p>
    <w:p w:rsidR="00FD028F" w:rsidP="00FD028F">
      <w:pPr>
        <w:pStyle w:val="Version"/>
        <w:sectPr w:rsidSect="00170D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70D47" w:rsidP="00170D47">
      <w:pPr>
        <w:pStyle w:val="SuperHeading"/>
      </w:pPr>
      <w:r w:rsidRPr="00170D47">
        <w:t>UEENEEM030A Maintain equipment in hazardous areas - pressurisation</w:t>
      </w:r>
    </w:p>
    <w:p w:rsidR="00000000" w:rsidRPr="00170D47" w:rsidP="00170D47">
      <w:pPr>
        <w:pStyle w:val="Heading1"/>
      </w:pPr>
      <w:bookmarkStart w:id="1" w:name="O_700320"/>
      <w:bookmarkEnd w:id="1"/>
      <w:r w:rsidRPr="00170D47">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D028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D47">
            <w:pPr>
              <w:pStyle w:val="BodyText"/>
              <w:rPr>
                <w:lang w:val="en-NZ"/>
              </w:rPr>
            </w:pPr>
            <w:r w:rsidRPr="00170D4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D47">
            <w:pPr>
              <w:pStyle w:val="BodyText"/>
              <w:rPr>
                <w:lang w:val="en-NZ"/>
              </w:rPr>
            </w:pPr>
            <w:r w:rsidRPr="00170D4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0D47" w:rsidP="00170D47">
            <w:pPr>
              <w:pStyle w:val="BodyText"/>
            </w:pPr>
            <w:r w:rsidRPr="00170D47">
              <w:t xml:space="preserve">Update recommended pre-requisite </w:t>
            </w:r>
          </w:p>
          <w:p w:rsidR="00000000" w:rsidP="00170D47">
            <w:pPr>
              <w:pStyle w:val="BodyText"/>
              <w:rPr>
                <w:lang w:val="en-NZ"/>
              </w:rPr>
            </w:pPr>
            <w:r w:rsidRPr="00170D47">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D47">
            <w:pPr>
              <w:pStyle w:val="BodyText"/>
              <w:rPr>
                <w:lang w:val="en-NZ"/>
              </w:rPr>
            </w:pPr>
          </w:p>
        </w:tc>
      </w:tr>
      <w:tr w:rsidTr="00FD028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D47">
            <w:pPr>
              <w:pStyle w:val="BodyText"/>
              <w:rPr>
                <w:lang w:val="en-NZ"/>
              </w:rPr>
            </w:pPr>
            <w:r w:rsidRPr="00170D4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D47">
            <w:pPr>
              <w:pStyle w:val="BodyText"/>
              <w:rPr>
                <w:lang w:val="en-NZ"/>
              </w:rPr>
            </w:pPr>
            <w:r w:rsidRPr="00170D4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47" w:rsidP="00170D47">
            <w:pPr>
              <w:pStyle w:val="BodyText"/>
            </w:pPr>
            <w:r w:rsidRPr="00170D47">
              <w:t xml:space="preserve">Update recommended pre-requisite </w:t>
            </w:r>
          </w:p>
          <w:p w:rsidR="00000000" w:rsidP="00170D47">
            <w:pPr>
              <w:pStyle w:val="BodyText"/>
              <w:rPr>
                <w:lang w:val="en-NZ"/>
              </w:rPr>
            </w:pPr>
            <w:r w:rsidRPr="00170D47">
              <w:t>UEENEEH118A</w:t>
            </w:r>
            <w:r w:rsidRPr="00170D47">
              <w:tab/>
              <w:t>Fault find and repair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D47">
            <w:pPr>
              <w:pStyle w:val="BodyText"/>
              <w:rPr>
                <w:lang w:val="en-NZ"/>
              </w:rPr>
            </w:pPr>
          </w:p>
        </w:tc>
      </w:tr>
      <w:tr w:rsidTr="00FD028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D47">
            <w:pPr>
              <w:pStyle w:val="BodyText"/>
              <w:rPr>
                <w:lang w:val="en-NZ"/>
              </w:rPr>
            </w:pPr>
            <w:r w:rsidRPr="00170D4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D47">
            <w:pPr>
              <w:pStyle w:val="BodyText"/>
              <w:rPr>
                <w:lang w:val="en-NZ"/>
              </w:rPr>
            </w:pPr>
            <w:r w:rsidRPr="00170D4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47" w:rsidP="00170D47">
            <w:pPr>
              <w:pStyle w:val="BodyText"/>
            </w:pPr>
            <w:r w:rsidRPr="00170D47">
              <w:t xml:space="preserve">Update recommended pre-requisite </w:t>
            </w:r>
          </w:p>
          <w:p w:rsidR="00000000" w:rsidP="00170D47">
            <w:pPr>
              <w:pStyle w:val="BodyText"/>
              <w:rPr>
                <w:lang w:val="en-NZ"/>
              </w:rPr>
            </w:pPr>
            <w:r w:rsidRPr="00170D47">
              <w:t>UEENEEI112A</w:t>
            </w:r>
            <w:r w:rsidRPr="00170D47">
              <w:tab/>
              <w:t>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D47">
            <w:pPr>
              <w:pStyle w:val="BodyText"/>
              <w:rPr>
                <w:lang w:val="en-NZ"/>
              </w:rPr>
            </w:pPr>
          </w:p>
        </w:tc>
      </w:tr>
      <w:tr w:rsidTr="00FD028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D47">
            <w:pPr>
              <w:pStyle w:val="BodyText"/>
              <w:rPr>
                <w:lang w:val="en-NZ"/>
              </w:rPr>
            </w:pPr>
            <w:r w:rsidRPr="00170D4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0D47">
            <w:pPr>
              <w:pStyle w:val="BodyText"/>
              <w:rPr>
                <w:lang w:val="en-NZ"/>
              </w:rPr>
            </w:pPr>
            <w:r w:rsidRPr="00170D4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47" w:rsidP="00170D47">
            <w:pPr>
              <w:pStyle w:val="BodyText"/>
            </w:pPr>
            <w:r w:rsidRPr="00170D47">
              <w:t xml:space="preserve">Update recommended pre-requisite </w:t>
            </w:r>
          </w:p>
          <w:p w:rsidR="00000000" w:rsidP="00170D47">
            <w:pPr>
              <w:pStyle w:val="BodyText"/>
              <w:rPr>
                <w:lang w:val="en-NZ"/>
              </w:rPr>
            </w:pPr>
            <w:r w:rsidRPr="00170D47">
              <w:t>UEENEEF111A</w:t>
            </w:r>
            <w:r w:rsidRPr="00170D47">
              <w:tab/>
              <w:t>Test, report and rectify faults in data and voice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0D47" w:rsidP="00170D47">
            <w:pPr>
              <w:pStyle w:val="BodyText"/>
            </w:pPr>
          </w:p>
        </w:tc>
      </w:tr>
    </w:tbl>
    <w:p w:rsidR="00000000" w:rsidRPr="00170D47" w:rsidP="00170D47">
      <w:pPr>
        <w:pStyle w:val="BodyText"/>
      </w:pPr>
    </w:p>
    <w:p w:rsidR="00000000" w:rsidRPr="00170D47" w:rsidP="00170D47">
      <w:pPr>
        <w:pStyle w:val="AllowPageBreak"/>
      </w:pPr>
    </w:p>
    <w:p w:rsidR="00000000" w:rsidRPr="00170D47" w:rsidP="00170D47">
      <w:pPr>
        <w:pStyle w:val="Heading1"/>
      </w:pPr>
      <w:bookmarkStart w:id="2" w:name="O_700319"/>
      <w:bookmarkEnd w:id="2"/>
      <w:r w:rsidRPr="00170D47">
        <w:t>Unit Descriptor</w:t>
      </w:r>
    </w:p>
    <w:tbl>
      <w:tblPr>
        <w:tblW w:w="0" w:type="auto"/>
        <w:tblLayout w:type="fixed"/>
        <w:tblCellMar>
          <w:left w:w="62" w:type="dxa"/>
          <w:right w:w="62" w:type="dxa"/>
        </w:tblCellMar>
        <w:tblLook w:val="0000"/>
      </w:tblPr>
      <w:tblGrid>
        <w:gridCol w:w="2698"/>
        <w:gridCol w:w="5762"/>
      </w:tblGrid>
      <w:tr w:rsidTr="00FD028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1</w:t>
            </w:r>
            <w:r w:rsidRPr="00170D47">
              <w:t xml:space="preserve">) </w:t>
            </w:r>
          </w:p>
          <w:p w:rsidR="00000000" w:rsidP="00170D47">
            <w:pPr>
              <w:pStyle w:val="BodyText"/>
              <w:rPr>
                <w:lang w:val="en-NZ"/>
              </w:rPr>
            </w:pPr>
            <w:r w:rsidRPr="00170D47">
              <w:rPr>
                <w:rStyle w:val="SpecialBold"/>
              </w:rPr>
              <w:t>1</w:t>
            </w:r>
            <w:r w:rsidRPr="00170D47">
              <w:t>.</w:t>
            </w:r>
            <w:r w:rsidRPr="00170D47">
              <w:rPr>
                <w:rStyle w:val="SpecialBold"/>
              </w:rPr>
              <w:t>1</w:t>
            </w:r>
            <w:r w:rsidRPr="00170D47">
              <w:t xml:space="preserve">) </w:t>
            </w:r>
            <w:r w:rsidRPr="00170D47">
              <w:rPr>
                <w:rStyle w:val="SpecialBold"/>
              </w:rPr>
              <w:t>Descriptor</w:t>
            </w:r>
          </w:p>
        </w:tc>
      </w:tr>
      <w:tr w:rsidTr="00FD028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This unit covers the explosion-protection aspects for maintaining explosion-protected and associated equipment and wiring systems. It requires the ability to follow a maintenance program, work safely, carry out maintenance to Standards and manufacturer ins</w:t>
            </w:r>
            <w:r w:rsidRPr="00170D47">
              <w:t>tructions and complete the necessary maintenance documentation.</w:t>
            </w:r>
          </w:p>
          <w:p w:rsidR="00000000" w:rsidRPr="00170D47" w:rsidP="00170D47">
            <w:pPr>
              <w:pStyle w:val="BodyText"/>
            </w:pPr>
            <w:r w:rsidRPr="00170D47">
              <w:t xml:space="preserve">This unit is directly equivalent to the Unit </w:t>
            </w:r>
            <w:r w:rsidRPr="00170D47">
              <w:rPr>
                <w:rStyle w:val="Emphasis"/>
              </w:rPr>
              <w:t>2</w:t>
            </w:r>
            <w:r w:rsidRPr="00170D47">
              <w:t>.</w:t>
            </w:r>
            <w:r w:rsidRPr="00170D47">
              <w:rPr>
                <w:rStyle w:val="Emphasis"/>
              </w:rPr>
              <w:t>7 Maintain equipment in hazardous areas</w:t>
            </w:r>
            <w:r w:rsidRPr="00170D47">
              <w:t xml:space="preserve"> in the Australian/New Zealand Standard </w:t>
            </w:r>
            <w:r w:rsidRPr="00170D47">
              <w:rPr>
                <w:rStyle w:val="Emphasis"/>
              </w:rPr>
              <w:t>AS</w:t>
            </w:r>
            <w:r w:rsidRPr="00170D47">
              <w:t>/</w:t>
            </w:r>
            <w:r w:rsidRPr="00170D47">
              <w:rPr>
                <w:rStyle w:val="Emphasis"/>
              </w:rPr>
              <w:t>NZS 4761</w:t>
            </w:r>
            <w:r w:rsidRPr="00170D47">
              <w:t>.</w:t>
            </w:r>
            <w:r w:rsidRPr="00170D47">
              <w:rPr>
                <w:rStyle w:val="Emphasis"/>
              </w:rPr>
              <w:t>1 Competencies for working with electrical equipment f</w:t>
            </w:r>
            <w:r w:rsidRPr="00170D47">
              <w:rPr>
                <w:rStyle w:val="Emphasis"/>
              </w:rPr>
              <w:t>or hazardous areas</w:t>
            </w:r>
            <w:r w:rsidRPr="00170D47">
              <w:t xml:space="preserve"> (</w:t>
            </w:r>
            <w:r w:rsidRPr="00170D47">
              <w:rPr>
                <w:rStyle w:val="Emphasis"/>
              </w:rPr>
              <w:t>EEHA</w:t>
            </w:r>
            <w:r w:rsidRPr="00170D47">
              <w:t xml:space="preserve">) </w:t>
            </w:r>
            <w:r w:rsidRPr="00170D47">
              <w:rPr>
                <w:rStyle w:val="Emphasis"/>
              </w:rPr>
              <w:t>Part 1</w:t>
            </w:r>
            <w:r w:rsidRPr="00170D47">
              <w:t xml:space="preserve">: </w:t>
            </w:r>
            <w:r w:rsidRPr="00170D47">
              <w:rPr>
                <w:rStyle w:val="Emphasis"/>
              </w:rPr>
              <w:t>Competency Standards</w:t>
            </w:r>
            <w:r w:rsidRPr="00170D47">
              <w:t>. Equivalence includes endorsement in the explosion-protection techniques listed in the Range statement of this unit.</w:t>
            </w:r>
          </w:p>
        </w:tc>
      </w:tr>
    </w:tbl>
    <w:p w:rsidR="00FD028F" w:rsidP="00170D47">
      <w:pPr>
        <w:pStyle w:val="BodyText"/>
      </w:pPr>
    </w:p>
    <w:p w:rsidR="00FD028F" w:rsidP="00170D47">
      <w:pPr>
        <w:pStyle w:val="BodyText"/>
      </w:pPr>
    </w:p>
    <w:p w:rsidR="00000000" w:rsidRPr="00170D47" w:rsidP="00170D47">
      <w:pPr>
        <w:pStyle w:val="Heading1"/>
      </w:pPr>
      <w:bookmarkStart w:id="3" w:name="O_700318"/>
      <w:bookmarkEnd w:id="3"/>
      <w:r w:rsidRPr="00170D47">
        <w:t>Application of the Unit</w:t>
      </w:r>
    </w:p>
    <w:tbl>
      <w:tblPr>
        <w:tblW w:w="0" w:type="auto"/>
        <w:tblLayout w:type="fixed"/>
        <w:tblCellMar>
          <w:left w:w="62" w:type="dxa"/>
          <w:right w:w="62" w:type="dxa"/>
        </w:tblCellMar>
        <w:tblLook w:val="0000"/>
      </w:tblPr>
      <w:tblGrid>
        <w:gridCol w:w="2698"/>
        <w:gridCol w:w="5762"/>
      </w:tblGrid>
      <w:tr w:rsidTr="00FD028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4</w:t>
            </w:r>
            <w:r w:rsidRPr="00170D47">
              <w:t>)</w:t>
            </w:r>
          </w:p>
        </w:tc>
      </w:tr>
      <w:tr w:rsidTr="00FD028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This unit a</w:t>
            </w:r>
            <w:r w:rsidRPr="00170D47">
              <w:t>ugments other formally-acquired competencies in a relevant industry and shall be used only in conjunction such competencies. It applies to electrical, instrumentation, electronics and data communication maintenance job functions at AQF 3 or higher. It is s</w:t>
            </w:r>
            <w:r w:rsidRPr="00170D47">
              <w:t>uitable for employment-based programs under an approved contract of training.</w:t>
            </w:r>
          </w:p>
          <w:p w:rsidR="00000000" w:rsidRPr="00170D47" w:rsidP="00170D47">
            <w:pPr>
              <w:pStyle w:val="BodyText"/>
            </w:pPr>
            <w:r w:rsidRPr="00170D47">
              <w:t>Note:</w:t>
            </w:r>
          </w:p>
          <w:p w:rsidR="00000000" w:rsidRPr="00170D47" w:rsidP="00170D47">
            <w:pPr>
              <w:pStyle w:val="BodyText"/>
            </w:pPr>
            <w:r w:rsidRPr="00170D47">
              <w:t>Examples of relevant industries include aviations, electrical installa</w:t>
            </w:r>
            <w:r w:rsidRPr="00170D47">
              <w:t>tion and maintenance, fuel storage and dispensing industrial process, instrumentation and control, marine, material handling and storage, mining, and petrochemical.</w:t>
            </w:r>
          </w:p>
        </w:tc>
      </w:tr>
    </w:tbl>
    <w:p w:rsidR="00FD028F" w:rsidP="00170D47">
      <w:pPr>
        <w:pStyle w:val="BodyText"/>
      </w:pPr>
    </w:p>
    <w:p w:rsidR="00FD028F" w:rsidP="00170D47">
      <w:pPr>
        <w:pStyle w:val="BodyText"/>
      </w:pPr>
    </w:p>
    <w:p w:rsidR="00000000" w:rsidRPr="00170D47" w:rsidP="00170D47">
      <w:pPr>
        <w:pStyle w:val="Heading1"/>
      </w:pPr>
      <w:bookmarkStart w:id="4" w:name="O_700317"/>
      <w:bookmarkEnd w:id="4"/>
      <w:r w:rsidRPr="00170D47">
        <w:t>Licensing/Regulatory Information</w:t>
      </w:r>
    </w:p>
    <w:tbl>
      <w:tblPr>
        <w:tblW w:w="0" w:type="auto"/>
        <w:tblLayout w:type="fixed"/>
        <w:tblCellMar>
          <w:left w:w="62" w:type="dxa"/>
          <w:right w:w="62" w:type="dxa"/>
        </w:tblCellMar>
        <w:tblLook w:val="0000"/>
      </w:tblPr>
      <w:tblGrid>
        <w:gridCol w:w="8460"/>
      </w:tblGrid>
      <w:tr w:rsidTr="00FD02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1</w:t>
            </w:r>
            <w:r w:rsidRPr="00170D47">
              <w:t>.</w:t>
            </w:r>
            <w:r w:rsidRPr="00170D47">
              <w:rPr>
                <w:rStyle w:val="SpecialBold"/>
              </w:rPr>
              <w:t>2</w:t>
            </w:r>
            <w:r w:rsidRPr="00170D47">
              <w:t xml:space="preserve">) </w:t>
            </w:r>
            <w:r w:rsidRPr="00170D47">
              <w:rPr>
                <w:rStyle w:val="SpecialBold"/>
              </w:rPr>
              <w:t>License to practice</w:t>
            </w:r>
          </w:p>
        </w:tc>
      </w:tr>
      <w:tr w:rsidTr="00FD02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The skills a</w:t>
            </w:r>
            <w:r w:rsidRPr="00170D47">
              <w:t>nd knowledge described in this unit require a license to practice in the workplace where plant and equipment operate at voltage above 50 V a.c. or 120 V d.c. Other conditions related to communications, electrical work, fire protection, gas work, high volta</w:t>
            </w:r>
            <w:r w:rsidRPr="00170D47">
              <w:t>ge work, refrigeration/air conditioning and security may apply in some jurisdictions subject to regulations. Practice in the workplace and during training is also subject to regulations directly related to occupational health and safety and where applicabl</w:t>
            </w:r>
            <w:r w:rsidRPr="00170D47">
              <w:t>e contracts of training such as apprenticeships.</w:t>
            </w:r>
          </w:p>
        </w:tc>
      </w:tr>
    </w:tbl>
    <w:p w:rsidR="00FD028F" w:rsidP="00170D47">
      <w:pPr>
        <w:pStyle w:val="BodyText"/>
      </w:pPr>
    </w:p>
    <w:p w:rsidR="00FD028F" w:rsidP="00170D47">
      <w:pPr>
        <w:pStyle w:val="BodyText"/>
      </w:pPr>
    </w:p>
    <w:p w:rsidR="00000000" w:rsidRPr="00170D47" w:rsidP="00170D47">
      <w:pPr>
        <w:pStyle w:val="Heading1"/>
      </w:pPr>
      <w:bookmarkStart w:id="5" w:name="O_700316"/>
      <w:bookmarkEnd w:id="5"/>
      <w:r w:rsidRPr="00170D47">
        <w:t>Pre-Requisites</w:t>
      </w:r>
    </w:p>
    <w:tbl>
      <w:tblPr>
        <w:tblW w:w="0" w:type="auto"/>
        <w:tblLayout w:type="fixed"/>
        <w:tblCellMar>
          <w:left w:w="62" w:type="dxa"/>
          <w:right w:w="62" w:type="dxa"/>
        </w:tblCellMar>
        <w:tblLook w:val="0000"/>
      </w:tblPr>
      <w:tblGrid>
        <w:gridCol w:w="2700"/>
        <w:gridCol w:w="1440"/>
        <w:gridCol w:w="4322"/>
      </w:tblGrid>
      <w:tr w:rsidTr="00FD02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 xml:space="preserve">2) </w:t>
            </w:r>
          </w:p>
        </w:tc>
      </w:tr>
      <w:tr w:rsidTr="00FD0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0D47">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2.1) Competencies</w:t>
            </w:r>
          </w:p>
        </w:tc>
      </w:tr>
      <w:tr w:rsidTr="00FD0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Granting c</w:t>
            </w:r>
            <w:r w:rsidRPr="00170D47">
              <w:t xml:space="preserve">ompetency in this unit shall be made after or concurrently with confirming competency in any one of </w:t>
            </w:r>
            <w:r w:rsidRPr="00170D47">
              <w:t>the following units.</w:t>
            </w:r>
          </w:p>
        </w:tc>
      </w:tr>
      <w:tr w:rsidTr="00FD0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UEENEEM080A</w:t>
            </w:r>
          </w:p>
        </w:tc>
        <w:tc>
          <w:tcPr>
            <w:tcW w:w="4322"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Report on the integrity of explosion-protected equipment in a hazardous area</w:t>
            </w:r>
          </w:p>
        </w:tc>
      </w:tr>
      <w:tr w:rsidTr="00FD0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AND</w:t>
            </w:r>
          </w:p>
        </w:tc>
        <w:tc>
          <w:tcPr>
            <w:tcW w:w="4322"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p>
        </w:tc>
      </w:tr>
      <w:tr w:rsidTr="00FD0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Competencies in maintenance of gen</w:t>
            </w:r>
            <w:r w:rsidRPr="00170D47">
              <w:t>eral low-voltage or extra-low voltage electrical/electronic equipment and wiring systems at AQF 3 or equivalent. Examples are (but not limited to):</w:t>
            </w:r>
          </w:p>
        </w:tc>
      </w:tr>
      <w:tr w:rsidTr="00FD0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UEENEEG105A</w:t>
            </w:r>
          </w:p>
        </w:tc>
        <w:tc>
          <w:tcPr>
            <w:tcW w:w="4322"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Verify compliance and functionality of general electrical installations</w:t>
            </w:r>
          </w:p>
        </w:tc>
      </w:tr>
      <w:tr w:rsidTr="00FD0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OR</w:t>
            </w:r>
          </w:p>
        </w:tc>
        <w:tc>
          <w:tcPr>
            <w:tcW w:w="4322"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p>
        </w:tc>
      </w:tr>
      <w:tr w:rsidTr="00FD0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UEENEEH118A</w:t>
            </w:r>
          </w:p>
        </w:tc>
        <w:tc>
          <w:tcPr>
            <w:tcW w:w="4322"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Fault find and repair electronic apparatus</w:t>
            </w:r>
          </w:p>
        </w:tc>
      </w:tr>
      <w:tr w:rsidTr="00FD0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UEENEEI112A</w:t>
            </w:r>
          </w:p>
        </w:tc>
        <w:tc>
          <w:tcPr>
            <w:tcW w:w="4322"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Verify compliance and functionality of instrumentation and control installations</w:t>
            </w:r>
          </w:p>
        </w:tc>
      </w:tr>
      <w:tr w:rsidTr="00FD0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UEENEEF111A</w:t>
            </w:r>
          </w:p>
        </w:tc>
        <w:tc>
          <w:tcPr>
            <w:tcW w:w="4322"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Test, report and rectify faults in data and voice installations</w:t>
            </w:r>
          </w:p>
        </w:tc>
      </w:tr>
    </w:tbl>
    <w:p w:rsidR="00000000" w:rsidRPr="00170D47" w:rsidP="00170D47">
      <w:pPr>
        <w:pStyle w:val="BodyText"/>
      </w:pPr>
    </w:p>
    <w:p w:rsidR="00000000" w:rsidRPr="00170D47" w:rsidP="00170D47">
      <w:pPr>
        <w:pStyle w:val="AllowPageBreak"/>
      </w:pPr>
    </w:p>
    <w:p w:rsidR="00000000" w:rsidRPr="00170D47" w:rsidP="00170D47">
      <w:pPr>
        <w:pStyle w:val="Heading1"/>
      </w:pPr>
      <w:bookmarkStart w:id="6" w:name="O_700315"/>
      <w:bookmarkEnd w:id="6"/>
      <w:r w:rsidRPr="00170D47">
        <w:t>Employability Skills Information</w:t>
      </w:r>
    </w:p>
    <w:tbl>
      <w:tblPr>
        <w:tblW w:w="0" w:type="auto"/>
        <w:tblLayout w:type="fixed"/>
        <w:tblCellMar>
          <w:left w:w="62" w:type="dxa"/>
          <w:right w:w="62" w:type="dxa"/>
        </w:tblCellMar>
        <w:tblLook w:val="0000"/>
      </w:tblPr>
      <w:tblGrid>
        <w:gridCol w:w="2698"/>
        <w:gridCol w:w="5762"/>
      </w:tblGrid>
      <w:tr w:rsidTr="00FD028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3</w:t>
            </w:r>
            <w:r w:rsidRPr="00170D47">
              <w:t>)</w:t>
            </w:r>
          </w:p>
          <w:p w:rsidR="00000000" w:rsidRPr="00170D47" w:rsidP="00170D47">
            <w:pPr>
              <w:pStyle w:val="BodyText"/>
            </w:pPr>
            <w:r w:rsidRPr="00170D47">
              <w:t>The required outcomes described in this unit of competency contain applicable facets of Employability Skills. The Employability Skills Summary of the qualification in which this unit of competency is</w:t>
            </w:r>
            <w:r w:rsidRPr="00170D47">
              <w:t xml:space="preserve"> packaged will assist in identifying Employability Skill requirements.</w:t>
            </w:r>
          </w:p>
        </w:tc>
      </w:tr>
    </w:tbl>
    <w:p w:rsidR="00FD028F" w:rsidP="00170D47">
      <w:pPr>
        <w:pStyle w:val="BodyText"/>
      </w:pPr>
    </w:p>
    <w:p w:rsidR="00FD028F" w:rsidP="00170D47">
      <w:pPr>
        <w:pStyle w:val="BodyText"/>
      </w:pPr>
    </w:p>
    <w:p w:rsidR="00000000" w:rsidRPr="00170D47" w:rsidP="00170D47">
      <w:pPr>
        <w:pStyle w:val="Heading1"/>
      </w:pPr>
      <w:bookmarkStart w:id="7" w:name="O_700314"/>
      <w:bookmarkEnd w:id="7"/>
      <w:r w:rsidRPr="00170D47">
        <w:t>Elements and Performance Criteria Pre-Content</w:t>
      </w:r>
    </w:p>
    <w:tbl>
      <w:tblPr>
        <w:tblW w:w="0" w:type="auto"/>
        <w:tblLayout w:type="fixed"/>
        <w:tblCellMar>
          <w:left w:w="62" w:type="dxa"/>
          <w:right w:w="62" w:type="dxa"/>
        </w:tblCellMar>
        <w:tblLook w:val="0000"/>
      </w:tblPr>
      <w:tblGrid>
        <w:gridCol w:w="2700"/>
        <w:gridCol w:w="5760"/>
      </w:tblGrid>
      <w:tr w:rsidTr="00FD0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6</w:t>
            </w:r>
            <w:r w:rsidRPr="00170D47">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Performance criteria describe the required per</w:t>
            </w:r>
            <w:r w:rsidRPr="00170D47">
              <w:t>formance needed to demonstrate achievement of the element. Assessment of performance is to be consistent with the evidence guide.</w:t>
            </w:r>
          </w:p>
        </w:tc>
      </w:tr>
    </w:tbl>
    <w:p w:rsidR="00000000" w:rsidRPr="00170D47" w:rsidP="00170D47">
      <w:pPr>
        <w:pStyle w:val="BodyText"/>
      </w:pPr>
    </w:p>
    <w:p w:rsidR="00000000" w:rsidRPr="00170D47" w:rsidP="00170D47">
      <w:pPr>
        <w:pStyle w:val="AllowPageBreak"/>
      </w:pPr>
    </w:p>
    <w:p w:rsidR="00000000" w:rsidRPr="00170D47" w:rsidP="00170D47">
      <w:pPr>
        <w:pStyle w:val="Heading1"/>
      </w:pPr>
      <w:bookmarkStart w:id="8" w:name="O_700313"/>
      <w:bookmarkEnd w:id="8"/>
      <w:r w:rsidRPr="00170D4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028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PERFORMANCE CRITERIA</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1</w:t>
            </w:r>
          </w:p>
        </w:tc>
        <w:tc>
          <w:tcPr>
            <w:tcW w:w="2296" w:type="dxa"/>
            <w:vMerge w:val="restart"/>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Prepare to carry out maintenance.</w:t>
            </w: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1.1</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OHS policies and procedures for preparing to work in a hazardous area are followed.</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1.2</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Area classification and details of explosion-protected equipment and wiring are ascertained from hazardous area layout drawings and equipment certification documents</w:t>
            </w:r>
            <w:r w:rsidRPr="00170D47">
              <w:t xml:space="preserve"> held in hazardous area verification dossier.</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1.3</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Extent of maintenance to be conducted is established from the maintenance schedule and reports held in hazardous area verification dossier.</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1.4</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Special tools, equipment and testing devices needed to carry out the maintenance work are obtained and checked for correct operation and safety.</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2</w:t>
            </w:r>
          </w:p>
        </w:tc>
        <w:tc>
          <w:tcPr>
            <w:tcW w:w="2296" w:type="dxa"/>
            <w:vMerge w:val="restart"/>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Carry out maintenance.</w:t>
            </w: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2.1</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 xml:space="preserve">OHS policies and procedures for working in a hazardous area are followed. </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2.2</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Work is carried out to plan schedule to ensure all items are correctly maintained.</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2.3</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 xml:space="preserve">Equipment is checked and tested in accordance with established procedures to determine whether it functions correctly, complies with approval </w:t>
            </w:r>
            <w:r w:rsidRPr="00170D47">
              <w:t>documentation and is not subject to deterioration or damage.</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2.4</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Equipment is adjusted or repaired within the limits permitted by the equipment certification and in accordance with manufacturer instructions.</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2.5</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Certification documentation for replac</w:t>
            </w:r>
            <w:r w:rsidRPr="00170D47">
              <w:t>ement equipment is sighted to ensure that it is identical to the equipment it replaces and is in accordance with the explosion-protection system design.</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2.6</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Circuits of equipment being withdrawn from service are terminated or isolated safely and in the manner approved for the classification of the area.</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2.7</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Flexible cables and cords are examined and removed from service if they are not in immediate use or a</w:t>
            </w:r>
            <w:r w:rsidRPr="00170D47">
              <w:t>re found to be defective or damaged.</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2.8</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Spare equipment, flexible cables and cords are maintained and suitably stored where they are not likely to suffer deterioration or damage.</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3</w:t>
            </w:r>
          </w:p>
        </w:tc>
        <w:tc>
          <w:tcPr>
            <w:tcW w:w="2296" w:type="dxa"/>
            <w:vMerge w:val="restart"/>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Complete maintenance work inspections and documentation.</w:t>
            </w: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3.1</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 xml:space="preserve">Detailed </w:t>
            </w:r>
            <w:r w:rsidRPr="00170D47">
              <w:t>inspection of explosion-protected equipment and systems subject to the maintenance work is arranged in accordance with established procedures and requirements.</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3.2</w:t>
            </w:r>
          </w:p>
        </w:tc>
        <w:tc>
          <w:tcPr>
            <w:tcW w:w="48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Results of inspections and maintenance activities are recorded in accordance with established procedures and requirements.</w:t>
            </w:r>
          </w:p>
        </w:tc>
      </w:tr>
      <w:tr w:rsidTr="00FD02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3.3</w:t>
            </w:r>
          </w:p>
        </w:tc>
        <w:tc>
          <w:tcPr>
            <w:tcW w:w="4860"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 xml:space="preserve">Appropriate personnel are notified of the completion of maintenance and details are documented in accordance with established </w:t>
            </w:r>
            <w:r w:rsidRPr="00170D47">
              <w:t>procedures and requirements.</w:t>
            </w:r>
          </w:p>
        </w:tc>
      </w:tr>
    </w:tbl>
    <w:p w:rsidR="00FD028F" w:rsidP="00170D47">
      <w:pPr>
        <w:pStyle w:val="BodyText"/>
      </w:pPr>
    </w:p>
    <w:p w:rsidR="00FD028F" w:rsidP="00170D47">
      <w:pPr>
        <w:pStyle w:val="BodyText"/>
      </w:pPr>
    </w:p>
    <w:p w:rsidR="00000000" w:rsidRPr="00170D47" w:rsidP="00170D47">
      <w:pPr>
        <w:pStyle w:val="Heading1"/>
      </w:pPr>
      <w:bookmarkStart w:id="9" w:name="O_700312"/>
      <w:bookmarkEnd w:id="9"/>
      <w:r w:rsidRPr="00170D47">
        <w:t>Required Skills and Knowledge</w:t>
      </w:r>
    </w:p>
    <w:tbl>
      <w:tblPr>
        <w:tblW w:w="0" w:type="auto"/>
        <w:tblLayout w:type="fixed"/>
        <w:tblCellMar>
          <w:left w:w="62" w:type="dxa"/>
          <w:right w:w="62" w:type="dxa"/>
        </w:tblCellMar>
        <w:tblLook w:val="0000"/>
      </w:tblPr>
      <w:tblGrid>
        <w:gridCol w:w="1710"/>
        <w:gridCol w:w="6750"/>
      </w:tblGrid>
      <w:tr w:rsidTr="00FD028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REQUIRED SKILLS AND KNOWLEDGE</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7)</w:t>
            </w:r>
            <w:r w:rsidRPr="00170D47">
              <w:t xml:space="preserve"> This describes the essential skills and knowledge and their level, required for this unit.</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Evidence shall show that knowledge has been acquired of safe working practices and installing and maintaining integrity of fixed gas detection equipment.</w:t>
            </w:r>
          </w:p>
          <w:p w:rsidR="00000000" w:rsidP="00170D47">
            <w:pPr>
              <w:pStyle w:val="BodyText"/>
              <w:rPr>
                <w:lang w:val="en-NZ"/>
              </w:rPr>
            </w:pPr>
            <w:r w:rsidRPr="00170D47">
              <w:t xml:space="preserve">All knowledge and skills detailed in this unit should be contextualised to current industry practices </w:t>
            </w:r>
            <w:r w:rsidRPr="00170D47">
              <w:t>and technologies.</w:t>
            </w:r>
          </w:p>
        </w:tc>
      </w:tr>
      <w:tr w:rsidTr="00FD028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KS01-EM030A</w:t>
            </w:r>
          </w:p>
        </w:tc>
        <w:tc>
          <w:tcPr>
            <w:tcW w:w="675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Explosion protection installation and maintenance requirements</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Evidence shall show an understanding of explosion protection installation and maintenance requirements to an extent indicated by the following aspects:</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T1</w:t>
            </w:r>
            <w:r w:rsidRPr="00170D47">
              <w:tab/>
              <w:t>Exp</w:t>
            </w:r>
            <w:r w:rsidRPr="00170D47">
              <w:t>losion-protection equipment — Ex certification schemes encompassing:</w:t>
            </w:r>
          </w:p>
          <w:p w:rsidR="00000000" w:rsidRPr="00170D47" w:rsidP="00170D47">
            <w:pPr>
              <w:pStyle w:val="ListBullet2"/>
            </w:pPr>
            <w:r w:rsidRPr="00170D47">
              <w:t>Purpose and scope of certification schemes.</w:t>
            </w:r>
          </w:p>
          <w:p w:rsidR="00000000" w:rsidRPr="00170D47" w:rsidP="00170D47">
            <w:pPr>
              <w:pStyle w:val="ListBullet2"/>
            </w:pPr>
            <w:r w:rsidRPr="00170D47">
              <w:t>Schemes accepted in Australia and New Zealand.</w:t>
            </w:r>
          </w:p>
          <w:p w:rsidR="00000000" w:rsidRPr="00170D47" w:rsidP="00170D47">
            <w:pPr>
              <w:pStyle w:val="ListBullet2"/>
            </w:pPr>
            <w:r w:rsidRPr="00170D47">
              <w:t>Schemes commonly used in countries other than Australia and New Zealand.</w:t>
            </w:r>
          </w:p>
          <w:p w:rsidR="00000000" w:rsidP="00170D47">
            <w:pPr>
              <w:pStyle w:val="ListBullet2"/>
              <w:rPr>
                <w:lang w:val="en-NZ"/>
              </w:rPr>
            </w:pPr>
            <w:r w:rsidRPr="00170D47">
              <w:t>Processes for having equipment certified under the acceptable Ex schemes — scheme procedures; quality management requirements; conformance testing and assessment; and requirements for ongoing certification.</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T2</w:t>
            </w:r>
            <w:r w:rsidRPr="00170D47">
              <w:tab/>
              <w:t>Flameproof (Ex ‘d’) explosion-protection tec</w:t>
            </w:r>
            <w:r w:rsidRPr="00170D47">
              <w:t>hnique encompassing:</w:t>
            </w:r>
          </w:p>
          <w:p w:rsidR="00000000" w:rsidRPr="00170D47" w:rsidP="00170D47">
            <w:pPr>
              <w:pStyle w:val="ListBullet2"/>
            </w:pPr>
            <w:r w:rsidRPr="00170D47">
              <w:t>The purpose and characteristics of the design features of apparatus and circuits protected by the flameproof (Ex ‘d’) technique. (Examples of characteristics and design features are flame paths, integrity under pressure, pressure pili</w:t>
            </w:r>
            <w:r w:rsidRPr="00170D47">
              <w:t>ng, and enclosure entries).</w:t>
            </w:r>
          </w:p>
          <w:p w:rsidR="00000000" w:rsidRPr="00170D47" w:rsidP="00170D47">
            <w:pPr>
              <w:pStyle w:val="ListBullet2"/>
            </w:pPr>
            <w:r w:rsidRPr="00170D47">
              <w:t>Typical situations where the flameproof explosion-protection technique is used;</w:t>
            </w:r>
          </w:p>
          <w:p w:rsidR="00000000" w:rsidRPr="00170D47" w:rsidP="00170D47">
            <w:pPr>
              <w:pStyle w:val="ListBullet2"/>
            </w:pPr>
            <w:r w:rsidRPr="00170D47">
              <w:t xml:space="preserve">Actions or conditions that would void the protection provided the Flameproof technique; </w:t>
            </w:r>
          </w:p>
          <w:p w:rsidR="00000000" w:rsidP="00170D47">
            <w:pPr>
              <w:pStyle w:val="ListBullet2"/>
              <w:rPr>
                <w:lang w:val="en-NZ"/>
              </w:rPr>
            </w:pPr>
            <w:r w:rsidRPr="00170D47">
              <w:t>The use of Standards in determining the requirements to whi</w:t>
            </w:r>
            <w:r w:rsidRPr="00170D47">
              <w:t>ch the installation of flameproof explosion-protected apparatus shall comply.</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T3</w:t>
            </w:r>
            <w:r w:rsidRPr="00170D47">
              <w:tab/>
              <w:t>Increased safety (Ex ‘e’) explosion-protection technique encompassing:</w:t>
            </w:r>
          </w:p>
          <w:p w:rsidR="00000000" w:rsidRPr="00170D47" w:rsidP="00170D47">
            <w:pPr>
              <w:pStyle w:val="ListBullet2"/>
            </w:pPr>
            <w:r w:rsidRPr="00170D47">
              <w:t>The purpose and characteristics of the design features of apparatus and circuits protected by the Inc</w:t>
            </w:r>
            <w:r w:rsidRPr="00170D47">
              <w:t>reased safety (Ex ‘e’) technique (Examples of characteristics and design features are temperature rise, maximum power dissipation, protection devices, certified components, creepage and clearance distances, absence of sparking contacts and enclosure entrie</w:t>
            </w:r>
            <w:r w:rsidRPr="00170D47">
              <w:t>s).</w:t>
            </w:r>
          </w:p>
          <w:p w:rsidR="00000000" w:rsidRPr="00170D47" w:rsidP="00170D47">
            <w:pPr>
              <w:pStyle w:val="ListBullet2"/>
            </w:pPr>
            <w:r w:rsidRPr="00170D47">
              <w:t>Typical situations where the Increased safety explosion-protection technique is used;</w:t>
            </w:r>
          </w:p>
          <w:p w:rsidR="00000000" w:rsidRPr="00170D47" w:rsidP="00170D47">
            <w:pPr>
              <w:pStyle w:val="ListBullet2"/>
            </w:pPr>
            <w:r w:rsidRPr="00170D47">
              <w:t xml:space="preserve">Actions or conditions that would void the protection provided the Increased safety technique; </w:t>
            </w:r>
          </w:p>
          <w:p w:rsidR="00000000" w:rsidP="00170D47">
            <w:pPr>
              <w:pStyle w:val="ListBullet2"/>
              <w:rPr>
                <w:lang w:val="en-NZ"/>
              </w:rPr>
            </w:pPr>
            <w:r w:rsidRPr="00170D47">
              <w:t>The use of Standards in determining the requirements to which the installation of Increased safety explosion-protected apparatus shall comply.</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T4</w:t>
            </w:r>
            <w:r w:rsidRPr="00170D47">
              <w:tab/>
              <w:t>Non-sparking (Ex ‘n’) explosion-protection technique encompassing:</w:t>
            </w:r>
          </w:p>
          <w:p w:rsidR="00000000" w:rsidRPr="00170D47" w:rsidP="00170D47">
            <w:pPr>
              <w:pStyle w:val="ListBullet2"/>
            </w:pPr>
            <w:r w:rsidRPr="00170D47">
              <w:t>The purpose and characteristics of the d</w:t>
            </w:r>
            <w:r w:rsidRPr="00170D47">
              <w:t>esign features of apparatus and circuits protected by the Non-sparking (Ex ‘n’) technique (Examples of characteristics and design features are creepage and clearance distances and restricted breathing).</w:t>
            </w:r>
          </w:p>
          <w:p w:rsidR="00000000" w:rsidRPr="00170D47" w:rsidP="00170D47">
            <w:pPr>
              <w:pStyle w:val="ListBullet2"/>
            </w:pPr>
            <w:r w:rsidRPr="00170D47">
              <w:t>Typical situations where the Non-sparking explosion-p</w:t>
            </w:r>
            <w:r w:rsidRPr="00170D47">
              <w:t>rotection technique is used;</w:t>
            </w:r>
          </w:p>
          <w:p w:rsidR="00000000" w:rsidRPr="00170D47" w:rsidP="00170D47">
            <w:pPr>
              <w:pStyle w:val="ListBullet2"/>
            </w:pPr>
            <w:r w:rsidRPr="00170D47">
              <w:t>Actions or conditions that would void the protection provided the Non-sparking technique; and</w:t>
            </w:r>
          </w:p>
          <w:p w:rsidR="00000000" w:rsidP="00170D47">
            <w:pPr>
              <w:pStyle w:val="ListBullet2"/>
              <w:rPr>
                <w:lang w:val="en-NZ"/>
              </w:rPr>
            </w:pPr>
            <w:r w:rsidRPr="00170D47">
              <w:t>The use of Standards in determining the requirements to which the installation of Non-sparking explosion-protected apparatus shall co</w:t>
            </w:r>
            <w:r w:rsidRPr="00170D47">
              <w:t>mply.</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T5</w:t>
            </w:r>
            <w:r w:rsidRPr="00170D47">
              <w:tab/>
              <w:t>Intrinsic safety (Ex ‘i’) explosion-protection technique encompassing:</w:t>
            </w:r>
          </w:p>
          <w:p w:rsidR="00000000" w:rsidRPr="00170D47" w:rsidP="00170D47">
            <w:pPr>
              <w:pStyle w:val="ListBullet2"/>
            </w:pPr>
            <w:r w:rsidRPr="00170D47">
              <w:t>The purpose and characteristics of the design features of apparatus and circuits protected by the Intrinsic safety (Ex ‘i’) technique (Examples of characteristics and design</w:t>
            </w:r>
            <w:r w:rsidRPr="00170D47">
              <w:t xml:space="preserve"> features are field devices, cables, safe area devices, earthing, entity versus integrated system concept, simple devices and interface devices and their parameters, segregation, infallible components, current and voltage limiting, creepage and clearance d</w:t>
            </w:r>
            <w:r w:rsidRPr="00170D47">
              <w:t>istances).</w:t>
            </w:r>
          </w:p>
          <w:p w:rsidR="00000000" w:rsidRPr="00170D47" w:rsidP="00170D47">
            <w:pPr>
              <w:pStyle w:val="ListBullet2"/>
            </w:pPr>
            <w:r w:rsidRPr="00170D47">
              <w:t>Typical situations where the Intrinsic safety explosion-protection technique is used;</w:t>
            </w:r>
          </w:p>
          <w:p w:rsidR="00000000" w:rsidRPr="00170D47" w:rsidP="00170D47">
            <w:pPr>
              <w:pStyle w:val="ListBullet2"/>
            </w:pPr>
            <w:r w:rsidRPr="00170D47">
              <w:t xml:space="preserve">Actions or conditions that would void the protection provided the Intrinsic safety; </w:t>
            </w:r>
          </w:p>
          <w:p w:rsidR="00000000" w:rsidP="00170D47">
            <w:pPr>
              <w:pStyle w:val="ListBullet2"/>
              <w:rPr>
                <w:lang w:val="en-NZ"/>
              </w:rPr>
            </w:pPr>
            <w:r w:rsidRPr="00170D47">
              <w:t>The use of Standards in determining the requirements to which the installation of Intrinsic safety explosion-protected apparatus shall comply.</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T6</w:t>
            </w:r>
            <w:r w:rsidRPr="00170D47">
              <w:tab/>
              <w:t>Pressurization (Ex ‘p’) explosion-protection technique encompassing:</w:t>
            </w:r>
          </w:p>
          <w:p w:rsidR="00000000" w:rsidRPr="00170D47" w:rsidP="00170D47">
            <w:pPr>
              <w:pStyle w:val="ListBullet2"/>
            </w:pPr>
            <w:r w:rsidRPr="00170D47">
              <w:t>The purpose and characteristics of the</w:t>
            </w:r>
            <w:r w:rsidRPr="00170D47">
              <w:t xml:space="preserve"> design features of apparatus and circuits protected by the Pressurization (Ex ‘p’) technique (Examples of characteristics and design features are exclusion and dilution; purge periods, controlled shut down, monitoring and sources of internal release).</w:t>
            </w:r>
          </w:p>
          <w:p w:rsidR="00000000" w:rsidRPr="00170D47" w:rsidP="00170D47">
            <w:pPr>
              <w:pStyle w:val="ListBullet2"/>
            </w:pPr>
            <w:r w:rsidRPr="00170D47">
              <w:t>Typ</w:t>
            </w:r>
            <w:r w:rsidRPr="00170D47">
              <w:t>ical situations where the pressurization explosion-protection technique is used;</w:t>
            </w:r>
          </w:p>
          <w:p w:rsidR="00000000" w:rsidRPr="00170D47" w:rsidP="00170D47">
            <w:pPr>
              <w:pStyle w:val="ListBullet2"/>
            </w:pPr>
            <w:r w:rsidRPr="00170D47">
              <w:t>Actions or conditions that would void the protection provided the pressurization technique;</w:t>
            </w:r>
          </w:p>
          <w:p w:rsidR="00000000" w:rsidP="00170D47">
            <w:pPr>
              <w:pStyle w:val="ListBullet2"/>
              <w:rPr>
                <w:lang w:val="en-NZ"/>
              </w:rPr>
            </w:pPr>
            <w:r w:rsidRPr="00170D47">
              <w:t>The use of Standards in determining the requirements to which the installation of p</w:t>
            </w:r>
            <w:r w:rsidRPr="00170D47">
              <w:t>ressurization explosion-protected apparatus shall comply.</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T7</w:t>
            </w:r>
            <w:r w:rsidRPr="00170D47">
              <w:tab/>
              <w:t>Enclosures for dusts (Ex ‘tD’) - explosion-protection technique encompassing:</w:t>
            </w:r>
          </w:p>
          <w:p w:rsidR="00000000" w:rsidRPr="00170D47" w:rsidP="00170D47">
            <w:pPr>
              <w:pStyle w:val="ListBullet2"/>
            </w:pPr>
            <w:r w:rsidRPr="00170D47">
              <w:t>The purpose and characteristics of the design features of apparatus and circuits protected by the techniques for d</w:t>
            </w:r>
            <w:r w:rsidRPr="00170D47">
              <w:t>usts (Examples of characteristics and design features are for enclosures; pressurization; encapsulation; and intrinsic safety).</w:t>
            </w:r>
          </w:p>
          <w:p w:rsidR="00000000" w:rsidRPr="00170D47" w:rsidP="00170D47">
            <w:pPr>
              <w:pStyle w:val="ListBullet2"/>
            </w:pPr>
            <w:r w:rsidRPr="00170D47">
              <w:t>Typical situations where the each dust explosion-protection technique is used;</w:t>
            </w:r>
          </w:p>
          <w:p w:rsidR="00000000" w:rsidRPr="00170D47" w:rsidP="00170D47">
            <w:pPr>
              <w:pStyle w:val="ListBullet2"/>
            </w:pPr>
            <w:r w:rsidRPr="00170D47">
              <w:t>Actions</w:t>
            </w:r>
            <w:r w:rsidRPr="00170D47">
              <w:t xml:space="preserve"> or conditions that would void the protection provided the each dust technique; </w:t>
            </w:r>
          </w:p>
          <w:p w:rsidR="00000000" w:rsidP="00170D47">
            <w:pPr>
              <w:pStyle w:val="ListBullet2"/>
              <w:rPr>
                <w:lang w:val="en-NZ"/>
              </w:rPr>
            </w:pPr>
            <w:r w:rsidRPr="00170D47">
              <w:t>The use of Standards in determining the requirements to which the installation of dust explosion-protected apparatus shall comply.</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T8</w:t>
            </w:r>
            <w:r w:rsidRPr="00170D47">
              <w:tab/>
              <w:t>Common characteristics of explosion-pro</w:t>
            </w:r>
            <w:r w:rsidRPr="00170D47">
              <w:t>tection techniques encompassing:</w:t>
            </w:r>
          </w:p>
          <w:p w:rsidR="00000000" w:rsidRPr="00170D47" w:rsidP="00170D47">
            <w:pPr>
              <w:pStyle w:val="ListBullet2"/>
            </w:pPr>
            <w:r w:rsidRPr="00170D47">
              <w:t>The purposes of ‘temperature classification’ and ‘gas grouping/apparatus grouping’.</w:t>
            </w:r>
          </w:p>
          <w:p w:rsidR="00000000" w:rsidRPr="00170D47" w:rsidP="00170D47">
            <w:pPr>
              <w:pStyle w:val="ListBullet2"/>
            </w:pPr>
            <w:r w:rsidRPr="00170D47">
              <w:t>Compliance plate markings.</w:t>
            </w:r>
          </w:p>
          <w:p w:rsidR="00000000" w:rsidRPr="00170D47" w:rsidP="00170D47">
            <w:pPr>
              <w:pStyle w:val="ListBullet2"/>
            </w:pPr>
            <w:r w:rsidRPr="00170D47">
              <w:t>Limitations of non-metallic or specific alloy enclosures.</w:t>
            </w:r>
          </w:p>
          <w:p w:rsidR="00000000" w:rsidRPr="00170D47" w:rsidP="00170D47">
            <w:pPr>
              <w:pStyle w:val="ListBullet2"/>
            </w:pPr>
            <w:r w:rsidRPr="00170D47">
              <w:t xml:space="preserve">The purpose of conformity and certification/approval </w:t>
            </w:r>
            <w:r w:rsidRPr="00170D47">
              <w:t>for equipment used in hazardous areas.</w:t>
            </w:r>
          </w:p>
          <w:p w:rsidR="00000000" w:rsidRPr="00170D47" w:rsidP="00170D47">
            <w:pPr>
              <w:pStyle w:val="ListBullet2"/>
            </w:pPr>
            <w:r w:rsidRPr="00170D47">
              <w:t>Environmental conditions that may impact on explosion-protection techniques.</w:t>
            </w:r>
          </w:p>
          <w:p w:rsidR="00000000" w:rsidRPr="00170D47" w:rsidP="00170D47">
            <w:pPr>
              <w:pStyle w:val="ListBullet2"/>
            </w:pPr>
            <w:r w:rsidRPr="00170D47">
              <w:t>The principles and applications of other and mixed explosion-protection techniques (Other techniques include encapsulation Ex ‘m’; oil-immer</w:t>
            </w:r>
            <w:r w:rsidRPr="00170D47">
              <w:t>sion Ex ‘o’; powder-filling Ex ‘q’, ventilation Ex ‘v’ and special protection Ex ‘s’).</w:t>
            </w:r>
          </w:p>
          <w:p w:rsidR="00000000" w:rsidP="00170D47">
            <w:pPr>
              <w:pStyle w:val="ListBullet2"/>
              <w:rPr>
                <w:lang w:val="en-NZ"/>
              </w:rPr>
            </w:pPr>
            <w:r w:rsidRPr="00170D47">
              <w:t>Features and purpose of conduit seals and cable termination devices designed for use in hazardous areas (These include conduit seals and barrier and compression glands f</w:t>
            </w:r>
            <w:r w:rsidRPr="00170D47">
              <w:t>or cables with or without armouring, screening and/or drain wires).</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T9</w:t>
            </w:r>
            <w:r w:rsidRPr="00170D47">
              <w:tab/>
              <w:t>Preparation to install and maintain explosion-protected equipment in hazardous areas encompassing:</w:t>
            </w:r>
          </w:p>
          <w:p w:rsidR="00000000" w:rsidRPr="00170D47" w:rsidP="00170D47">
            <w:pPr>
              <w:pStyle w:val="ListBullet2"/>
            </w:pPr>
            <w:r w:rsidRPr="00170D47">
              <w:t>OHS procedures to be followed when working in a hazardous area;</w:t>
            </w:r>
          </w:p>
          <w:p w:rsidR="00000000" w:rsidRPr="00170D47" w:rsidP="00170D47">
            <w:pPr>
              <w:pStyle w:val="ListBullet2"/>
            </w:pPr>
            <w:r w:rsidRPr="00170D47">
              <w:t>the significance of information provided on the certification documentation and schedules for a given item of explosion-protected equipment;</w:t>
            </w:r>
          </w:p>
          <w:p w:rsidR="00000000" w:rsidRPr="00170D47" w:rsidP="00170D47">
            <w:pPr>
              <w:pStyle w:val="ListBullet2"/>
            </w:pPr>
            <w:r w:rsidRPr="00170D47">
              <w:t>the typical contents of a verification dossier and their purpose; and</w:t>
            </w:r>
          </w:p>
          <w:p w:rsidR="00000000" w:rsidP="00170D47">
            <w:pPr>
              <w:pStyle w:val="ListBullet2"/>
              <w:rPr>
                <w:lang w:val="en-NZ"/>
              </w:rPr>
            </w:pPr>
            <w:r w:rsidRPr="00170D47">
              <w:t>limitations in the use of tools and testing d</w:t>
            </w:r>
            <w:r w:rsidRPr="00170D47">
              <w:t>evices in hazardous areas.</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T10</w:t>
            </w:r>
            <w:r w:rsidRPr="00170D47">
              <w:tab/>
              <w:t>The relationship between explosion-protected equipment, their certification documents and required locations given in specifications and layout drawings and/or written instructions encompassing:</w:t>
            </w:r>
          </w:p>
          <w:p w:rsidR="00000000" w:rsidRPr="00170D47" w:rsidP="00170D47">
            <w:pPr>
              <w:pStyle w:val="ListBullet2"/>
            </w:pPr>
            <w:r w:rsidRPr="00170D47">
              <w:t xml:space="preserve">the purpose of markings on </w:t>
            </w:r>
            <w:r w:rsidRPr="00170D47">
              <w:t>the compliance plate and certification documents for a given item of explosion-protected equipment;</w:t>
            </w:r>
          </w:p>
          <w:p w:rsidR="00000000" w:rsidRPr="00170D47" w:rsidP="00170D47">
            <w:pPr>
              <w:pStyle w:val="ListBullet2"/>
            </w:pPr>
            <w:r w:rsidRPr="00170D47">
              <w:t>matching explosion-protected equipment with certification documents and the equipment specified for an installation; and</w:t>
            </w:r>
          </w:p>
          <w:p w:rsidR="00000000" w:rsidP="00170D47">
            <w:pPr>
              <w:pStyle w:val="ListBullet2"/>
              <w:rPr>
                <w:lang w:val="en-NZ"/>
              </w:rPr>
            </w:pPr>
            <w:r w:rsidRPr="00170D47">
              <w:t>the location the items of explosion</w:t>
            </w:r>
            <w:r w:rsidRPr="00170D47">
              <w:t>-protected equipment for an installation from specifications and layout drawings and/or instructions.</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T11</w:t>
            </w:r>
            <w:r w:rsidRPr="00170D47">
              <w:tab/>
              <w:t>Installation Standards and requirements applicable to hazardous encompassing:</w:t>
            </w:r>
          </w:p>
          <w:p w:rsidR="00000000" w:rsidRPr="00170D47" w:rsidP="00170D47">
            <w:pPr>
              <w:pStyle w:val="ListBullet2"/>
            </w:pPr>
            <w:r w:rsidRPr="00170D47">
              <w:t>the wiring systems permitted and not permitted in or above hazardous areas;</w:t>
            </w:r>
          </w:p>
          <w:p w:rsidR="00000000" w:rsidRPr="00170D47" w:rsidP="00170D47">
            <w:pPr>
              <w:pStyle w:val="ListBullet2"/>
            </w:pPr>
            <w:r w:rsidRPr="00170D47">
              <w:t>equipment not permitted in or above hazardous areas;</w:t>
            </w:r>
          </w:p>
          <w:p w:rsidR="00000000" w:rsidRPr="00170D47" w:rsidP="00170D47">
            <w:pPr>
              <w:pStyle w:val="ListBullet2"/>
            </w:pPr>
            <w:r w:rsidRPr="00170D47">
              <w:t>the regulations and Standards to which explosion-protected equipment and wiring must be installed in a hazardous area and how t</w:t>
            </w:r>
            <w:r w:rsidRPr="00170D47">
              <w:t>hese are applied; and</w:t>
            </w:r>
          </w:p>
          <w:p w:rsidR="00000000" w:rsidP="00170D47">
            <w:pPr>
              <w:pStyle w:val="ListBullet2"/>
              <w:rPr>
                <w:lang w:val="en-NZ"/>
              </w:rPr>
            </w:pPr>
            <w:r w:rsidRPr="00170D47">
              <w:t>the documentation required as a record of the installation process, including certification documentation.</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T12</w:t>
            </w:r>
            <w:r w:rsidRPr="00170D47">
              <w:tab/>
              <w:t>Maintenance procedures in hazardous areas that will ensure the integrity of the explosion-protection technique encompassi</w:t>
            </w:r>
            <w:r w:rsidRPr="00170D47">
              <w:t>ng:</w:t>
            </w:r>
          </w:p>
          <w:p w:rsidR="00000000" w:rsidRPr="00170D47" w:rsidP="00170D47">
            <w:pPr>
              <w:pStyle w:val="ListBullet2"/>
            </w:pPr>
            <w:r w:rsidRPr="00170D47">
              <w:t>the purpose of a maintenance schedule;</w:t>
            </w:r>
          </w:p>
          <w:p w:rsidR="00000000" w:rsidRPr="00170D47" w:rsidP="00170D47">
            <w:pPr>
              <w:pStyle w:val="ListBullet2"/>
            </w:pPr>
            <w:r w:rsidRPr="00170D47">
              <w:t>the purpose and extent of ‘close’, ‘sample’ and ‘periodic’ inspections;</w:t>
            </w:r>
          </w:p>
          <w:p w:rsidR="00000000" w:rsidRPr="00170D47" w:rsidP="00170D47">
            <w:pPr>
              <w:pStyle w:val="ListBullet2"/>
            </w:pPr>
            <w:r w:rsidRPr="00170D47">
              <w:t>the features of each explosion-protection techniques that should be included in a maintenance schedule;</w:t>
            </w:r>
          </w:p>
          <w:p w:rsidR="00000000" w:rsidRPr="00170D47" w:rsidP="00170D47">
            <w:pPr>
              <w:pStyle w:val="ListBullet2"/>
            </w:pPr>
            <w:r w:rsidRPr="00170D47">
              <w:t>the impact of environmental conditio</w:t>
            </w:r>
            <w:r w:rsidRPr="00170D47">
              <w:t xml:space="preserve">ns on explosion-protected equipment, including corrosion and frequency of maintenance; </w:t>
            </w:r>
          </w:p>
          <w:p w:rsidR="00000000" w:rsidRPr="00170D47" w:rsidP="00170D47">
            <w:pPr>
              <w:pStyle w:val="ListBullet2"/>
            </w:pPr>
            <w:r w:rsidRPr="00170D47">
              <w:t>the documentation requirements for recording the maintenance process and results;</w:t>
            </w:r>
          </w:p>
          <w:p w:rsidR="00000000" w:rsidP="00170D47">
            <w:pPr>
              <w:pStyle w:val="ListBullet2"/>
              <w:rPr>
                <w:lang w:val="en-NZ"/>
              </w:rPr>
            </w:pPr>
            <w:r w:rsidRPr="00170D47">
              <w:t>the use of Standards in determining the requirements with which the design of explosio</w:t>
            </w:r>
            <w:r w:rsidRPr="00170D47">
              <w:t>n-protected apparatus shall comply.</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T13</w:t>
            </w:r>
            <w:r w:rsidRPr="00170D47">
              <w:tab/>
              <w:t>Cable termination types suitable for use in hazardous areas encompassing:</w:t>
            </w:r>
          </w:p>
          <w:p w:rsidR="00000000" w:rsidRPr="00170D47" w:rsidP="00170D47">
            <w:pPr>
              <w:pStyle w:val="ListBullet2"/>
            </w:pPr>
            <w:r w:rsidRPr="00170D47">
              <w:t>explosion protection features of cable terminations devices.</w:t>
            </w:r>
          </w:p>
          <w:p w:rsidR="00000000" w:rsidP="00170D47">
            <w:pPr>
              <w:pStyle w:val="ListBullet2"/>
              <w:rPr>
                <w:lang w:val="en-NZ"/>
              </w:rPr>
            </w:pPr>
            <w:r w:rsidRPr="00170D47">
              <w:t>selecting compliant cable termination devices.</w:t>
            </w:r>
          </w:p>
        </w:tc>
      </w:tr>
      <w:tr w:rsidTr="00FD02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T14</w:t>
            </w:r>
            <w:r w:rsidRPr="00170D47">
              <w:tab/>
            </w:r>
            <w:r w:rsidRPr="00170D47">
              <w:t>Terminating cables suitable for use in hazardous areas encompassing:</w:t>
            </w:r>
          </w:p>
          <w:p w:rsidR="00000000" w:rsidRPr="00170D47" w:rsidP="00170D47">
            <w:pPr>
              <w:pStyle w:val="ListBullet2"/>
            </w:pPr>
            <w:r w:rsidRPr="00170D47">
              <w:t>installing conduit systems, where applicable, including seals to meet hazardous areas requirements. (Gases only.)</w:t>
            </w:r>
          </w:p>
          <w:p w:rsidR="00000000" w:rsidRPr="00170D47" w:rsidP="00170D47">
            <w:pPr>
              <w:pStyle w:val="ListBullet2"/>
            </w:pPr>
            <w:r w:rsidRPr="00170D47">
              <w:t>terminating a cable with a barrier gland. (Gases only.)</w:t>
            </w:r>
          </w:p>
          <w:p w:rsidR="00000000" w:rsidRPr="00170D47" w:rsidP="00170D47">
            <w:pPr>
              <w:pStyle w:val="ListBullet2"/>
            </w:pPr>
            <w:r w:rsidRPr="00170D47">
              <w:t>terminating a mu</w:t>
            </w:r>
            <w:r w:rsidRPr="00170D47">
              <w:t>ltipair, SWA, overall screened, individual screened cable into an enclosure.</w:t>
            </w:r>
          </w:p>
          <w:p w:rsidR="00000000" w:rsidRPr="00170D47" w:rsidP="00170D47">
            <w:pPr>
              <w:pStyle w:val="ListBullet2"/>
            </w:pPr>
            <w:r w:rsidRPr="00170D47">
              <w:t>testing termination/connections of installed cables/circuits.</w:t>
            </w:r>
          </w:p>
        </w:tc>
      </w:tr>
    </w:tbl>
    <w:p w:rsidR="00000000" w:rsidRPr="00170D47" w:rsidP="00170D47">
      <w:pPr>
        <w:pStyle w:val="BodyText"/>
      </w:pPr>
    </w:p>
    <w:p w:rsidR="00000000" w:rsidRPr="00170D47" w:rsidP="00170D47">
      <w:pPr>
        <w:pStyle w:val="AllowPageBreak"/>
      </w:pPr>
    </w:p>
    <w:p w:rsidR="00000000" w:rsidRPr="00170D47" w:rsidP="00170D47">
      <w:pPr>
        <w:pStyle w:val="Heading1"/>
      </w:pPr>
      <w:bookmarkStart w:id="10" w:name="O_700311"/>
      <w:bookmarkEnd w:id="10"/>
      <w:r w:rsidRPr="00170D47">
        <w:t>Evidence Guide</w:t>
      </w:r>
    </w:p>
    <w:tbl>
      <w:tblPr>
        <w:tblW w:w="0" w:type="auto"/>
        <w:tblLayout w:type="fixed"/>
        <w:tblCellMar>
          <w:left w:w="62" w:type="dxa"/>
          <w:right w:w="62" w:type="dxa"/>
        </w:tblCellMar>
        <w:tblLook w:val="0000"/>
      </w:tblPr>
      <w:tblGrid>
        <w:gridCol w:w="2160"/>
        <w:gridCol w:w="720"/>
        <w:gridCol w:w="540"/>
        <w:gridCol w:w="5040"/>
      </w:tblGrid>
      <w:tr w:rsidTr="00FD028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EVIDENCE GUIDE</w:t>
            </w:r>
          </w:p>
        </w:tc>
      </w:tr>
      <w:tr w:rsidTr="00FD028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9</w:t>
            </w:r>
            <w:r w:rsidRPr="00170D47">
              <w:t>) This provides essential advice for assessment of the unit a</w:t>
            </w:r>
            <w:r w:rsidRPr="00170D47">
              <w:t>nd must be read in conjunction with the performance criteria and the range statement of the unit and the Training Package Assessment Guidelines.</w:t>
            </w:r>
          </w:p>
          <w:p w:rsidR="00000000" w:rsidP="00170D47">
            <w:pPr>
              <w:pStyle w:val="BodyText"/>
              <w:rPr>
                <w:lang w:val="en-NZ"/>
              </w:rPr>
            </w:pPr>
            <w:r w:rsidRPr="00170D47">
              <w:t>The Evidence Guide forms an integral part of this unit. It must be used in conjunction with all components part</w:t>
            </w:r>
            <w:r w:rsidRPr="00170D47">
              <w:t>s of this unit and performed in accordance with the Assessment Guidelines of this Training Package.</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9</w:t>
            </w:r>
            <w:r w:rsidRPr="00170D47">
              <w:t>.</w:t>
            </w:r>
            <w:r w:rsidRPr="00170D47">
              <w:rPr>
                <w:rStyle w:val="SpecialBold"/>
              </w:rPr>
              <w:t>1</w:t>
            </w:r>
            <w:r w:rsidRPr="00170D47">
              <w:t xml:space="preserve">) </w:t>
            </w:r>
          </w:p>
          <w:p w:rsidR="00000000" w:rsidRPr="00170D47" w:rsidP="00170D47">
            <w:pPr>
              <w:pStyle w:val="BodyText"/>
            </w:pPr>
            <w:r w:rsidRPr="00170D47">
              <w:t>Longitudinal competency development approaches to assessment, such as Profiling, require data to be reliably gathered in a form that can be consistently interpreted over time. This approach is best utilised in Apprenticeship programs and reduces assessment</w:t>
            </w:r>
            <w:r w:rsidRPr="00170D4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70D47">
              <w:t>ncy in a realistically simulated work environment. It is recognised that, in some circumstances, assessment in part or full can occur outside the workplace. However, it must be in accord with industry and regulatory policy.</w:t>
            </w:r>
          </w:p>
          <w:p w:rsidR="00000000" w:rsidRPr="00170D47" w:rsidP="00170D47">
            <w:pPr>
              <w:pStyle w:val="BodyText"/>
            </w:pPr>
            <w:r w:rsidRPr="00170D47">
              <w:t xml:space="preserve">Methods chosen for a particular </w:t>
            </w:r>
            <w:r w:rsidRPr="00170D47">
              <w:t>assessment will be influenced by various factors. These include the extent of the assessment, the most effective locations for the assessment activities to take place, access to physical resources, additional safety measures that may be required and the cr</w:t>
            </w:r>
            <w:r w:rsidRPr="00170D47">
              <w:t>itical nature of the competencies being assessed.</w:t>
            </w:r>
          </w:p>
          <w:p w:rsidR="00000000" w:rsidRPr="00170D47" w:rsidP="00170D47">
            <w:pPr>
              <w:pStyle w:val="BodyText"/>
            </w:pPr>
            <w:r w:rsidRPr="00170D47">
              <w:t xml:space="preserve">The critical safety nature of working with electricity, electrical equipment, gas or any other hazardous substance/material carries risk in deeming a person competent. Sources of evidence need to be 'rich' </w:t>
            </w:r>
            <w:r w:rsidRPr="00170D47">
              <w:t>in nature to minimise error in judgment.</w:t>
            </w:r>
          </w:p>
          <w:p w:rsidR="00000000" w:rsidP="00170D47">
            <w:pPr>
              <w:pStyle w:val="BodyText"/>
              <w:rPr>
                <w:lang w:val="en-NZ"/>
              </w:rPr>
            </w:pPr>
            <w:r w:rsidRPr="00170D47">
              <w:t xml:space="preserve">Activities associated with normal everyday work influence decisions about how/how much the data gathered will contribute to its 'richness'. Some skills are more critical to safety and operational requirements while </w:t>
            </w:r>
            <w:r w:rsidRPr="00170D47">
              <w:t>the same skills may be more or less frequently practised. These points are raised for the assessors to consider when choosing an assessment method and developing assessment instruments. Sample assessment instruments are included for Assessors in the Assess</w:t>
            </w:r>
            <w:r w:rsidRPr="00170D47">
              <w:t>ment Guidelines of this Training Package.</w:t>
            </w:r>
          </w:p>
        </w:tc>
      </w:tr>
      <w:tr w:rsidTr="00FD028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9</w:t>
            </w:r>
            <w:r w:rsidRPr="00170D47">
              <w:t>.</w:t>
            </w:r>
            <w:r w:rsidRPr="00170D47">
              <w:rPr>
                <w:rStyle w:val="SpecialBold"/>
              </w:rPr>
              <w:t>2</w:t>
            </w:r>
            <w:r w:rsidRPr="00170D47">
              <w:t xml:space="preserve">) </w:t>
            </w:r>
          </w:p>
          <w:p w:rsidR="00000000" w:rsidP="00170D47">
            <w:pPr>
              <w:pStyle w:val="BodyText"/>
              <w:rPr>
                <w:lang w:val="en-NZ"/>
              </w:rPr>
            </w:pPr>
            <w:r w:rsidRPr="00170D47">
              <w:t>Before the critical aspects of evidence are considered all prerequisites shall be met.</w:t>
            </w:r>
          </w:p>
        </w:tc>
      </w:tr>
      <w:tr w:rsidTr="00FD028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170D47">
            <w:pPr>
              <w:pStyle w:val="ListBullet"/>
              <w:rPr>
                <w:lang w:val="en-NZ"/>
              </w:rPr>
            </w:pPr>
            <w:r w:rsidRPr="00170D47">
              <w:t>A representative body of work performance demonstrated within the timeframes typically expected of the discipline, work function and industrial environment. In particular this shall incorporate evidence that shows a candidate is able to:</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70D47" w:rsidP="00170D47">
            <w:pPr>
              <w:pStyle w:val="ListBullet2"/>
            </w:pPr>
            <w:r w:rsidRPr="00170D47">
              <w:t xml:space="preserve">Implement Occupational Health and Safety workplace procedures and practices, including the use of risk control measures as specified in the performance criteria and range statement </w:t>
            </w:r>
          </w:p>
          <w:p w:rsidR="00000000" w:rsidRPr="00170D47" w:rsidP="00170D47">
            <w:pPr>
              <w:pStyle w:val="ListBullet2"/>
            </w:pPr>
            <w:r w:rsidRPr="00170D47">
              <w:t>Apply sustainable energy principles and practices as specified in the perf</w:t>
            </w:r>
            <w:r w:rsidRPr="00170D47">
              <w:t>ormance criteria and range statement</w:t>
            </w:r>
          </w:p>
          <w:p w:rsidR="00000000" w:rsidRPr="00170D47" w:rsidP="00170D47">
            <w:pPr>
              <w:pStyle w:val="ListBullet2"/>
            </w:pPr>
            <w:r w:rsidRPr="00170D47">
              <w:t>Demonstrate an understanding of the essential knowledge and associated skills as described in this unit.  It may be required by some jurisdictions that RTOs provide a percentile graded result for the purpose of regulato</w:t>
            </w:r>
            <w:r w:rsidRPr="00170D47">
              <w:t>ry or licensing requirements.</w:t>
            </w:r>
          </w:p>
          <w:p w:rsidR="00000000" w:rsidRPr="00170D47" w:rsidP="00170D47">
            <w:pPr>
              <w:pStyle w:val="ListBullet2"/>
            </w:pPr>
            <w:r w:rsidRPr="00170D47">
              <w:t>Demonstrate an appropriate level of skills enabling employment</w:t>
            </w:r>
          </w:p>
          <w:p w:rsidR="00000000" w:rsidP="00170D47">
            <w:pPr>
              <w:pStyle w:val="ListBullet2"/>
              <w:rPr>
                <w:lang w:val="en-NZ"/>
              </w:rPr>
            </w:pPr>
            <w:r w:rsidRPr="00170D47">
              <w:t>Conduct work observing the relevant Anti Discrimination legislation, regulations, polices and workplace procedures</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70D47">
            <w:pPr>
              <w:pStyle w:val="ListBullet"/>
              <w:rPr>
                <w:lang w:val="en-NZ"/>
              </w:rPr>
            </w:pPr>
            <w:r w:rsidRPr="00170D47">
              <w:t xml:space="preserve">Demonstrated consistent performance across </w:t>
            </w:r>
            <w:r w:rsidRPr="00170D47">
              <w:t>a representative range of contexts from the prescribed items below:</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70D47">
            <w:pPr>
              <w:pStyle w:val="ListBullet2"/>
              <w:rPr>
                <w:lang w:val="en-NZ"/>
              </w:rPr>
            </w:pPr>
            <w:r w:rsidRPr="00170D47">
              <w:t>Maintain equipment in hazardous areas as described in 8) and including:</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A</w:t>
            </w:r>
          </w:p>
        </w:tc>
        <w:tc>
          <w:tcPr>
            <w:tcW w:w="50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Working safely in a potentially hazardous area or confined space including the use of work permits and clearances, hazard monitoring and evacuation procedures and plant and electrical isolation</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B</w:t>
            </w:r>
          </w:p>
        </w:tc>
        <w:tc>
          <w:tcPr>
            <w:tcW w:w="50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Identifying defects and faults.</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C</w:t>
            </w:r>
          </w:p>
        </w:tc>
        <w:tc>
          <w:tcPr>
            <w:tcW w:w="50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Interpreting certification documentation in relation to maintenance, repair and replacement</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D</w:t>
            </w:r>
          </w:p>
        </w:tc>
        <w:tc>
          <w:tcPr>
            <w:tcW w:w="50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Following established maintenance procedures.</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E</w:t>
            </w:r>
          </w:p>
        </w:tc>
        <w:tc>
          <w:tcPr>
            <w:tcW w:w="50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Documenting maintenance details.</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F</w:t>
            </w:r>
          </w:p>
        </w:tc>
        <w:tc>
          <w:tcPr>
            <w:tcW w:w="504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Applying relevant contingency management skills.</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9</w:t>
            </w:r>
            <w:r w:rsidRPr="00170D47">
              <w:t>.</w:t>
            </w:r>
            <w:r w:rsidRPr="00170D47">
              <w:rPr>
                <w:rStyle w:val="SpecialBold"/>
              </w:rPr>
              <w:t>3</w:t>
            </w:r>
            <w:r w:rsidRPr="00170D47">
              <w:t xml:space="preserve">) </w:t>
            </w:r>
          </w:p>
          <w:p w:rsidR="00000000" w:rsidRPr="00170D47" w:rsidP="00170D47">
            <w:pPr>
              <w:pStyle w:val="BodyText"/>
            </w:pPr>
            <w:r w:rsidRPr="00170D47">
              <w:t>This unit should be assessed as it relates to normal work practice using procedures, information and resources typical of a workplace. This should include:</w:t>
            </w:r>
          </w:p>
          <w:p w:rsidR="00000000" w:rsidRPr="00170D47" w:rsidP="00170D47">
            <w:pPr>
              <w:pStyle w:val="ListBullet"/>
            </w:pPr>
            <w:r w:rsidRPr="00170D47">
              <w:t>OHS policy and work procedures and instructi</w:t>
            </w:r>
            <w:r w:rsidRPr="00170D47">
              <w:t>ons.</w:t>
            </w:r>
          </w:p>
          <w:p w:rsidR="00000000" w:rsidRPr="00170D47" w:rsidP="00170D47">
            <w:pPr>
              <w:pStyle w:val="ListBullet"/>
            </w:pPr>
            <w:r w:rsidRPr="00170D47">
              <w:t>Suitable work environment, facilities, equipment and materials to undertake actual work as prescribed by this unit.</w:t>
            </w:r>
          </w:p>
          <w:p w:rsidR="00000000" w:rsidRPr="00170D47" w:rsidP="00170D47">
            <w:pPr>
              <w:pStyle w:val="BodyText"/>
            </w:pPr>
            <w:r w:rsidRPr="00170D47">
              <w:t>These should also be part of the formal learning/assessment environment.</w:t>
            </w:r>
          </w:p>
          <w:p w:rsidR="00000000" w:rsidRPr="00170D47" w:rsidP="00170D47">
            <w:pPr>
              <w:pStyle w:val="BodyText"/>
            </w:pPr>
            <w:r w:rsidRPr="00170D47">
              <w:t>Note:</w:t>
            </w:r>
          </w:p>
          <w:p w:rsidR="00000000" w:rsidP="00170D47">
            <w:pPr>
              <w:pStyle w:val="BodyText"/>
              <w:rPr>
                <w:lang w:val="en-NZ"/>
              </w:rPr>
            </w:pPr>
            <w:r w:rsidRPr="00170D47">
              <w:t>Where simulation is considered a suitable strategy for a</w:t>
            </w:r>
            <w:r w:rsidRPr="00170D47">
              <w:t>ssessment, conditions must be authentic and as far as possible reproduce and replicate the workplace and be consistent with the approved industry simulation policy.</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The resources used for assessment should reflect current industry practices in rel</w:t>
            </w:r>
            <w:r w:rsidRPr="00170D47">
              <w:t>ation to maintaining equipment in hazardous areas.</w:t>
            </w:r>
          </w:p>
        </w:tc>
      </w:tr>
      <w:tr w:rsidTr="00FD02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9</w:t>
            </w:r>
            <w:r w:rsidRPr="00170D47">
              <w:t>.</w:t>
            </w:r>
            <w:r w:rsidRPr="00170D47">
              <w:rPr>
                <w:rStyle w:val="SpecialBold"/>
              </w:rPr>
              <w:t>4</w:t>
            </w:r>
            <w:r w:rsidRPr="00170D47">
              <w:t xml:space="preserve">) </w:t>
            </w:r>
          </w:p>
          <w:p w:rsidR="00000000" w:rsidRPr="00170D47" w:rsidP="00170D47">
            <w:pPr>
              <w:pStyle w:val="BodyText"/>
            </w:pPr>
            <w:r w:rsidRPr="00170D47">
              <w:t>This unit shall be assessed by methods given in Volume 1, Part 3 'Assessment Guidelines'.</w:t>
            </w:r>
          </w:p>
          <w:p w:rsidR="00000000" w:rsidRPr="00170D47" w:rsidP="00170D47">
            <w:pPr>
              <w:pStyle w:val="BodyText"/>
            </w:pPr>
            <w:r w:rsidRPr="00170D47">
              <w:t xml:space="preserve">Note: </w:t>
            </w:r>
          </w:p>
          <w:p w:rsidR="00000000" w:rsidP="00170D47">
            <w:pPr>
              <w:pStyle w:val="BodyText"/>
              <w:rPr>
                <w:lang w:val="en-NZ"/>
              </w:rPr>
            </w:pPr>
            <w:r w:rsidRPr="00170D47">
              <w:t xml:space="preserve">Competent performance with inherent safe working practices is expected in the </w:t>
            </w:r>
            <w:r w:rsidRPr="00170D47">
              <w:t>Industry to which this unit applies. This requires assessment in a structured environment primarily intended for learning/assessment which incorporates all necessary equipment and facilities for learners to develop and demonstrate the essential knowledge a</w:t>
            </w:r>
            <w:r w:rsidRPr="00170D47">
              <w:t>nd skills described in this unit.</w:t>
            </w:r>
          </w:p>
        </w:tc>
      </w:tr>
      <w:tr w:rsidTr="00FD028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9</w:t>
            </w:r>
            <w:r w:rsidRPr="00170D47">
              <w:t>.</w:t>
            </w:r>
            <w:r w:rsidRPr="00170D47">
              <w:rPr>
                <w:rStyle w:val="SpecialBold"/>
              </w:rPr>
              <w:t>5</w:t>
            </w:r>
            <w:r w:rsidRPr="00170D47">
              <w:t>)</w:t>
            </w:r>
          </w:p>
        </w:tc>
      </w:tr>
      <w:tr w:rsidTr="00FD028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 xml:space="preserve">For optimisation of training and assessment effort, competency development in this unit may be arranged concurrently with unit: </w:t>
            </w:r>
          </w:p>
          <w:p w:rsidR="00000000" w:rsidP="00170D47">
            <w:pPr>
              <w:pStyle w:val="BodyText"/>
              <w:rPr>
                <w:lang w:val="en-NZ"/>
              </w:rPr>
            </w:pPr>
            <w:r w:rsidRPr="00170D47">
              <w:t>UEENEEM080A</w:t>
            </w:r>
            <w:r w:rsidRPr="00170D47">
              <w:tab/>
            </w:r>
            <w:r w:rsidRPr="00170D47">
              <w:t>Report on the integrity of explosion-protected equipment in a hazardous area</w:t>
            </w:r>
          </w:p>
        </w:tc>
      </w:tr>
      <w:tr w:rsidTr="00FD028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70D47">
            <w:pPr>
              <w:pStyle w:val="BodyText"/>
              <w:rPr>
                <w:lang w:val="en-NZ"/>
              </w:rPr>
            </w:pPr>
          </w:p>
        </w:tc>
      </w:tr>
      <w:tr w:rsidTr="00FD028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Competencies in installation of general low-voltage or extra-low voltage electrical/electronic equipment and wiring systems at AQF 3 or equivalent chosen as a prerequisit</w:t>
            </w:r>
            <w:r w:rsidRPr="00170D47">
              <w:t>e.</w:t>
            </w:r>
          </w:p>
        </w:tc>
      </w:tr>
    </w:tbl>
    <w:p w:rsidR="00FD028F" w:rsidP="00170D47">
      <w:pPr>
        <w:pStyle w:val="BodyText"/>
      </w:pPr>
    </w:p>
    <w:p w:rsidR="00FD028F" w:rsidP="00170D47">
      <w:pPr>
        <w:pStyle w:val="BodyText"/>
      </w:pPr>
    </w:p>
    <w:p w:rsidR="00000000" w:rsidRPr="00170D47" w:rsidP="00170D47">
      <w:pPr>
        <w:pStyle w:val="Heading1"/>
      </w:pPr>
      <w:bookmarkStart w:id="11" w:name="O_700310"/>
      <w:bookmarkEnd w:id="11"/>
      <w:r w:rsidRPr="00170D47">
        <w:t>Range Statement</w:t>
      </w:r>
    </w:p>
    <w:tbl>
      <w:tblPr>
        <w:tblW w:w="0" w:type="auto"/>
        <w:tblLayout w:type="fixed"/>
        <w:tblCellMar>
          <w:left w:w="62" w:type="dxa"/>
          <w:right w:w="62" w:type="dxa"/>
        </w:tblCellMar>
        <w:tblLook w:val="0000"/>
      </w:tblPr>
      <w:tblGrid>
        <w:gridCol w:w="8460"/>
      </w:tblGrid>
      <w:tr w:rsidTr="00FD02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RANGE STATEMENT</w:t>
            </w:r>
          </w:p>
        </w:tc>
      </w:tr>
      <w:tr w:rsidTr="00FD02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8</w:t>
            </w:r>
            <w:r w:rsidRPr="00170D47">
              <w:t xml:space="preserve">) This relates to the unit as a whole providing the range of contexts and conditions to which the </w:t>
            </w:r>
            <w:r w:rsidRPr="00170D47">
              <w:t>performance criteria apply. It allows for different work environments and situations that will affect performance.</w:t>
            </w:r>
          </w:p>
        </w:tc>
      </w:tr>
      <w:tr w:rsidTr="00FD02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This unit shall be demonstrated in relation to any classified hazardous area and the Pressurisation (Ex 'p') explosion-protection technique.</w:t>
            </w:r>
          </w:p>
        </w:tc>
      </w:tr>
      <w:tr w:rsidTr="00FD02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Generic terms used throughout this Vocational Standard shall be regarded as part of the Range Statement in which competency is demonstrated. The definition of these and other terms that apply are given in Volume 2, Part 2.1.</w:t>
            </w:r>
          </w:p>
        </w:tc>
      </w:tr>
    </w:tbl>
    <w:p w:rsidR="00FD028F" w:rsidP="00170D47">
      <w:pPr>
        <w:pStyle w:val="BodyText"/>
      </w:pPr>
    </w:p>
    <w:p w:rsidR="00FD028F" w:rsidP="00170D47">
      <w:pPr>
        <w:pStyle w:val="BodyText"/>
      </w:pPr>
    </w:p>
    <w:p w:rsidR="00000000" w:rsidRPr="00170D47" w:rsidP="00170D47">
      <w:pPr>
        <w:pStyle w:val="Heading1"/>
      </w:pPr>
      <w:bookmarkStart w:id="12" w:name="O_700309"/>
      <w:bookmarkEnd w:id="12"/>
      <w:r w:rsidRPr="00170D47">
        <w:t>Unit Sect</w:t>
      </w:r>
      <w:r w:rsidRPr="00170D47">
        <w:t>or(s)</w:t>
      </w:r>
    </w:p>
    <w:p w:rsidR="00000000" w:rsidRPr="00170D47" w:rsidP="00170D47">
      <w:pPr>
        <w:pStyle w:val="BodyText"/>
      </w:pPr>
      <w:r w:rsidRPr="00170D47">
        <w:t>Not Applicable</w:t>
      </w:r>
    </w:p>
    <w:p w:rsidR="00000000" w:rsidRPr="00170D47" w:rsidP="00170D47">
      <w:pPr>
        <w:pStyle w:val="AllowPageBreak"/>
      </w:pPr>
    </w:p>
    <w:p w:rsidR="00000000" w:rsidRPr="00170D47" w:rsidP="00170D47">
      <w:pPr>
        <w:pStyle w:val="Heading1"/>
      </w:pPr>
      <w:bookmarkStart w:id="13" w:name="O_700308"/>
      <w:bookmarkEnd w:id="13"/>
      <w:r w:rsidRPr="00170D47">
        <w:t>Competency Field</w:t>
      </w:r>
    </w:p>
    <w:tbl>
      <w:tblPr>
        <w:tblW w:w="0" w:type="auto"/>
        <w:tblLayout w:type="fixed"/>
        <w:tblCellMar>
          <w:left w:w="62" w:type="dxa"/>
          <w:right w:w="62" w:type="dxa"/>
        </w:tblCellMar>
        <w:tblLook w:val="0000"/>
      </w:tblPr>
      <w:tblGrid>
        <w:gridCol w:w="1451"/>
        <w:gridCol w:w="1182"/>
        <w:gridCol w:w="1738"/>
        <w:gridCol w:w="1182"/>
        <w:gridCol w:w="1721"/>
        <w:gridCol w:w="1186"/>
      </w:tblGrid>
      <w:tr w:rsidTr="00FD028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2</w:t>
            </w:r>
            <w:r w:rsidRPr="00170D47">
              <w:t>.</w:t>
            </w:r>
            <w:r w:rsidRPr="00170D47">
              <w:rPr>
                <w:rStyle w:val="SpecialBold"/>
              </w:rPr>
              <w:t>2</w:t>
            </w:r>
            <w:r w:rsidRPr="00170D47">
              <w:t xml:space="preserve">) </w:t>
            </w:r>
            <w:r w:rsidRPr="00170D47">
              <w:rPr>
                <w:rStyle w:val="SpecialBold"/>
              </w:rPr>
              <w:t>Literacy and numeracy skills</w:t>
            </w:r>
          </w:p>
          <w:p w:rsidR="00000000" w:rsidP="00170D47">
            <w:pPr>
              <w:pStyle w:val="BodyText"/>
              <w:rPr>
                <w:lang w:val="en-NZ"/>
              </w:rPr>
            </w:pPr>
            <w:r w:rsidRPr="00170D47">
              <w:t>Participants are best equipped to achieve competency in this unit if they have reading, writing and numeracy skills indicated by the following scales. Description of each scale is given in Volume 2, Part 3 'Literacy and Numeracy'</w:t>
            </w:r>
          </w:p>
        </w:tc>
      </w:tr>
      <w:tr w:rsidTr="00FD028F">
        <w:tblPrEx>
          <w:tblW w:w="0" w:type="auto"/>
          <w:tblLayout w:type="fixed"/>
          <w:tblCellMar>
            <w:left w:w="62" w:type="dxa"/>
            <w:right w:w="62" w:type="dxa"/>
          </w:tblCellMar>
          <w:tblLook w:val="0000"/>
        </w:tblPrEx>
        <w:tc>
          <w:tcPr>
            <w:tcW w:w="1451"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Reading</w:t>
            </w:r>
          </w:p>
        </w:tc>
        <w:tc>
          <w:tcPr>
            <w:tcW w:w="1182"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3</w:t>
            </w:r>
          </w:p>
        </w:tc>
        <w:tc>
          <w:tcPr>
            <w:tcW w:w="1738"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Writing</w:t>
            </w:r>
          </w:p>
        </w:tc>
        <w:tc>
          <w:tcPr>
            <w:tcW w:w="1182"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3</w:t>
            </w:r>
          </w:p>
        </w:tc>
        <w:tc>
          <w:tcPr>
            <w:tcW w:w="1721"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t>Numeracy</w:t>
            </w:r>
          </w:p>
        </w:tc>
        <w:tc>
          <w:tcPr>
            <w:tcW w:w="1186"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3</w:t>
            </w:r>
          </w:p>
        </w:tc>
      </w:tr>
    </w:tbl>
    <w:p w:rsidR="00FD028F" w:rsidP="00170D47">
      <w:pPr>
        <w:pStyle w:val="BodyText"/>
      </w:pPr>
    </w:p>
    <w:p w:rsidR="00FD028F" w:rsidP="00170D47">
      <w:pPr>
        <w:pStyle w:val="BodyText"/>
      </w:pPr>
    </w:p>
    <w:p w:rsidR="00000000" w:rsidRPr="00170D47" w:rsidP="00170D47">
      <w:pPr>
        <w:pStyle w:val="Heading1"/>
      </w:pPr>
      <w:bookmarkStart w:id="14" w:name="O_700307"/>
      <w:bookmarkEnd w:id="14"/>
      <w:r w:rsidRPr="00170D47">
        <w:t>Custom Content Section</w:t>
      </w:r>
    </w:p>
    <w:tbl>
      <w:tblPr>
        <w:tblW w:w="0" w:type="auto"/>
        <w:tblLayout w:type="fixed"/>
        <w:tblCellMar>
          <w:left w:w="62" w:type="dxa"/>
          <w:right w:w="62" w:type="dxa"/>
        </w:tblCellMar>
        <w:tblLook w:val="0000"/>
      </w:tblPr>
      <w:tblGrid>
        <w:gridCol w:w="2698"/>
        <w:gridCol w:w="5762"/>
      </w:tblGrid>
      <w:tr w:rsidTr="00FD028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170D47">
            <w:pPr>
              <w:pStyle w:val="BodyText"/>
              <w:rPr>
                <w:lang w:val="en-NZ"/>
              </w:rPr>
            </w:pPr>
            <w:r w:rsidRPr="00170D47">
              <w:rPr>
                <w:rStyle w:val="SpecialBold"/>
              </w:rPr>
              <w:t>5</w:t>
            </w:r>
            <w:r w:rsidRPr="00170D47">
              <w:t>)</w:t>
            </w:r>
          </w:p>
        </w:tc>
      </w:tr>
      <w:tr w:rsidTr="00FD028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170D47" w:rsidP="00170D47">
            <w:pPr>
              <w:pStyle w:val="BodyText"/>
            </w:pPr>
            <w:r w:rsidRPr="00170D47">
              <w:t>Hazards</w:t>
            </w:r>
          </w:p>
        </w:tc>
      </w:tr>
    </w:tbl>
    <w:p w:rsidR="00FD028F" w:rsidP="00170D47">
      <w:pPr>
        <w:pStyle w:val="BodyText"/>
      </w:pPr>
    </w:p>
    <w:p w:rsidR="00FD028F" w:rsidP="00170D47">
      <w:pPr>
        <w:pStyle w:val="BodyText"/>
      </w:pPr>
    </w:p>
    <w:p w:rsidR="00000000" w:rsidRPr="00170D47" w:rsidP="00170D47"/>
    <w:sectPr w:rsidSect="00170D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47" w:rsidRPr="00FD028F" w:rsidP="00FD0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F" w:rsidP="00170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FD028F" w:rsidP="00170D4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D028F" w:rsidP="00170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47" w:rsidRPr="00FD028F" w:rsidP="00FD02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F" w:rsidRPr="002D2AF8" w:rsidP="00170D47">
    <w:pPr>
      <w:pStyle w:val="Header"/>
      <w:framePr w:wrap="around"/>
    </w:pPr>
    <w:r>
      <w:fldChar w:fldCharType="begin"/>
    </w:r>
    <w:r>
      <w:instrText xml:space="preserve"> TITLE   \* MERGEFORMAT </w:instrText>
    </w:r>
    <w:r>
      <w:fldChar w:fldCharType="separate"/>
    </w:r>
    <w:r>
      <w:t>UEENEEM030A Maintain equipment in hazardous areas - pressurisation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FD028F" w:rsidP="00170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0E2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C4E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0E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D47"/>
    <w:pPr>
      <w:spacing w:before="360" w:after="60"/>
      <w:outlineLvl w:val="0"/>
    </w:pPr>
    <w:rPr>
      <w:sz w:val="32"/>
    </w:rPr>
  </w:style>
  <w:style w:type="paragraph" w:styleId="Heading2">
    <w:name w:val="heading 2"/>
    <w:basedOn w:val="HeadingBase"/>
    <w:next w:val="BodyText"/>
    <w:link w:val="Heading2Char"/>
    <w:qFormat/>
    <w:rsid w:val="00170D47"/>
    <w:pPr>
      <w:keepLines/>
      <w:spacing w:before="240" w:after="120"/>
      <w:outlineLvl w:val="1"/>
    </w:pPr>
    <w:rPr>
      <w:sz w:val="28"/>
      <w:szCs w:val="40"/>
    </w:rPr>
  </w:style>
  <w:style w:type="paragraph" w:styleId="Heading3">
    <w:name w:val="heading 3"/>
    <w:basedOn w:val="HeadingBase"/>
    <w:next w:val="BodyText"/>
    <w:link w:val="Heading3Char"/>
    <w:qFormat/>
    <w:rsid w:val="00170D47"/>
    <w:pPr>
      <w:spacing w:before="180" w:after="120"/>
      <w:outlineLvl w:val="2"/>
    </w:pPr>
    <w:rPr>
      <w:spacing w:val="-10"/>
      <w:kern w:val="32"/>
    </w:rPr>
  </w:style>
  <w:style w:type="paragraph" w:styleId="Heading4">
    <w:name w:val="heading 4"/>
    <w:basedOn w:val="HeadingBase"/>
    <w:next w:val="BodyText"/>
    <w:link w:val="Heading4Char"/>
    <w:qFormat/>
    <w:rsid w:val="00170D47"/>
    <w:pPr>
      <w:spacing w:before="160" w:after="120"/>
      <w:outlineLvl w:val="3"/>
    </w:pPr>
    <w:rPr>
      <w:sz w:val="22"/>
    </w:rPr>
  </w:style>
  <w:style w:type="paragraph" w:styleId="Heading5">
    <w:name w:val="heading 5"/>
    <w:basedOn w:val="HeadingBase"/>
    <w:next w:val="Normal"/>
    <w:link w:val="Heading5Char"/>
    <w:qFormat/>
    <w:rsid w:val="00170D47"/>
    <w:pPr>
      <w:spacing w:before="80"/>
      <w:outlineLvl w:val="4"/>
    </w:pPr>
    <w:rPr>
      <w:color w:val="918585"/>
      <w:sz w:val="20"/>
    </w:rPr>
  </w:style>
  <w:style w:type="paragraph" w:styleId="Heading6">
    <w:name w:val="heading 6"/>
    <w:basedOn w:val="HeadingBase"/>
    <w:next w:val="Normal"/>
    <w:link w:val="Heading6Char"/>
    <w:qFormat/>
    <w:rsid w:val="00170D47"/>
    <w:pPr>
      <w:spacing w:before="60"/>
      <w:outlineLvl w:val="5"/>
    </w:pPr>
    <w:rPr>
      <w:color w:val="918585"/>
      <w:sz w:val="20"/>
    </w:rPr>
  </w:style>
  <w:style w:type="paragraph" w:styleId="Heading7">
    <w:name w:val="heading 7"/>
    <w:basedOn w:val="Normal"/>
    <w:next w:val="Normal"/>
    <w:link w:val="Heading7Char"/>
    <w:qFormat/>
    <w:rsid w:val="00170D47"/>
    <w:pPr>
      <w:ind w:left="720"/>
      <w:outlineLvl w:val="6"/>
    </w:pPr>
    <w:rPr>
      <w:i/>
    </w:rPr>
  </w:style>
  <w:style w:type="paragraph" w:styleId="Heading8">
    <w:name w:val="heading 8"/>
    <w:basedOn w:val="Normal"/>
    <w:next w:val="Normal"/>
    <w:link w:val="Heading8Char"/>
    <w:qFormat/>
    <w:rsid w:val="00170D47"/>
    <w:pPr>
      <w:ind w:left="720"/>
      <w:outlineLvl w:val="7"/>
    </w:pPr>
    <w:rPr>
      <w:i/>
    </w:rPr>
  </w:style>
  <w:style w:type="paragraph" w:styleId="Heading9">
    <w:name w:val="heading 9"/>
    <w:basedOn w:val="Normal"/>
    <w:next w:val="Normal"/>
    <w:link w:val="Heading9Char"/>
    <w:qFormat/>
    <w:rsid w:val="00170D47"/>
    <w:pPr>
      <w:ind w:left="720"/>
      <w:outlineLvl w:val="8"/>
    </w:pPr>
    <w:rPr>
      <w:i/>
    </w:rPr>
  </w:style>
  <w:style w:type="character" w:default="1" w:styleId="DefaultParagraphFont">
    <w:name w:val="Default Paragraph Font"/>
    <w:uiPriority w:val="1"/>
    <w:unhideWhenUsed/>
    <w:rsid w:val="00170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D47"/>
  </w:style>
  <w:style w:type="character" w:customStyle="1" w:styleId="Heading1Char">
    <w:name w:val="Heading 1 Char"/>
    <w:basedOn w:val="DefaultParagraphFont"/>
    <w:link w:val="Heading1"/>
    <w:rsid w:val="00170D47"/>
    <w:rPr>
      <w:rFonts w:ascii="Times New Roman" w:eastAsia="Times New Roman" w:hAnsi="Times New Roman" w:cs="Times New Roman"/>
      <w:b/>
      <w:sz w:val="32"/>
      <w:szCs w:val="20"/>
      <w:lang w:eastAsia="en-US"/>
    </w:rPr>
  </w:style>
  <w:style w:type="paragraph" w:styleId="BodyText">
    <w:name w:val="Body Text"/>
    <w:basedOn w:val="Normal"/>
    <w:link w:val="BodyTextChar"/>
    <w:rsid w:val="00170D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0D47"/>
    <w:rPr>
      <w:rFonts w:ascii="Times New Roman" w:eastAsia="Times New Roman" w:hAnsi="Times New Roman" w:cs="Times New Roman"/>
      <w:sz w:val="24"/>
      <w:lang w:eastAsia="en-US"/>
    </w:rPr>
  </w:style>
  <w:style w:type="paragraph" w:styleId="ListBullet">
    <w:name w:val="List Bullet"/>
    <w:basedOn w:val="List"/>
    <w:rsid w:val="00170D47"/>
    <w:pPr>
      <w:numPr>
        <w:numId w:val="13"/>
      </w:numPr>
      <w:tabs>
        <w:tab w:val="clear" w:pos="340"/>
      </w:tabs>
      <w:spacing w:before="40" w:after="40"/>
    </w:pPr>
  </w:style>
  <w:style w:type="character" w:customStyle="1" w:styleId="SpecialBold">
    <w:name w:val="Special Bold"/>
    <w:basedOn w:val="DefaultParagraphFont"/>
    <w:rsid w:val="00170D47"/>
    <w:rPr>
      <w:b/>
      <w:spacing w:val="0"/>
    </w:rPr>
  </w:style>
  <w:style w:type="paragraph" w:styleId="ListBullet2">
    <w:name w:val="List Bullet 2"/>
    <w:basedOn w:val="List2"/>
    <w:rsid w:val="00170D47"/>
    <w:pPr>
      <w:numPr>
        <w:numId w:val="14"/>
      </w:numPr>
      <w:tabs>
        <w:tab w:val="clear" w:pos="680"/>
      </w:tabs>
    </w:pPr>
  </w:style>
  <w:style w:type="character" w:styleId="Emphasis">
    <w:name w:val="Emphasis"/>
    <w:basedOn w:val="DefaultParagraphFont"/>
    <w:qFormat/>
    <w:rsid w:val="00170D47"/>
    <w:rPr>
      <w:i/>
    </w:rPr>
  </w:style>
  <w:style w:type="paragraph" w:customStyle="1" w:styleId="SuperHeading">
    <w:name w:val="SuperHeading"/>
    <w:basedOn w:val="Normal"/>
    <w:rsid w:val="00170D47"/>
    <w:pPr>
      <w:spacing w:before="240" w:after="120"/>
      <w:outlineLvl w:val="0"/>
    </w:pPr>
    <w:rPr>
      <w:rFonts w:ascii="Times New Roman" w:hAnsi="Times New Roman"/>
      <w:b/>
      <w:sz w:val="32"/>
    </w:rPr>
  </w:style>
  <w:style w:type="paragraph" w:customStyle="1" w:styleId="AllowPageBreak">
    <w:name w:val="AllowPageBreak"/>
    <w:rsid w:val="00170D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D47"/>
    <w:rPr>
      <w:rFonts w:ascii="Courier New" w:eastAsia="Times New Roman" w:hAnsi="Courier New" w:cs="Times New Roman"/>
      <w:i/>
      <w:szCs w:val="20"/>
      <w:lang w:eastAsia="en-US"/>
    </w:rPr>
  </w:style>
  <w:style w:type="paragraph" w:customStyle="1" w:styleId="HeadingBase">
    <w:name w:val="Heading Base"/>
    <w:rsid w:val="00170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D47"/>
    <w:pPr>
      <w:tabs>
        <w:tab w:val="right" w:leader="dot" w:pos="9072"/>
      </w:tabs>
      <w:ind w:left="567"/>
    </w:pPr>
    <w:rPr>
      <w:szCs w:val="22"/>
    </w:rPr>
  </w:style>
  <w:style w:type="paragraph" w:customStyle="1" w:styleId="TOCBase">
    <w:name w:val="TOC Base"/>
    <w:rsid w:val="00170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D47"/>
    <w:pPr>
      <w:tabs>
        <w:tab w:val="right" w:leader="dot" w:pos="9072"/>
      </w:tabs>
      <w:spacing w:before="40" w:after="40"/>
      <w:ind w:left="284"/>
    </w:pPr>
    <w:rPr>
      <w:rFonts w:ascii="Times New Roman" w:hAnsi="Times New Roman"/>
    </w:rPr>
  </w:style>
  <w:style w:type="paragraph" w:styleId="TOC1">
    <w:name w:val="toc 1"/>
    <w:basedOn w:val="TOCBase"/>
    <w:next w:val="Normal"/>
    <w:rsid w:val="00170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D47"/>
    <w:rPr>
      <w:rFonts w:ascii="Times New Roman" w:eastAsia="Times New Roman" w:hAnsi="Times New Roman" w:cs="Times New Roman"/>
      <w:sz w:val="16"/>
      <w:lang w:eastAsia="en-US"/>
    </w:rPr>
  </w:style>
  <w:style w:type="paragraph" w:styleId="Title">
    <w:name w:val="Title"/>
    <w:basedOn w:val="HeadingBase"/>
    <w:link w:val="TitleChar"/>
    <w:qFormat/>
    <w:rsid w:val="00170D47"/>
    <w:pPr>
      <w:spacing w:before="5040"/>
      <w:jc w:val="center"/>
    </w:pPr>
    <w:rPr>
      <w:sz w:val="48"/>
      <w:szCs w:val="72"/>
      <w:lang w:val="en-US"/>
    </w:rPr>
  </w:style>
  <w:style w:type="character" w:customStyle="1" w:styleId="TitleChar">
    <w:name w:val="Title Char"/>
    <w:basedOn w:val="DefaultParagraphFont"/>
    <w:link w:val="Title"/>
    <w:rsid w:val="00170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D47"/>
    <w:pPr>
      <w:tabs>
        <w:tab w:val="left" w:pos="3600"/>
        <w:tab w:val="left" w:pos="3958"/>
      </w:tabs>
    </w:pPr>
  </w:style>
  <w:style w:type="paragraph" w:styleId="List">
    <w:name w:val="List"/>
    <w:basedOn w:val="BodyText"/>
    <w:next w:val="BodyText"/>
    <w:rsid w:val="00170D47"/>
    <w:pPr>
      <w:tabs>
        <w:tab w:val="left" w:pos="340"/>
      </w:tabs>
      <w:spacing w:before="60" w:after="60"/>
      <w:ind w:left="340" w:hanging="340"/>
    </w:pPr>
  </w:style>
  <w:style w:type="paragraph" w:customStyle="1" w:styleId="Note">
    <w:name w:val="Note"/>
    <w:basedOn w:val="BodyText"/>
    <w:rsid w:val="00170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D47"/>
    <w:pPr>
      <w:framePr w:wrap="auto" w:hAnchor="text" w:y="6049"/>
    </w:pPr>
    <w:rPr>
      <w:color w:val="000000"/>
      <w:sz w:val="40"/>
    </w:rPr>
  </w:style>
  <w:style w:type="paragraph" w:customStyle="1" w:styleId="TOCTitle">
    <w:name w:val="TOCTitle"/>
    <w:basedOn w:val="Heading1"/>
    <w:rsid w:val="00170D47"/>
    <w:pPr>
      <w:spacing w:after="240"/>
      <w:jc w:val="center"/>
      <w:outlineLvl w:val="9"/>
    </w:pPr>
    <w:rPr>
      <w:caps/>
    </w:rPr>
  </w:style>
  <w:style w:type="paragraph" w:customStyle="1" w:styleId="Version">
    <w:name w:val="Version"/>
    <w:rsid w:val="00170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D47"/>
    <w:pPr>
      <w:keepNext w:val="0"/>
      <w:tabs>
        <w:tab w:val="right" w:pos="4176"/>
      </w:tabs>
      <w:ind w:left="198" w:hanging="198"/>
    </w:pPr>
    <w:rPr>
      <w:rFonts w:ascii="Garamond" w:hAnsi="Garamond"/>
    </w:rPr>
  </w:style>
  <w:style w:type="paragraph" w:styleId="IndexHeading">
    <w:name w:val="index heading"/>
    <w:basedOn w:val="Normal"/>
    <w:next w:val="Index1"/>
    <w:semiHidden/>
    <w:rsid w:val="00170D47"/>
    <w:pPr>
      <w:spacing w:before="120" w:after="120"/>
    </w:pPr>
    <w:rPr>
      <w:rFonts w:ascii="Arial" w:hAnsi="Arial"/>
      <w:b/>
      <w:color w:val="918585"/>
      <w:sz w:val="24"/>
    </w:rPr>
  </w:style>
  <w:style w:type="paragraph" w:styleId="Header">
    <w:name w:val="header"/>
    <w:basedOn w:val="Normal"/>
    <w:link w:val="HeaderChar"/>
    <w:rsid w:val="00170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D47"/>
    <w:rPr>
      <w:rFonts w:ascii="Times New Roman" w:eastAsia="Times New Roman" w:hAnsi="Times New Roman" w:cs="Times New Roman"/>
      <w:sz w:val="16"/>
      <w:szCs w:val="20"/>
      <w:lang w:val="en-GB" w:eastAsia="en-US"/>
    </w:rPr>
  </w:style>
  <w:style w:type="paragraph" w:customStyle="1" w:styleId="Chapter">
    <w:name w:val="Chapter"/>
    <w:basedOn w:val="Normal"/>
    <w:rsid w:val="00170D47"/>
    <w:pPr>
      <w:spacing w:before="240"/>
    </w:pPr>
    <w:rPr>
      <w:rFonts w:ascii="Times New Roman" w:hAnsi="Times New Roman"/>
      <w:smallCaps/>
      <w:spacing w:val="80"/>
      <w:sz w:val="28"/>
    </w:rPr>
  </w:style>
  <w:style w:type="paragraph" w:customStyle="1" w:styleId="InChapter">
    <w:name w:val="InChapter"/>
    <w:basedOn w:val="Heading3"/>
    <w:rsid w:val="00170D47"/>
    <w:pPr>
      <w:spacing w:after="240"/>
      <w:outlineLvl w:val="9"/>
    </w:pPr>
    <w:rPr>
      <w:noProof/>
    </w:rPr>
  </w:style>
  <w:style w:type="paragraph" w:styleId="Index2">
    <w:name w:val="index 2"/>
    <w:basedOn w:val="Normal"/>
    <w:next w:val="Normal"/>
    <w:semiHidden/>
    <w:rsid w:val="00170D47"/>
    <w:pPr>
      <w:tabs>
        <w:tab w:val="right" w:pos="4176"/>
      </w:tabs>
      <w:ind w:left="568" w:hanging="284"/>
    </w:pPr>
    <w:rPr>
      <w:rFonts w:ascii="Garamond" w:hAnsi="Garamond"/>
    </w:rPr>
  </w:style>
  <w:style w:type="paragraph" w:customStyle="1" w:styleId="Byline">
    <w:name w:val="Byline"/>
    <w:rsid w:val="00170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D47"/>
    <w:pPr>
      <w:tabs>
        <w:tab w:val="clear" w:pos="3600"/>
        <w:tab w:val="clear" w:pos="3958"/>
      </w:tabs>
      <w:jc w:val="right"/>
    </w:pPr>
  </w:style>
  <w:style w:type="paragraph" w:styleId="Caption">
    <w:name w:val="caption"/>
    <w:basedOn w:val="BodyText"/>
    <w:next w:val="Normal"/>
    <w:qFormat/>
    <w:rsid w:val="00170D47"/>
    <w:pPr>
      <w:framePr w:w="2268" w:hSpace="181" w:vSpace="181" w:wrap="around" w:vAnchor="text" w:hAnchor="page" w:x="1135" w:y="285" w:anchorLock="1"/>
    </w:pPr>
    <w:rPr>
      <w:i/>
    </w:rPr>
  </w:style>
  <w:style w:type="paragraph" w:customStyle="1" w:styleId="MiniTOCTitle">
    <w:name w:val="MiniTOCTitle"/>
    <w:basedOn w:val="Heading4"/>
    <w:rsid w:val="00170D47"/>
    <w:pPr>
      <w:spacing w:before="240"/>
      <w:outlineLvl w:val="9"/>
    </w:pPr>
    <w:rPr>
      <w:noProof/>
      <w:sz w:val="24"/>
    </w:rPr>
  </w:style>
  <w:style w:type="paragraph" w:customStyle="1" w:styleId="MiniTOCItem">
    <w:name w:val="MiniTOCItem"/>
    <w:basedOn w:val="ListBullet"/>
    <w:rsid w:val="00170D47"/>
    <w:pPr>
      <w:numPr>
        <w:numId w:val="0"/>
      </w:numPr>
      <w:tabs>
        <w:tab w:val="right" w:leader="dot" w:pos="6521"/>
      </w:tabs>
      <w:spacing w:before="0" w:after="0"/>
    </w:pPr>
  </w:style>
  <w:style w:type="paragraph" w:customStyle="1" w:styleId="TOFTitle">
    <w:name w:val="TOFTitle"/>
    <w:basedOn w:val="TOCTitle"/>
    <w:rsid w:val="00170D47"/>
  </w:style>
  <w:style w:type="paragraph" w:styleId="TableofFigures">
    <w:name w:val="table of figures"/>
    <w:basedOn w:val="Normal"/>
    <w:next w:val="Normal"/>
    <w:semiHidden/>
    <w:rsid w:val="00170D47"/>
    <w:pPr>
      <w:tabs>
        <w:tab w:val="right" w:leader="dot" w:pos="9072"/>
      </w:tabs>
      <w:ind w:left="970" w:hanging="403"/>
    </w:pPr>
    <w:rPr>
      <w:rFonts w:ascii="Times New Roman" w:hAnsi="Times New Roman"/>
      <w:b/>
    </w:rPr>
  </w:style>
  <w:style w:type="paragraph" w:styleId="ListNumber">
    <w:name w:val="List Number"/>
    <w:basedOn w:val="List"/>
    <w:rsid w:val="00170D47"/>
    <w:pPr>
      <w:numPr>
        <w:numId w:val="11"/>
      </w:numPr>
    </w:pPr>
  </w:style>
  <w:style w:type="character" w:customStyle="1" w:styleId="WingdingSymbols">
    <w:name w:val="Wingding Symbols"/>
    <w:rsid w:val="00170D47"/>
    <w:rPr>
      <w:rFonts w:ascii="Wingdings" w:hAnsi="Wingdings"/>
    </w:rPr>
  </w:style>
  <w:style w:type="paragraph" w:customStyle="1" w:styleId="TableHeading">
    <w:name w:val="Table Heading"/>
    <w:basedOn w:val="HeadingBase"/>
    <w:rsid w:val="00170D47"/>
    <w:pPr>
      <w:keepLines/>
      <w:pBdr>
        <w:bottom w:val="single" w:sz="6" w:space="1" w:color="918585"/>
      </w:pBdr>
      <w:spacing w:before="240"/>
    </w:pPr>
  </w:style>
  <w:style w:type="character" w:customStyle="1" w:styleId="HotSpot">
    <w:name w:val="HotSpot"/>
    <w:rsid w:val="00170D47"/>
    <w:rPr>
      <w:color w:val="0033CC"/>
      <w:u w:val="none"/>
    </w:rPr>
  </w:style>
  <w:style w:type="paragraph" w:customStyle="1" w:styleId="BodyTextRight">
    <w:name w:val="Body Text Right"/>
    <w:basedOn w:val="BodyText"/>
    <w:rsid w:val="00170D47"/>
    <w:pPr>
      <w:spacing w:before="0" w:after="0"/>
      <w:jc w:val="right"/>
    </w:pPr>
  </w:style>
  <w:style w:type="paragraph" w:styleId="Index3">
    <w:name w:val="index 3"/>
    <w:basedOn w:val="ListNumber2"/>
    <w:next w:val="Normal"/>
    <w:semiHidden/>
    <w:rsid w:val="00170D47"/>
    <w:pPr>
      <w:numPr>
        <w:numId w:val="0"/>
      </w:numPr>
      <w:tabs>
        <w:tab w:val="right" w:leader="dot" w:pos="4176"/>
      </w:tabs>
    </w:pPr>
  </w:style>
  <w:style w:type="paragraph" w:styleId="ListNumber2">
    <w:name w:val="List Number 2"/>
    <w:basedOn w:val="List2"/>
    <w:rsid w:val="00170D47"/>
    <w:pPr>
      <w:numPr>
        <w:numId w:val="10"/>
      </w:numPr>
      <w:tabs>
        <w:tab w:val="clear" w:pos="1060"/>
      </w:tabs>
    </w:pPr>
  </w:style>
  <w:style w:type="paragraph" w:customStyle="1" w:styleId="MarginNote">
    <w:name w:val="Margin Note"/>
    <w:basedOn w:val="BodyText"/>
    <w:rsid w:val="00170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D47"/>
    <w:rPr>
      <w:sz w:val="32"/>
    </w:rPr>
  </w:style>
  <w:style w:type="paragraph" w:customStyle="1" w:styleId="HeadingProcedure">
    <w:name w:val="Heading Procedure"/>
    <w:basedOn w:val="HeadingBase"/>
    <w:next w:val="Normal"/>
    <w:rsid w:val="00170D47"/>
    <w:pPr>
      <w:tabs>
        <w:tab w:val="left" w:pos="0"/>
      </w:tabs>
      <w:spacing w:before="120" w:after="60"/>
    </w:pPr>
    <w:rPr>
      <w:i/>
      <w:color w:val="918585"/>
      <w:sz w:val="22"/>
    </w:rPr>
  </w:style>
  <w:style w:type="paragraph" w:customStyle="1" w:styleId="TableBodyText">
    <w:name w:val="Table Body Text"/>
    <w:basedOn w:val="BodyText"/>
    <w:rsid w:val="00170D47"/>
    <w:pPr>
      <w:spacing w:before="60" w:after="60"/>
    </w:pPr>
  </w:style>
  <w:style w:type="paragraph" w:styleId="ListContinue">
    <w:name w:val="List Continue"/>
    <w:basedOn w:val="List"/>
    <w:rsid w:val="00170D47"/>
    <w:pPr>
      <w:ind w:firstLine="0"/>
    </w:pPr>
  </w:style>
  <w:style w:type="paragraph" w:customStyle="1" w:styleId="ListNote">
    <w:name w:val="List Note"/>
    <w:basedOn w:val="List"/>
    <w:rsid w:val="00170D47"/>
    <w:pPr>
      <w:pBdr>
        <w:top w:val="single" w:sz="6" w:space="2" w:color="918585"/>
        <w:bottom w:val="single" w:sz="6" w:space="2" w:color="918585"/>
      </w:pBdr>
      <w:tabs>
        <w:tab w:val="left" w:pos="1021"/>
      </w:tabs>
      <w:ind w:firstLine="0"/>
    </w:pPr>
  </w:style>
  <w:style w:type="paragraph" w:customStyle="1" w:styleId="Warning">
    <w:name w:val="Warning"/>
    <w:basedOn w:val="BodyText"/>
    <w:rsid w:val="00170D47"/>
    <w:pPr>
      <w:shd w:val="clear" w:color="auto" w:fill="D9D9D9"/>
      <w:tabs>
        <w:tab w:val="left" w:pos="992"/>
      </w:tabs>
      <w:ind w:left="119" w:right="119"/>
    </w:pPr>
    <w:rPr>
      <w:sz w:val="20"/>
    </w:rPr>
  </w:style>
  <w:style w:type="paragraph" w:customStyle="1" w:styleId="MarginIcons">
    <w:name w:val="Margin Icons"/>
    <w:basedOn w:val="BodyText"/>
    <w:rsid w:val="00170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D47"/>
    <w:rPr>
      <w:rFonts w:ascii="Courier New" w:hAnsi="Courier New"/>
    </w:rPr>
  </w:style>
  <w:style w:type="paragraph" w:customStyle="1" w:styleId="NoteBullet">
    <w:name w:val="Note Bullet"/>
    <w:basedOn w:val="Note"/>
    <w:rsid w:val="00170D47"/>
    <w:pPr>
      <w:tabs>
        <w:tab w:val="clear" w:pos="680"/>
      </w:tabs>
      <w:spacing w:before="60" w:after="60"/>
    </w:pPr>
  </w:style>
  <w:style w:type="paragraph" w:customStyle="1" w:styleId="SubHeading2">
    <w:name w:val="SubHeading2"/>
    <w:basedOn w:val="HeadingBase"/>
    <w:rsid w:val="00170D47"/>
    <w:pPr>
      <w:spacing w:before="240" w:after="60"/>
    </w:pPr>
    <w:rPr>
      <w:sz w:val="20"/>
    </w:rPr>
  </w:style>
  <w:style w:type="paragraph" w:customStyle="1" w:styleId="SubHeading1">
    <w:name w:val="SubHeading1"/>
    <w:basedOn w:val="HeadingBase"/>
    <w:rsid w:val="00170D47"/>
    <w:pPr>
      <w:spacing w:before="240" w:after="60"/>
    </w:pPr>
    <w:rPr>
      <w:color w:val="918585"/>
      <w:sz w:val="22"/>
    </w:rPr>
  </w:style>
  <w:style w:type="paragraph" w:customStyle="1" w:styleId="SideHeading">
    <w:name w:val="Side Heading"/>
    <w:basedOn w:val="HeadingBase"/>
    <w:rsid w:val="00170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D47"/>
    <w:pPr>
      <w:numPr>
        <w:numId w:val="12"/>
      </w:numPr>
    </w:pPr>
  </w:style>
  <w:style w:type="paragraph" w:styleId="PlainText">
    <w:name w:val="Plain Text"/>
    <w:basedOn w:val="Normal"/>
    <w:link w:val="PlainTextChar"/>
    <w:rsid w:val="00170D47"/>
    <w:rPr>
      <w:sz w:val="20"/>
    </w:rPr>
  </w:style>
  <w:style w:type="character" w:customStyle="1" w:styleId="PlainTextChar">
    <w:name w:val="Plain Text Char"/>
    <w:basedOn w:val="DefaultParagraphFont"/>
    <w:link w:val="PlainText"/>
    <w:rsid w:val="00170D47"/>
    <w:rPr>
      <w:rFonts w:ascii="Courier New" w:eastAsia="Times New Roman" w:hAnsi="Courier New" w:cs="Times New Roman"/>
      <w:sz w:val="20"/>
      <w:szCs w:val="20"/>
      <w:lang w:eastAsia="en-US"/>
    </w:rPr>
  </w:style>
  <w:style w:type="character" w:customStyle="1" w:styleId="MenuOption">
    <w:name w:val="Menu Option"/>
    <w:basedOn w:val="DefaultParagraphFont"/>
    <w:rsid w:val="00170D47"/>
    <w:rPr>
      <w:b/>
      <w:smallCaps/>
    </w:rPr>
  </w:style>
  <w:style w:type="paragraph" w:customStyle="1" w:styleId="TableListNumber">
    <w:name w:val="Table List Number"/>
    <w:basedOn w:val="ListNumber"/>
    <w:rsid w:val="00170D47"/>
    <w:pPr>
      <w:numPr>
        <w:numId w:val="0"/>
      </w:numPr>
    </w:pPr>
  </w:style>
  <w:style w:type="paragraph" w:styleId="TOC4">
    <w:name w:val="toc 4"/>
    <w:basedOn w:val="TOCBase"/>
    <w:next w:val="Normal"/>
    <w:semiHidden/>
    <w:rsid w:val="00170D47"/>
    <w:pPr>
      <w:tabs>
        <w:tab w:val="right" w:leader="dot" w:pos="9071"/>
      </w:tabs>
      <w:ind w:left="1701"/>
    </w:pPr>
  </w:style>
  <w:style w:type="paragraph" w:customStyle="1" w:styleId="ListAlpha">
    <w:name w:val="List Alpha"/>
    <w:basedOn w:val="List"/>
    <w:rsid w:val="00170D47"/>
    <w:pPr>
      <w:numPr>
        <w:numId w:val="9"/>
      </w:numPr>
    </w:pPr>
  </w:style>
  <w:style w:type="paragraph" w:customStyle="1" w:styleId="ListAlpha2">
    <w:name w:val="List Alpha 2"/>
    <w:basedOn w:val="List2"/>
    <w:rsid w:val="00170D47"/>
    <w:pPr>
      <w:numPr>
        <w:numId w:val="8"/>
      </w:numPr>
    </w:pPr>
  </w:style>
  <w:style w:type="paragraph" w:styleId="List2">
    <w:name w:val="List 2"/>
    <w:basedOn w:val="BodyText"/>
    <w:rsid w:val="00170D47"/>
    <w:pPr>
      <w:tabs>
        <w:tab w:val="left" w:pos="680"/>
      </w:tabs>
      <w:spacing w:before="60" w:after="60"/>
      <w:ind w:left="680" w:hanging="340"/>
    </w:pPr>
  </w:style>
  <w:style w:type="paragraph" w:styleId="List3">
    <w:name w:val="List 3"/>
    <w:basedOn w:val="BodyText"/>
    <w:rsid w:val="00170D47"/>
    <w:pPr>
      <w:tabs>
        <w:tab w:val="left" w:pos="1021"/>
      </w:tabs>
      <w:spacing w:before="60" w:after="60"/>
      <w:ind w:left="1020" w:hanging="340"/>
    </w:pPr>
  </w:style>
  <w:style w:type="paragraph" w:styleId="List4">
    <w:name w:val="List 4"/>
    <w:basedOn w:val="BodyText"/>
    <w:rsid w:val="00170D47"/>
    <w:pPr>
      <w:tabs>
        <w:tab w:val="left" w:pos="1361"/>
      </w:tabs>
      <w:spacing w:before="60" w:after="60"/>
      <w:ind w:left="1361" w:hanging="340"/>
    </w:pPr>
  </w:style>
  <w:style w:type="paragraph" w:styleId="List5">
    <w:name w:val="List 5"/>
    <w:basedOn w:val="BodyText"/>
    <w:rsid w:val="00170D47"/>
    <w:pPr>
      <w:tabs>
        <w:tab w:val="left" w:pos="1701"/>
      </w:tabs>
      <w:spacing w:before="60" w:after="60"/>
      <w:ind w:left="1701" w:hanging="340"/>
    </w:pPr>
  </w:style>
  <w:style w:type="paragraph" w:styleId="ListBullet3">
    <w:name w:val="List Bullet 3"/>
    <w:basedOn w:val="List3"/>
    <w:rsid w:val="00170D47"/>
    <w:pPr>
      <w:numPr>
        <w:numId w:val="15"/>
      </w:numPr>
      <w:tabs>
        <w:tab w:val="clear" w:pos="1021"/>
      </w:tabs>
      <w:ind w:left="1037" w:hanging="357"/>
    </w:pPr>
  </w:style>
  <w:style w:type="paragraph" w:styleId="ListBullet4">
    <w:name w:val="List Bullet 4"/>
    <w:basedOn w:val="List4"/>
    <w:rsid w:val="00170D47"/>
    <w:pPr>
      <w:numPr>
        <w:numId w:val="3"/>
      </w:numPr>
      <w:tabs>
        <w:tab w:val="clear" w:pos="1361"/>
      </w:tabs>
    </w:pPr>
  </w:style>
  <w:style w:type="paragraph" w:styleId="ListBullet5">
    <w:name w:val="List Bullet 5"/>
    <w:basedOn w:val="List5"/>
    <w:rsid w:val="00170D47"/>
    <w:pPr>
      <w:numPr>
        <w:numId w:val="4"/>
      </w:numPr>
    </w:pPr>
  </w:style>
  <w:style w:type="paragraph" w:styleId="ListContinue2">
    <w:name w:val="List Continue 2"/>
    <w:basedOn w:val="List2"/>
    <w:rsid w:val="00170D47"/>
    <w:pPr>
      <w:ind w:firstLine="0"/>
    </w:pPr>
  </w:style>
  <w:style w:type="paragraph" w:styleId="ListContinue3">
    <w:name w:val="List Continue 3"/>
    <w:basedOn w:val="List3"/>
    <w:rsid w:val="00170D47"/>
    <w:pPr>
      <w:ind w:left="1021" w:firstLine="0"/>
    </w:pPr>
  </w:style>
  <w:style w:type="paragraph" w:styleId="ListContinue4">
    <w:name w:val="List Continue 4"/>
    <w:basedOn w:val="List4"/>
    <w:rsid w:val="00170D47"/>
    <w:pPr>
      <w:ind w:firstLine="0"/>
    </w:pPr>
  </w:style>
  <w:style w:type="paragraph" w:styleId="ListContinue5">
    <w:name w:val="List Continue 5"/>
    <w:basedOn w:val="List5"/>
    <w:rsid w:val="00170D47"/>
    <w:pPr>
      <w:ind w:firstLine="0"/>
    </w:pPr>
  </w:style>
  <w:style w:type="paragraph" w:styleId="ListNumber3">
    <w:name w:val="List Number 3"/>
    <w:basedOn w:val="List3"/>
    <w:rsid w:val="00170D47"/>
    <w:pPr>
      <w:numPr>
        <w:numId w:val="5"/>
      </w:numPr>
    </w:pPr>
  </w:style>
  <w:style w:type="paragraph" w:styleId="ListNumber4">
    <w:name w:val="List Number 4"/>
    <w:basedOn w:val="List4"/>
    <w:rsid w:val="00170D47"/>
    <w:pPr>
      <w:numPr>
        <w:numId w:val="6"/>
      </w:numPr>
    </w:pPr>
  </w:style>
  <w:style w:type="paragraph" w:styleId="ListNumber5">
    <w:name w:val="List Number 5"/>
    <w:basedOn w:val="List5"/>
    <w:rsid w:val="00170D47"/>
    <w:pPr>
      <w:numPr>
        <w:numId w:val="7"/>
      </w:numPr>
    </w:pPr>
  </w:style>
  <w:style w:type="paragraph" w:styleId="BlockText">
    <w:name w:val="Block Text"/>
    <w:basedOn w:val="Normal"/>
    <w:rsid w:val="00170D47"/>
    <w:pPr>
      <w:spacing w:after="120"/>
      <w:ind w:left="1440" w:right="1440"/>
    </w:pPr>
  </w:style>
  <w:style w:type="character" w:customStyle="1" w:styleId="Subscript">
    <w:name w:val="Subscript"/>
    <w:basedOn w:val="DefaultParagraphFont"/>
    <w:rsid w:val="00170D47"/>
    <w:rPr>
      <w:sz w:val="16"/>
      <w:vertAlign w:val="subscript"/>
    </w:rPr>
  </w:style>
  <w:style w:type="character" w:customStyle="1" w:styleId="Superscript">
    <w:name w:val="Superscript"/>
    <w:basedOn w:val="DefaultParagraphFont"/>
    <w:rsid w:val="00170D47"/>
    <w:rPr>
      <w:sz w:val="16"/>
      <w:vertAlign w:val="superscript"/>
    </w:rPr>
  </w:style>
  <w:style w:type="character" w:customStyle="1" w:styleId="Symbols">
    <w:name w:val="Symbols"/>
    <w:basedOn w:val="DefaultParagraphFont"/>
    <w:rsid w:val="00170D47"/>
    <w:rPr>
      <w:rFonts w:ascii="Symbol" w:hAnsi="Symbol"/>
    </w:rPr>
  </w:style>
  <w:style w:type="character" w:customStyle="1" w:styleId="MenuOptions">
    <w:name w:val="Menu Options"/>
    <w:basedOn w:val="DefaultParagraphFont"/>
    <w:rsid w:val="00170D47"/>
    <w:rPr>
      <w:rFonts w:ascii="Arial Narrow" w:hAnsi="Arial Narrow"/>
      <w:smallCaps/>
    </w:rPr>
  </w:style>
  <w:style w:type="character" w:customStyle="1" w:styleId="Buttons">
    <w:name w:val="Buttons"/>
    <w:basedOn w:val="DefaultParagraphFont"/>
    <w:rsid w:val="00170D47"/>
    <w:rPr>
      <w:b/>
    </w:rPr>
  </w:style>
  <w:style w:type="character" w:customStyle="1" w:styleId="Underlined">
    <w:name w:val="Underlined"/>
    <w:basedOn w:val="DefaultParagraphFont"/>
    <w:rsid w:val="00170D47"/>
    <w:rPr>
      <w:u w:val="single"/>
    </w:rPr>
  </w:style>
  <w:style w:type="paragraph" w:customStyle="1" w:styleId="TableBodyTextRight">
    <w:name w:val="Table Body Text Right"/>
    <w:basedOn w:val="TableBodyText"/>
    <w:rsid w:val="00170D47"/>
    <w:pPr>
      <w:widowControl w:val="0"/>
      <w:autoSpaceDE w:val="0"/>
      <w:autoSpaceDN w:val="0"/>
      <w:adjustRightInd w:val="0"/>
      <w:jc w:val="right"/>
    </w:pPr>
    <w:rPr>
      <w:rFonts w:cs="Arial"/>
      <w:szCs w:val="18"/>
    </w:rPr>
  </w:style>
  <w:style w:type="paragraph" w:customStyle="1" w:styleId="CopyrightText">
    <w:name w:val="Copyright Text"/>
    <w:basedOn w:val="BodyText"/>
    <w:rsid w:val="00170D47"/>
    <w:rPr>
      <w:sz w:val="18"/>
    </w:rPr>
  </w:style>
  <w:style w:type="paragraph" w:customStyle="1" w:styleId="BodySmallRight">
    <w:name w:val="Body Small Right"/>
    <w:basedOn w:val="BodyTextRight"/>
    <w:rsid w:val="00170D47"/>
    <w:rPr>
      <w:sz w:val="18"/>
      <w:szCs w:val="18"/>
    </w:rPr>
  </w:style>
  <w:style w:type="paragraph" w:customStyle="1" w:styleId="MarginEdition">
    <w:name w:val="Margin Edition"/>
    <w:basedOn w:val="MarginNote"/>
    <w:rsid w:val="00170D47"/>
    <w:pPr>
      <w:spacing w:before="0" w:after="0"/>
    </w:pPr>
    <w:rPr>
      <w:rFonts w:ascii="Times New Roman" w:hAnsi="Times New Roman"/>
      <w:color w:val="999999"/>
    </w:rPr>
  </w:style>
  <w:style w:type="paragraph" w:customStyle="1" w:styleId="Spacer">
    <w:name w:val="Spacer"/>
    <w:basedOn w:val="Normal"/>
    <w:rsid w:val="00170D47"/>
    <w:rPr>
      <w:sz w:val="2"/>
      <w:szCs w:val="2"/>
    </w:rPr>
  </w:style>
  <w:style w:type="character" w:customStyle="1" w:styleId="Small">
    <w:name w:val="Small"/>
    <w:basedOn w:val="DefaultParagraphFont"/>
    <w:rsid w:val="00170D47"/>
    <w:rPr>
      <w:sz w:val="16"/>
    </w:rPr>
  </w:style>
  <w:style w:type="paragraph" w:customStyle="1" w:styleId="WideTable">
    <w:name w:val="Wide Table"/>
    <w:basedOn w:val="Normal"/>
    <w:rsid w:val="00170D47"/>
    <w:pPr>
      <w:ind w:left="-1418"/>
    </w:pPr>
    <w:rPr>
      <w:sz w:val="2"/>
      <w:szCs w:val="2"/>
    </w:rPr>
  </w:style>
  <w:style w:type="character" w:styleId="PageNumber">
    <w:name w:val="page number"/>
    <w:basedOn w:val="DefaultParagraphFont"/>
    <w:rsid w:val="00170D47"/>
  </w:style>
  <w:style w:type="paragraph" w:styleId="Quote">
    <w:name w:val="Quote"/>
    <w:basedOn w:val="Heading1"/>
    <w:link w:val="QuoteChar"/>
    <w:qFormat/>
    <w:rsid w:val="00170D47"/>
    <w:rPr>
      <w:b w:val="0"/>
      <w:sz w:val="72"/>
      <w:szCs w:val="72"/>
      <w:lang w:val="en-NZ"/>
    </w:rPr>
  </w:style>
  <w:style w:type="character" w:customStyle="1" w:styleId="QuoteChar">
    <w:name w:val="Quote Char"/>
    <w:basedOn w:val="DefaultParagraphFont"/>
    <w:link w:val="Quote"/>
    <w:rsid w:val="00170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D47"/>
    <w:pPr>
      <w:pageBreakBefore/>
    </w:pPr>
  </w:style>
  <w:style w:type="paragraph" w:customStyle="1" w:styleId="Border">
    <w:name w:val="Border"/>
    <w:basedOn w:val="Normal"/>
    <w:qFormat/>
    <w:rsid w:val="00170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D47"/>
    <w:rPr>
      <w:b/>
      <w:bCs/>
      <w:i/>
      <w:iCs/>
      <w:color w:val="auto"/>
    </w:rPr>
  </w:style>
  <w:style w:type="paragraph" w:styleId="IntenseQuote">
    <w:name w:val="Intense Quote"/>
    <w:basedOn w:val="Normal"/>
    <w:next w:val="Normal"/>
    <w:link w:val="IntenseQuoteChar"/>
    <w:uiPriority w:val="30"/>
    <w:qFormat/>
    <w:rsid w:val="00170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D47"/>
    <w:rPr>
      <w:smallCaps/>
      <w:color w:val="auto"/>
      <w:u w:val="single"/>
    </w:rPr>
  </w:style>
  <w:style w:type="character" w:styleId="IntenseReference">
    <w:name w:val="Intense Reference"/>
    <w:basedOn w:val="DefaultParagraphFont"/>
    <w:uiPriority w:val="32"/>
    <w:qFormat/>
    <w:rsid w:val="00170D47"/>
    <w:rPr>
      <w:b/>
      <w:bCs/>
      <w:smallCaps/>
      <w:color w:val="auto"/>
      <w:spacing w:val="5"/>
      <w:u w:val="single"/>
    </w:rPr>
  </w:style>
  <w:style w:type="paragraph" w:customStyle="1" w:styleId="2ColumnHeading">
    <w:name w:val="2Column Heading"/>
    <w:basedOn w:val="BodyText"/>
    <w:qFormat/>
    <w:rsid w:val="00170D47"/>
    <w:pPr>
      <w:spacing w:after="60"/>
      <w:ind w:left="-2268"/>
    </w:pPr>
    <w:rPr>
      <w:b/>
    </w:rPr>
  </w:style>
  <w:style w:type="paragraph" w:customStyle="1" w:styleId="Heading1TOC">
    <w:name w:val="Heading1 TOC"/>
    <w:basedOn w:val="Normal"/>
    <w:qFormat/>
    <w:rsid w:val="00170D47"/>
    <w:pPr>
      <w:spacing w:before="240" w:after="120"/>
    </w:pPr>
    <w:rPr>
      <w:rFonts w:ascii="Times New Roman" w:hAnsi="Times New Roman"/>
      <w:b/>
      <w:sz w:val="32"/>
    </w:rPr>
  </w:style>
  <w:style w:type="paragraph" w:customStyle="1" w:styleId="Heading2TOC">
    <w:name w:val="Heading2 TOC"/>
    <w:basedOn w:val="Normal"/>
    <w:qFormat/>
    <w:rsid w:val="00170D47"/>
    <w:pPr>
      <w:spacing w:before="240" w:after="60"/>
    </w:pPr>
    <w:rPr>
      <w:rFonts w:ascii="Times New Roman" w:hAnsi="Times New Roman"/>
      <w:b/>
      <w:sz w:val="28"/>
    </w:rPr>
  </w:style>
  <w:style w:type="character" w:customStyle="1" w:styleId="Underline">
    <w:name w:val="Underline"/>
    <w:basedOn w:val="DefaultParagraphFont"/>
    <w:qFormat/>
    <w:rsid w:val="00170D47"/>
    <w:rPr>
      <w:u w:val="single"/>
    </w:rPr>
  </w:style>
  <w:style w:type="character" w:customStyle="1" w:styleId="BoldandItalics">
    <w:name w:val="Bold and Italics"/>
    <w:qFormat/>
    <w:rsid w:val="00170D47"/>
    <w:rPr>
      <w:b/>
      <w:i/>
      <w:u w:val="none"/>
    </w:rPr>
  </w:style>
  <w:style w:type="paragraph" w:styleId="BalloonText">
    <w:name w:val="Balloon Text"/>
    <w:basedOn w:val="Normal"/>
    <w:link w:val="BalloonTextChar"/>
    <w:rsid w:val="00170D47"/>
    <w:rPr>
      <w:rFonts w:ascii="Tahoma" w:hAnsi="Tahoma" w:cs="Tahoma"/>
      <w:sz w:val="16"/>
      <w:szCs w:val="16"/>
    </w:rPr>
  </w:style>
  <w:style w:type="character" w:customStyle="1" w:styleId="BalloonTextChar">
    <w:name w:val="Balloon Text Char"/>
    <w:basedOn w:val="DefaultParagraphFont"/>
    <w:link w:val="BalloonText"/>
    <w:rsid w:val="00170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D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0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D47"/>
    <w:rPr>
      <w:b/>
      <w:color w:val="660033"/>
      <w:spacing w:val="0"/>
    </w:rPr>
  </w:style>
  <w:style w:type="paragraph" w:customStyle="1" w:styleId="Nameditemlist">
    <w:name w:val="Named item list"/>
    <w:basedOn w:val="BodyText"/>
    <w:qFormat/>
    <w:rsid w:val="00170D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3056</Words>
  <Characters>19397</Characters>
  <Application>Microsoft Office Word</Application>
  <DocSecurity>0</DocSecurity>
  <Lines>615</Lines>
  <Paragraphs>252</Paragraphs>
  <ScaleCrop>false</ScaleCrop>
  <Company>Author-it Software Corporation Ltd.</Company>
  <LinksUpToDate>false</LinksUpToDate>
  <CharactersWithSpaces>22293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UEENEEM030A Maintain equipment in hazardous areas - pressurisation</dc:title>
  <dc:subject>Approved</dc:subject>
  <dc:creator>E-OZ Training Standards</dc:creator>
  <cp:keywords>Release 4</cp:keywords>
  <dc:description>Review Date: 12 April 2008</dc:description>
  <cp:lastModifiedBy>TPCMS</cp:lastModifiedBy>
  <cp:revision>3</cp:revision>
  <dcterms:created xsi:type="dcterms:W3CDTF">2014-12-16T11:52:04Z</dcterms:created>
  <dcterms:modified xsi:type="dcterms:W3CDTF">2014-12-16T00:21:00Z</dcterms:modified>
</cp:coreProperties>
</file>