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6679" w:rsidP="00806679">
      <w:pPr>
        <w:pStyle w:val="Title"/>
      </w:pPr>
      <w:r>
        <w:fldChar w:fldCharType="begin"/>
      </w:r>
      <w:r>
        <w:instrText xml:space="preserve"> TITLE   \* MERGEFORMAT </w:instrText>
      </w:r>
      <w:r>
        <w:fldChar w:fldCharType="separate"/>
      </w:r>
      <w:r>
        <w:t>UEENEEM024A Install explosion-protected equipment and wiring systems - gas atmospheres</w:t>
      </w:r>
      <w:r>
        <w:fldChar w:fldCharType="end"/>
      </w:r>
    </w:p>
    <w:p w:rsidR="00806679" w:rsidP="00806679">
      <w:pPr>
        <w:pStyle w:val="Version"/>
        <w:sectPr w:rsidSect="00505B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505B7C" w:rsidP="00505B7C">
      <w:pPr>
        <w:pStyle w:val="SuperHeading"/>
      </w:pPr>
      <w:r w:rsidRPr="00505B7C">
        <w:t>UEENEEM024A Install explosion-protected equipment and wiring systems - gas atmospheres</w:t>
      </w:r>
    </w:p>
    <w:p w:rsidR="00000000" w:rsidRPr="00505B7C" w:rsidP="00505B7C">
      <w:pPr>
        <w:pStyle w:val="Heading1"/>
      </w:pPr>
      <w:bookmarkStart w:id="1" w:name="O_700192"/>
      <w:bookmarkEnd w:id="1"/>
      <w:r w:rsidRPr="00505B7C">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8066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B7C">
            <w:pPr>
              <w:pStyle w:val="BodyText"/>
              <w:rPr>
                <w:lang w:val="en-NZ"/>
              </w:rPr>
            </w:pPr>
            <w:r w:rsidRPr="00505B7C">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B7C">
            <w:pPr>
              <w:pStyle w:val="BodyText"/>
              <w:rPr>
                <w:lang w:val="en-NZ"/>
              </w:rPr>
            </w:pPr>
            <w:r w:rsidRPr="00505B7C">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B7C">
            <w:pPr>
              <w:pStyle w:val="BodyText"/>
              <w:rPr>
                <w:lang w:val="en-NZ"/>
              </w:rPr>
            </w:pPr>
            <w:r w:rsidRPr="00505B7C">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B7C">
            <w:pPr>
              <w:pStyle w:val="BodyText"/>
              <w:rPr>
                <w:lang w:val="en-NZ"/>
              </w:rPr>
            </w:pPr>
            <w:r w:rsidRPr="00505B7C">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B7C">
            <w:pPr>
              <w:pStyle w:val="BodyText"/>
              <w:rPr>
                <w:lang w:val="en-NZ"/>
              </w:rPr>
            </w:pPr>
            <w:r w:rsidRPr="00505B7C">
              <w:t>Points</w:t>
            </w:r>
          </w:p>
        </w:tc>
      </w:tr>
      <w:tr w:rsidTr="008066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5B7C">
            <w:pPr>
              <w:pStyle w:val="BodyText"/>
              <w:rPr>
                <w:lang w:val="en-NZ"/>
              </w:rPr>
            </w:pPr>
            <w:r w:rsidRPr="00505B7C">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5B7C">
            <w:pPr>
              <w:pStyle w:val="BodyText"/>
              <w:rPr>
                <w:lang w:val="en-NZ"/>
              </w:rPr>
            </w:pPr>
            <w:r w:rsidRPr="00505B7C">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5B7C" w:rsidP="00505B7C">
            <w:pPr>
              <w:pStyle w:val="BodyText"/>
            </w:pPr>
            <w:r w:rsidRPr="00505B7C">
              <w:t xml:space="preserve">Update recommended pre-requisite </w:t>
            </w:r>
          </w:p>
          <w:p w:rsidR="00000000" w:rsidP="00505B7C">
            <w:pPr>
              <w:pStyle w:val="BodyText"/>
              <w:rPr>
                <w:lang w:val="en-NZ"/>
              </w:rPr>
            </w:pPr>
            <w:r w:rsidRPr="00505B7C">
              <w:t>UEENEEG105A - Verify compliance and functionality of low voltage general electrical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5B7C">
            <w:pPr>
              <w:pStyle w:val="BodyText"/>
              <w:rPr>
                <w:lang w:val="en-NZ"/>
              </w:rPr>
            </w:pPr>
          </w:p>
        </w:tc>
      </w:tr>
      <w:tr w:rsidTr="008066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5B7C">
            <w:pPr>
              <w:pStyle w:val="BodyText"/>
              <w:rPr>
                <w:lang w:val="en-NZ"/>
              </w:rPr>
            </w:pPr>
            <w:r w:rsidRPr="00505B7C">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5B7C">
            <w:pPr>
              <w:pStyle w:val="BodyText"/>
              <w:rPr>
                <w:lang w:val="en-NZ"/>
              </w:rPr>
            </w:pPr>
            <w:r w:rsidRPr="00505B7C">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5B7C" w:rsidP="00505B7C">
            <w:pPr>
              <w:pStyle w:val="BodyText"/>
            </w:pPr>
            <w:r w:rsidRPr="00505B7C">
              <w:t xml:space="preserve">Update recommended pre-requisite </w:t>
            </w:r>
          </w:p>
          <w:p w:rsidR="00000000" w:rsidP="00505B7C">
            <w:pPr>
              <w:pStyle w:val="BodyText"/>
              <w:rPr>
                <w:lang w:val="en-NZ"/>
              </w:rPr>
            </w:pPr>
            <w:r w:rsidRPr="00505B7C">
              <w:t>UEENEEH150A - Assemble and set up basic security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5B7C">
            <w:pPr>
              <w:pStyle w:val="BodyText"/>
              <w:rPr>
                <w:lang w:val="en-NZ"/>
              </w:rPr>
            </w:pPr>
          </w:p>
        </w:tc>
      </w:tr>
      <w:tr w:rsidTr="008066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5B7C">
            <w:pPr>
              <w:pStyle w:val="BodyText"/>
              <w:rPr>
                <w:lang w:val="en-NZ"/>
              </w:rPr>
            </w:pPr>
            <w:r w:rsidRPr="00505B7C">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5B7C">
            <w:pPr>
              <w:pStyle w:val="BodyText"/>
              <w:rPr>
                <w:lang w:val="en-NZ"/>
              </w:rPr>
            </w:pPr>
            <w:r w:rsidRPr="00505B7C">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5B7C" w:rsidP="00505B7C">
            <w:pPr>
              <w:pStyle w:val="BodyText"/>
            </w:pPr>
            <w:r w:rsidRPr="00505B7C">
              <w:t xml:space="preserve">Update recommended pre-requisite </w:t>
            </w:r>
          </w:p>
          <w:p w:rsidR="00000000" w:rsidP="00505B7C">
            <w:pPr>
              <w:pStyle w:val="BodyText"/>
              <w:rPr>
                <w:lang w:val="en-NZ"/>
              </w:rPr>
            </w:pPr>
            <w:r w:rsidRPr="00505B7C">
              <w:t>UEENEEI112A - Verify compliance and functionality of instrumentation and control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5B7C">
            <w:pPr>
              <w:pStyle w:val="BodyText"/>
              <w:rPr>
                <w:lang w:val="en-NZ"/>
              </w:rPr>
            </w:pPr>
          </w:p>
        </w:tc>
      </w:tr>
      <w:tr w:rsidTr="008066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5B7C">
            <w:pPr>
              <w:pStyle w:val="BodyText"/>
              <w:rPr>
                <w:lang w:val="en-NZ"/>
              </w:rPr>
            </w:pPr>
            <w:r w:rsidRPr="00505B7C">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5B7C">
            <w:pPr>
              <w:pStyle w:val="BodyText"/>
              <w:rPr>
                <w:lang w:val="en-NZ"/>
              </w:rPr>
            </w:pPr>
            <w:r w:rsidRPr="00505B7C">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5B7C" w:rsidP="00505B7C">
            <w:pPr>
              <w:pStyle w:val="BodyText"/>
            </w:pPr>
            <w:r w:rsidRPr="00505B7C">
              <w:t xml:space="preserve">Update recommended pre-requisite </w:t>
            </w:r>
          </w:p>
          <w:p w:rsidR="00000000" w:rsidP="00505B7C">
            <w:pPr>
              <w:pStyle w:val="BodyText"/>
              <w:rPr>
                <w:lang w:val="en-NZ"/>
              </w:rPr>
            </w:pPr>
            <w:r w:rsidRPr="00505B7C">
              <w:t>UEENEEF104A - Install and modify performance data communication copper cabling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5B7C" w:rsidP="00505B7C">
            <w:pPr>
              <w:pStyle w:val="BodyText"/>
            </w:pPr>
          </w:p>
        </w:tc>
      </w:tr>
    </w:tbl>
    <w:p w:rsidR="00000000" w:rsidRPr="00505B7C" w:rsidP="00505B7C">
      <w:pPr>
        <w:pStyle w:val="BodyText"/>
      </w:pPr>
    </w:p>
    <w:p w:rsidR="00000000" w:rsidRPr="00505B7C" w:rsidP="00505B7C">
      <w:pPr>
        <w:pStyle w:val="AllowPageBreak"/>
      </w:pPr>
    </w:p>
    <w:p w:rsidR="00000000" w:rsidRPr="00505B7C" w:rsidP="00505B7C">
      <w:pPr>
        <w:pStyle w:val="Heading1"/>
      </w:pPr>
      <w:bookmarkStart w:id="2" w:name="O_700191"/>
      <w:bookmarkEnd w:id="2"/>
      <w:r w:rsidRPr="00505B7C">
        <w:t>Unit Descriptor</w:t>
      </w:r>
    </w:p>
    <w:tbl>
      <w:tblPr>
        <w:tblW w:w="0" w:type="auto"/>
        <w:tblLayout w:type="fixed"/>
        <w:tblCellMar>
          <w:left w:w="62" w:type="dxa"/>
          <w:right w:w="62" w:type="dxa"/>
        </w:tblCellMar>
        <w:tblLook w:val="0000"/>
      </w:tblPr>
      <w:tblGrid>
        <w:gridCol w:w="2697"/>
        <w:gridCol w:w="5763"/>
      </w:tblGrid>
      <w:tr w:rsidTr="00806679">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rPr>
                <w:rStyle w:val="SpecialBold"/>
              </w:rPr>
              <w:t>1</w:t>
            </w:r>
            <w:r w:rsidRPr="00505B7C">
              <w:t xml:space="preserve">) </w:t>
            </w:r>
          </w:p>
          <w:p w:rsidR="00000000" w:rsidP="00505B7C">
            <w:pPr>
              <w:pStyle w:val="BodyText"/>
              <w:rPr>
                <w:lang w:val="en-NZ"/>
              </w:rPr>
            </w:pPr>
            <w:r w:rsidRPr="00505B7C">
              <w:rPr>
                <w:rStyle w:val="SpecialBold"/>
              </w:rPr>
              <w:t>1</w:t>
            </w:r>
            <w:r w:rsidRPr="00505B7C">
              <w:t>.</w:t>
            </w:r>
            <w:r w:rsidRPr="00505B7C">
              <w:rPr>
                <w:rStyle w:val="SpecialBold"/>
              </w:rPr>
              <w:t>1</w:t>
            </w:r>
            <w:r w:rsidRPr="00505B7C">
              <w:t xml:space="preserve">) </w:t>
            </w:r>
            <w:r w:rsidRPr="00505B7C">
              <w:rPr>
                <w:rStyle w:val="SpecialBold"/>
              </w:rPr>
              <w:t>Descriptor</w:t>
            </w:r>
          </w:p>
        </w:tc>
      </w:tr>
      <w:tr w:rsidTr="00806679">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t>This unit covers the explosion-protection aspects for installing explosion-protected and associated equipment and wiring systems. It requires the ability to match equipment with that specified for a given location, wor</w:t>
            </w:r>
            <w:r w:rsidRPr="00505B7C">
              <w:t>k safely, and to installation standards and complete the necessary installation documentation.</w:t>
            </w:r>
          </w:p>
          <w:p w:rsidR="00000000" w:rsidRPr="00505B7C" w:rsidP="00505B7C">
            <w:pPr>
              <w:pStyle w:val="BodyText"/>
            </w:pPr>
            <w:r w:rsidRPr="00505B7C">
              <w:t xml:space="preserve">This unit is directly equivalent to the Unit </w:t>
            </w:r>
            <w:r w:rsidRPr="00505B7C">
              <w:rPr>
                <w:rStyle w:val="Emphasis"/>
              </w:rPr>
              <w:t>2</w:t>
            </w:r>
            <w:r w:rsidRPr="00505B7C">
              <w:t>.</w:t>
            </w:r>
            <w:r w:rsidRPr="00505B7C">
              <w:rPr>
                <w:rStyle w:val="Emphasis"/>
              </w:rPr>
              <w:t>5 Install explosion</w:t>
            </w:r>
            <w:r w:rsidRPr="00505B7C">
              <w:t>-</w:t>
            </w:r>
            <w:r w:rsidRPr="00505B7C">
              <w:rPr>
                <w:rStyle w:val="Emphasis"/>
              </w:rPr>
              <w:t>protected equipment and wiring systems</w:t>
            </w:r>
            <w:r w:rsidRPr="00505B7C">
              <w:t xml:space="preserve"> in the Australian/New Zealand Standard </w:t>
            </w:r>
            <w:r w:rsidRPr="00505B7C">
              <w:rPr>
                <w:rStyle w:val="Emphasis"/>
              </w:rPr>
              <w:t>AS</w:t>
            </w:r>
            <w:r w:rsidRPr="00505B7C">
              <w:t>/</w:t>
            </w:r>
            <w:r w:rsidRPr="00505B7C">
              <w:rPr>
                <w:rStyle w:val="Emphasis"/>
              </w:rPr>
              <w:t>NZS 4761</w:t>
            </w:r>
            <w:r w:rsidRPr="00505B7C">
              <w:t>.</w:t>
            </w:r>
            <w:r w:rsidRPr="00505B7C">
              <w:rPr>
                <w:rStyle w:val="Emphasis"/>
              </w:rPr>
              <w:t>1 Co</w:t>
            </w:r>
            <w:r w:rsidRPr="00505B7C">
              <w:rPr>
                <w:rStyle w:val="Emphasis"/>
              </w:rPr>
              <w:t xml:space="preserve">mpetencies for working with electrical equipment for </w:t>
            </w:r>
            <w:r w:rsidRPr="00505B7C">
              <w:rPr>
                <w:rStyle w:val="Emphasis"/>
              </w:rPr>
              <w:t>hazardous areas</w:t>
            </w:r>
            <w:r w:rsidRPr="00505B7C">
              <w:t xml:space="preserve"> (</w:t>
            </w:r>
            <w:r w:rsidRPr="00505B7C">
              <w:rPr>
                <w:rStyle w:val="Emphasis"/>
              </w:rPr>
              <w:t>EEHA</w:t>
            </w:r>
            <w:r w:rsidRPr="00505B7C">
              <w:t xml:space="preserve">) </w:t>
            </w:r>
            <w:r w:rsidRPr="00505B7C">
              <w:rPr>
                <w:rStyle w:val="Emphasis"/>
              </w:rPr>
              <w:t>Part 1</w:t>
            </w:r>
            <w:r w:rsidRPr="00505B7C">
              <w:t xml:space="preserve">: </w:t>
            </w:r>
            <w:r w:rsidRPr="00505B7C">
              <w:rPr>
                <w:rStyle w:val="Emphasis"/>
              </w:rPr>
              <w:t>Competency Standards</w:t>
            </w:r>
            <w:r w:rsidRPr="00505B7C">
              <w:t>. Equivalence includes endorsement in the explosion-protection techniques listed in the Range statement of this unit.</w:t>
            </w:r>
          </w:p>
        </w:tc>
      </w:tr>
    </w:tbl>
    <w:p w:rsidR="00806679" w:rsidP="00505B7C">
      <w:pPr>
        <w:pStyle w:val="BodyText"/>
      </w:pPr>
    </w:p>
    <w:p w:rsidR="00806679" w:rsidP="00505B7C">
      <w:pPr>
        <w:pStyle w:val="BodyText"/>
      </w:pPr>
    </w:p>
    <w:p w:rsidR="00000000" w:rsidRPr="00505B7C" w:rsidP="00505B7C">
      <w:pPr>
        <w:pStyle w:val="Heading1"/>
      </w:pPr>
      <w:bookmarkStart w:id="3" w:name="O_700190"/>
      <w:bookmarkEnd w:id="3"/>
      <w:r w:rsidRPr="00505B7C">
        <w:t>Application of the Unit</w:t>
      </w:r>
    </w:p>
    <w:tbl>
      <w:tblPr>
        <w:tblW w:w="0" w:type="auto"/>
        <w:tblLayout w:type="fixed"/>
        <w:tblCellMar>
          <w:left w:w="62" w:type="dxa"/>
          <w:right w:w="62" w:type="dxa"/>
        </w:tblCellMar>
        <w:tblLook w:val="0000"/>
      </w:tblPr>
      <w:tblGrid>
        <w:gridCol w:w="2697"/>
        <w:gridCol w:w="5763"/>
      </w:tblGrid>
      <w:tr w:rsidTr="00806679">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rPr>
                <w:rStyle w:val="SpecialBold"/>
              </w:rPr>
              <w:t>Application of the Unit</w:t>
            </w:r>
          </w:p>
        </w:tc>
        <w:tc>
          <w:tcPr>
            <w:tcW w:w="5763"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rPr>
                <w:rStyle w:val="SpecialBold"/>
              </w:rPr>
              <w:t>4</w:t>
            </w:r>
            <w:r w:rsidRPr="00505B7C">
              <w:t>)</w:t>
            </w:r>
          </w:p>
        </w:tc>
      </w:tr>
      <w:tr w:rsidTr="00806679">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t>This unit augments other formally-acquired competencies in a relevant industry and shall be used only in conjunction such competencies. It applies to electrical, instrumentation, electronics and data com</w:t>
            </w:r>
            <w:r w:rsidRPr="00505B7C">
              <w:t>munication installation job functions at AQF 3 or higher. It is suitable for employment-based programs under an approved contract of training.</w:t>
            </w:r>
          </w:p>
          <w:p w:rsidR="00000000" w:rsidRPr="00505B7C" w:rsidP="00505B7C">
            <w:pPr>
              <w:pStyle w:val="BodyText"/>
            </w:pPr>
            <w:r w:rsidRPr="00505B7C">
              <w:t>Note:</w:t>
            </w:r>
          </w:p>
          <w:p w:rsidR="00000000" w:rsidRPr="00505B7C" w:rsidP="00505B7C">
            <w:pPr>
              <w:pStyle w:val="BodyText"/>
            </w:pPr>
            <w:r w:rsidRPr="00505B7C">
              <w:t>Examples of relevant industries include aviations, electrical installation and maintenance, fuel storage an</w:t>
            </w:r>
            <w:r w:rsidRPr="00505B7C">
              <w:t>d dispensing industrial process, instrumentation and control, marine, material handling and storage, mining, and petrochemical.</w:t>
            </w:r>
          </w:p>
        </w:tc>
      </w:tr>
    </w:tbl>
    <w:p w:rsidR="00806679" w:rsidP="00505B7C">
      <w:pPr>
        <w:pStyle w:val="BodyText"/>
      </w:pPr>
    </w:p>
    <w:p w:rsidR="00806679" w:rsidP="00505B7C">
      <w:pPr>
        <w:pStyle w:val="BodyText"/>
      </w:pPr>
    </w:p>
    <w:p w:rsidR="00000000" w:rsidRPr="00505B7C" w:rsidP="00505B7C">
      <w:pPr>
        <w:pStyle w:val="Heading1"/>
      </w:pPr>
      <w:bookmarkStart w:id="4" w:name="O_700189"/>
      <w:bookmarkEnd w:id="4"/>
      <w:r w:rsidRPr="00505B7C">
        <w:t>Licensing/Regulatory Information</w:t>
      </w:r>
    </w:p>
    <w:tbl>
      <w:tblPr>
        <w:tblW w:w="0" w:type="auto"/>
        <w:tblLayout w:type="fixed"/>
        <w:tblCellMar>
          <w:left w:w="62" w:type="dxa"/>
          <w:right w:w="62" w:type="dxa"/>
        </w:tblCellMar>
        <w:tblLook w:val="0000"/>
      </w:tblPr>
      <w:tblGrid>
        <w:gridCol w:w="8460"/>
      </w:tblGrid>
      <w:tr w:rsidTr="0080667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rPr>
                <w:rStyle w:val="SpecialBold"/>
              </w:rPr>
              <w:t>1</w:t>
            </w:r>
            <w:r w:rsidRPr="00505B7C">
              <w:t>.</w:t>
            </w:r>
            <w:r w:rsidRPr="00505B7C">
              <w:rPr>
                <w:rStyle w:val="SpecialBold"/>
              </w:rPr>
              <w:t>2</w:t>
            </w:r>
            <w:r w:rsidRPr="00505B7C">
              <w:t xml:space="preserve">) </w:t>
            </w:r>
            <w:r w:rsidRPr="00505B7C">
              <w:rPr>
                <w:rStyle w:val="SpecialBold"/>
              </w:rPr>
              <w:t>License to practice</w:t>
            </w:r>
          </w:p>
        </w:tc>
      </w:tr>
      <w:tr w:rsidTr="0080667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t>The skills and knowledge described in this unit require a license to practice in the workplace where plant and equipment operate at voltage above 50 V a.c. or 120 V d.c. Other conditions related to communications, electrical work, fire protection, gas work</w:t>
            </w:r>
            <w:r w:rsidRPr="00505B7C">
              <w:t>, high voltage work, refrigeration/air conditioning and security may apply in some jurisdictions subject to regulations. Practice in the workplace and during training is also subject to regulations directly related to occupational health and safety and whe</w:t>
            </w:r>
            <w:r w:rsidRPr="00505B7C">
              <w:t>re applicable contracts of training such as apprenticeships.</w:t>
            </w:r>
          </w:p>
        </w:tc>
      </w:tr>
    </w:tbl>
    <w:p w:rsidR="00806679" w:rsidP="00505B7C">
      <w:pPr>
        <w:pStyle w:val="BodyText"/>
      </w:pPr>
    </w:p>
    <w:p w:rsidR="00806679" w:rsidP="00505B7C">
      <w:pPr>
        <w:pStyle w:val="BodyText"/>
      </w:pPr>
    </w:p>
    <w:p w:rsidR="00000000" w:rsidRPr="00505B7C" w:rsidP="00505B7C">
      <w:pPr>
        <w:pStyle w:val="Heading1"/>
      </w:pPr>
      <w:bookmarkStart w:id="5" w:name="O_700188"/>
      <w:bookmarkEnd w:id="5"/>
      <w:r w:rsidRPr="00505B7C">
        <w:t>Pre-Requisites</w:t>
      </w:r>
    </w:p>
    <w:tbl>
      <w:tblPr>
        <w:tblW w:w="0" w:type="auto"/>
        <w:tblLayout w:type="fixed"/>
        <w:tblCellMar>
          <w:left w:w="62" w:type="dxa"/>
          <w:right w:w="62" w:type="dxa"/>
        </w:tblCellMar>
        <w:tblLook w:val="0000"/>
      </w:tblPr>
      <w:tblGrid>
        <w:gridCol w:w="2610"/>
        <w:gridCol w:w="90"/>
        <w:gridCol w:w="1440"/>
        <w:gridCol w:w="4230"/>
        <w:gridCol w:w="93"/>
      </w:tblGrid>
      <w:tr w:rsidTr="0080667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rPr>
                <w:rStyle w:val="SpecialBold"/>
              </w:rPr>
              <w:t>Prerequisite Unit(s)</w:t>
            </w:r>
          </w:p>
        </w:tc>
        <w:tc>
          <w:tcPr>
            <w:tcW w:w="5763" w:type="dxa"/>
            <w:gridSpan w:val="3"/>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rPr>
                <w:rStyle w:val="SpecialBold"/>
              </w:rPr>
              <w:t xml:space="preserve">2) </w:t>
            </w:r>
          </w:p>
        </w:tc>
      </w:tr>
      <w:tr w:rsidTr="00806679">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RPr="00505B7C">
            <w:pPr>
              <w:pStyle w:val="BodyText"/>
              <w:keepNext w:val="0"/>
              <w:keepLines w:val="0"/>
              <w:contextualSpacing w:val="0"/>
            </w:pPr>
          </w:p>
        </w:tc>
        <w:tc>
          <w:tcPr>
            <w:tcW w:w="5763" w:type="dxa"/>
            <w:gridSpan w:val="3"/>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rPr>
                <w:rStyle w:val="SpecialBold"/>
              </w:rPr>
              <w:t>2.1) Competencies</w:t>
            </w:r>
          </w:p>
        </w:tc>
      </w:tr>
      <w:tr w:rsidTr="00806679">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3"/>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Granting competency in this unit shall be made after or concurrently with confirming competency in any one of the following units.</w:t>
            </w:r>
          </w:p>
        </w:tc>
      </w:tr>
      <w:tr w:rsidTr="00806679">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UEENEEM080A</w:t>
            </w:r>
          </w:p>
        </w:tc>
        <w:tc>
          <w:tcPr>
            <w:tcW w:w="4323" w:type="dxa"/>
            <w:gridSpan w:val="2"/>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Report on the integrity of explosion-protected equipment in a hazardous area</w:t>
            </w:r>
          </w:p>
        </w:tc>
      </w:tr>
      <w:tr w:rsidTr="00806679">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AND</w:t>
            </w:r>
          </w:p>
        </w:tc>
        <w:tc>
          <w:tcPr>
            <w:tcW w:w="4323" w:type="dxa"/>
            <w:gridSpan w:val="2"/>
            <w:tcBorders>
              <w:top w:val="nil"/>
              <w:left w:val="nil"/>
              <w:bottom w:val="nil"/>
              <w:right w:val="nil"/>
            </w:tcBorders>
            <w:tcMar>
              <w:top w:w="0" w:type="dxa"/>
              <w:left w:w="62" w:type="dxa"/>
              <w:bottom w:w="0" w:type="dxa"/>
              <w:right w:w="62" w:type="dxa"/>
            </w:tcMar>
          </w:tcPr>
          <w:p w:rsidR="00000000" w:rsidP="00505B7C">
            <w:pPr>
              <w:pStyle w:val="BodyText"/>
              <w:rPr>
                <w:lang w:val="en-NZ"/>
              </w:rPr>
            </w:pPr>
          </w:p>
        </w:tc>
      </w:tr>
      <w:tr w:rsidTr="00806679">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3"/>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Competencies in installation of general low-voltage or extra-low voltage electrical/electronic equipment and wiring systems at AQF 3 or equivalent. Examples are (but not limited to):</w:t>
            </w:r>
          </w:p>
        </w:tc>
      </w:tr>
      <w:tr w:rsidTr="00806679">
        <w:tblPrEx>
          <w:tblW w:w="0" w:type="auto"/>
          <w:tblLayout w:type="fixed"/>
          <w:tblCellMar>
            <w:left w:w="62" w:type="dxa"/>
            <w:right w:w="62" w:type="dxa"/>
          </w:tblCellMar>
          <w:tblLook w:val="0000"/>
        </w:tblPrEx>
        <w:trPr>
          <w:gridAfter w:val="1"/>
          <w:wAfter w:w="93" w:type="dxa"/>
          <w:trHeight w:val="722"/>
        </w:trPr>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gridSpan w:val="2"/>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 xml:space="preserve">UEENEEG105A </w:t>
            </w:r>
          </w:p>
        </w:tc>
        <w:tc>
          <w:tcPr>
            <w:tcW w:w="4230"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Verify compliance and functionality of low voltage gene</w:t>
            </w:r>
            <w:r w:rsidRPr="00505B7C">
              <w:t>ral electrical installations</w:t>
            </w:r>
          </w:p>
        </w:tc>
      </w:tr>
      <w:tr w:rsidTr="00806679">
        <w:tblPrEx>
          <w:tblW w:w="0" w:type="auto"/>
          <w:tblLayout w:type="fixed"/>
          <w:tblCellMar>
            <w:left w:w="62" w:type="dxa"/>
            <w:right w:w="62" w:type="dxa"/>
          </w:tblCellMar>
          <w:tblLook w:val="0000"/>
        </w:tblPrEx>
        <w:trPr>
          <w:gridAfter w:val="1"/>
          <w:wAfter w:w="93" w:type="dxa"/>
        </w:trPr>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gridSpan w:val="2"/>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 xml:space="preserve">UEENEEH150A </w:t>
            </w:r>
          </w:p>
        </w:tc>
        <w:tc>
          <w:tcPr>
            <w:tcW w:w="4230"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Assemble and set up basic security systems</w:t>
            </w:r>
          </w:p>
        </w:tc>
      </w:tr>
      <w:tr w:rsidTr="00806679">
        <w:tblPrEx>
          <w:tblW w:w="0" w:type="auto"/>
          <w:tblLayout w:type="fixed"/>
          <w:tblCellMar>
            <w:left w:w="62" w:type="dxa"/>
            <w:right w:w="62" w:type="dxa"/>
          </w:tblCellMar>
          <w:tblLook w:val="0000"/>
        </w:tblPrEx>
        <w:trPr>
          <w:gridAfter w:val="1"/>
          <w:wAfter w:w="93" w:type="dxa"/>
        </w:trPr>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gridSpan w:val="2"/>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 xml:space="preserve">UEENEEI112A </w:t>
            </w:r>
          </w:p>
        </w:tc>
        <w:tc>
          <w:tcPr>
            <w:tcW w:w="4230"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Verify compliance and functionality of instrumentation and control installations</w:t>
            </w:r>
          </w:p>
        </w:tc>
      </w:tr>
      <w:tr w:rsidTr="00806679">
        <w:tblPrEx>
          <w:tblW w:w="0" w:type="auto"/>
          <w:tblLayout w:type="fixed"/>
          <w:tblCellMar>
            <w:left w:w="62" w:type="dxa"/>
            <w:right w:w="62" w:type="dxa"/>
          </w:tblCellMar>
          <w:tblLook w:val="0000"/>
        </w:tblPrEx>
        <w:trPr>
          <w:gridAfter w:val="1"/>
          <w:wAfter w:w="93" w:type="dxa"/>
        </w:trPr>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gridSpan w:val="2"/>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 xml:space="preserve">UEENEEF104A </w:t>
            </w:r>
          </w:p>
        </w:tc>
        <w:tc>
          <w:tcPr>
            <w:tcW w:w="4230" w:type="dxa"/>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t xml:space="preserve">Install and modify performance data communication </w:t>
            </w:r>
            <w:r w:rsidRPr="00505B7C">
              <w:t>copper cabling</w:t>
            </w:r>
          </w:p>
        </w:tc>
      </w:tr>
    </w:tbl>
    <w:p w:rsidR="00000000" w:rsidRPr="00505B7C" w:rsidP="00505B7C">
      <w:pPr>
        <w:pStyle w:val="BodyText"/>
      </w:pPr>
    </w:p>
    <w:p w:rsidR="00000000" w:rsidRPr="00505B7C" w:rsidP="00505B7C">
      <w:pPr>
        <w:pStyle w:val="AllowPageBreak"/>
      </w:pPr>
    </w:p>
    <w:p w:rsidR="00000000" w:rsidRPr="00505B7C" w:rsidP="00505B7C">
      <w:pPr>
        <w:pStyle w:val="Heading1"/>
      </w:pPr>
      <w:bookmarkStart w:id="6" w:name="O_700187"/>
      <w:bookmarkEnd w:id="6"/>
      <w:r w:rsidRPr="00505B7C">
        <w:t>Employability Skills Information</w:t>
      </w:r>
    </w:p>
    <w:tbl>
      <w:tblPr>
        <w:tblW w:w="0" w:type="auto"/>
        <w:tblLayout w:type="fixed"/>
        <w:tblCellMar>
          <w:left w:w="62" w:type="dxa"/>
          <w:right w:w="62" w:type="dxa"/>
        </w:tblCellMar>
        <w:tblLook w:val="0000"/>
      </w:tblPr>
      <w:tblGrid>
        <w:gridCol w:w="2697"/>
        <w:gridCol w:w="5763"/>
      </w:tblGrid>
      <w:tr w:rsidTr="00806679">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rPr>
                <w:rStyle w:val="SpecialBold"/>
              </w:rPr>
              <w:t>3</w:t>
            </w:r>
            <w:r w:rsidRPr="00505B7C">
              <w:t>)</w:t>
            </w:r>
          </w:p>
          <w:p w:rsidR="00000000" w:rsidRPr="00505B7C" w:rsidP="00505B7C">
            <w:pPr>
              <w:pStyle w:val="BodyText"/>
            </w:pPr>
            <w:r w:rsidRPr="00505B7C">
              <w:t>The required outcomes described in this unit of competency contain applicable facets of Employability Skills. The Employability Skills Summary of the qualification i</w:t>
            </w:r>
            <w:r w:rsidRPr="00505B7C">
              <w:t>n which this unit of competency is packaged will assist in identifying Employability Skill requirements.</w:t>
            </w:r>
          </w:p>
        </w:tc>
      </w:tr>
    </w:tbl>
    <w:p w:rsidR="00806679" w:rsidP="00505B7C">
      <w:pPr>
        <w:pStyle w:val="BodyText"/>
      </w:pPr>
    </w:p>
    <w:p w:rsidR="00806679" w:rsidP="00505B7C">
      <w:pPr>
        <w:pStyle w:val="BodyText"/>
      </w:pPr>
    </w:p>
    <w:p w:rsidR="00000000" w:rsidRPr="00505B7C" w:rsidP="00505B7C">
      <w:pPr>
        <w:pStyle w:val="Heading1"/>
      </w:pPr>
      <w:bookmarkStart w:id="7" w:name="O_700186"/>
      <w:bookmarkEnd w:id="7"/>
      <w:r w:rsidRPr="00505B7C">
        <w:t>Elements and Performance Criteria Pre-Content</w:t>
      </w:r>
    </w:p>
    <w:tbl>
      <w:tblPr>
        <w:tblW w:w="0" w:type="auto"/>
        <w:tblLayout w:type="fixed"/>
        <w:tblCellMar>
          <w:left w:w="62" w:type="dxa"/>
          <w:right w:w="62" w:type="dxa"/>
        </w:tblCellMar>
        <w:tblLook w:val="0000"/>
      </w:tblPr>
      <w:tblGrid>
        <w:gridCol w:w="2697"/>
        <w:gridCol w:w="5763"/>
      </w:tblGrid>
      <w:tr w:rsidTr="00806679">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rPr>
                <w:rStyle w:val="SpecialBold"/>
              </w:rPr>
              <w:t>6</w:t>
            </w:r>
            <w:r w:rsidRPr="00505B7C">
              <w:t>) Elements describe the essential outcomes of a unit</w:t>
            </w:r>
          </w:p>
        </w:tc>
        <w:tc>
          <w:tcPr>
            <w:tcW w:w="5763" w:type="dxa"/>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t>Performance criteria describe the required performance needed to demonstrate achievement of the element. Assessment of performance is to be consistent with the evidence guide.</w:t>
            </w:r>
          </w:p>
        </w:tc>
      </w:tr>
    </w:tbl>
    <w:p w:rsidR="00000000" w:rsidRPr="00505B7C" w:rsidP="00505B7C">
      <w:pPr>
        <w:pStyle w:val="BodyText"/>
      </w:pPr>
    </w:p>
    <w:p w:rsidR="00000000" w:rsidRPr="00505B7C" w:rsidP="00505B7C">
      <w:pPr>
        <w:pStyle w:val="AllowPageBreak"/>
      </w:pPr>
    </w:p>
    <w:p w:rsidR="00000000" w:rsidRPr="00505B7C" w:rsidP="00505B7C">
      <w:pPr>
        <w:pStyle w:val="Heading1"/>
      </w:pPr>
      <w:bookmarkStart w:id="8" w:name="O_700185"/>
      <w:bookmarkEnd w:id="8"/>
      <w:r w:rsidRPr="00505B7C">
        <w:t>Elements and Performance Criteria</w:t>
      </w:r>
    </w:p>
    <w:tbl>
      <w:tblPr>
        <w:tblW w:w="0" w:type="auto"/>
        <w:tblLayout w:type="fixed"/>
        <w:tblCellMar>
          <w:left w:w="62" w:type="dxa"/>
          <w:right w:w="62" w:type="dxa"/>
        </w:tblCellMar>
        <w:tblLook w:val="0000"/>
      </w:tblPr>
      <w:tblGrid>
        <w:gridCol w:w="403"/>
        <w:gridCol w:w="2294"/>
        <w:gridCol w:w="900"/>
        <w:gridCol w:w="4863"/>
      </w:tblGrid>
      <w:tr w:rsidTr="00806679">
        <w:tblPrEx>
          <w:tblW w:w="0" w:type="auto"/>
          <w:tblLayout w:type="fixed"/>
          <w:tblCellMar>
            <w:left w:w="62" w:type="dxa"/>
            <w:right w:w="62" w:type="dxa"/>
          </w:tblCellMar>
          <w:tblLook w:val="0000"/>
        </w:tblPrEx>
        <w:trPr>
          <w:tblHeader/>
        </w:trPr>
        <w:tc>
          <w:tcPr>
            <w:tcW w:w="2697" w:type="dxa"/>
            <w:gridSpan w:val="2"/>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rPr>
                <w:rStyle w:val="SpecialBold"/>
              </w:rPr>
              <w:t>ELEMENT</w:t>
            </w:r>
          </w:p>
        </w:tc>
        <w:tc>
          <w:tcPr>
            <w:tcW w:w="5763" w:type="dxa"/>
            <w:gridSpan w:val="2"/>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rPr>
                <w:rStyle w:val="SpecialBold"/>
              </w:rPr>
              <w:t>PERFORMANCE CRITER</w:t>
            </w:r>
            <w:r w:rsidRPr="00505B7C">
              <w:rPr>
                <w:rStyle w:val="SpecialBold"/>
              </w:rPr>
              <w:t>IA</w:t>
            </w:r>
          </w:p>
        </w:tc>
      </w:tr>
      <w:tr w:rsidTr="0080667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1</w:t>
            </w:r>
          </w:p>
        </w:tc>
        <w:tc>
          <w:tcPr>
            <w:tcW w:w="2294" w:type="dxa"/>
            <w:vMerge w:val="restart"/>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Prepare for installation of equipment and wiring.</w:t>
            </w:r>
          </w:p>
        </w:tc>
        <w:tc>
          <w:tcPr>
            <w:tcW w:w="900"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1.1</w:t>
            </w:r>
          </w:p>
        </w:tc>
        <w:tc>
          <w:tcPr>
            <w:tcW w:w="4863"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OHS policies and procedures for preparing to work in a hazardous area are followed.</w:t>
            </w:r>
          </w:p>
        </w:tc>
      </w:tr>
      <w:tr w:rsidTr="0080667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1.2</w:t>
            </w:r>
          </w:p>
        </w:tc>
        <w:tc>
          <w:tcPr>
            <w:tcW w:w="4863"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Types of explosion-protected equipment and wiring systems to be installed are verified from design documents.</w:t>
            </w:r>
          </w:p>
        </w:tc>
      </w:tr>
      <w:tr w:rsidTr="0080667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1.3</w:t>
            </w:r>
          </w:p>
        </w:tc>
        <w:tc>
          <w:tcPr>
            <w:tcW w:w="4863"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Location in which specific items of equipment and circuits are to be installed is determined from design documents.</w:t>
            </w:r>
          </w:p>
        </w:tc>
      </w:tr>
      <w:tr w:rsidTr="0080667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1.4</w:t>
            </w:r>
          </w:p>
        </w:tc>
        <w:tc>
          <w:tcPr>
            <w:tcW w:w="4863"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Explosion-protected equipment markings are checked to ensure they conform to design specifications and certification documents.</w:t>
            </w:r>
          </w:p>
        </w:tc>
      </w:tr>
      <w:tr w:rsidTr="0080667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1.5</w:t>
            </w:r>
          </w:p>
        </w:tc>
        <w:tc>
          <w:tcPr>
            <w:tcW w:w="4863"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Certification document supplied with each item of equipment is collected for forwarding to appropriate personnel.</w:t>
            </w:r>
          </w:p>
        </w:tc>
      </w:tr>
      <w:tr w:rsidTr="0080667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1.6</w:t>
            </w:r>
          </w:p>
        </w:tc>
        <w:tc>
          <w:tcPr>
            <w:tcW w:w="4863"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Special tools, equipment and testing devices needed to carry out the installation work are obtained and checked for correct operation and safety.</w:t>
            </w:r>
          </w:p>
        </w:tc>
      </w:tr>
      <w:tr w:rsidTr="0080667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2</w:t>
            </w:r>
          </w:p>
        </w:tc>
        <w:tc>
          <w:tcPr>
            <w:tcW w:w="2294" w:type="dxa"/>
            <w:vMerge w:val="restart"/>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Install the equipment and wiring systems</w:t>
            </w:r>
          </w:p>
        </w:tc>
        <w:tc>
          <w:tcPr>
            <w:tcW w:w="900"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2.1</w:t>
            </w:r>
          </w:p>
        </w:tc>
        <w:tc>
          <w:tcPr>
            <w:tcW w:w="4863"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OHS policies and procedure for working in a hazardous area are</w:t>
            </w:r>
            <w:r w:rsidRPr="00505B7C">
              <w:t xml:space="preserve"> followed.</w:t>
            </w:r>
          </w:p>
        </w:tc>
      </w:tr>
      <w:tr w:rsidTr="0080667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2.2</w:t>
            </w:r>
          </w:p>
        </w:tc>
        <w:tc>
          <w:tcPr>
            <w:tcW w:w="4863"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Equipment is installed to conform with design specifications and Standards and within the limits specified by the equipment certification.</w:t>
            </w:r>
          </w:p>
        </w:tc>
      </w:tr>
      <w:tr w:rsidTr="0080667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2.3</w:t>
            </w:r>
          </w:p>
        </w:tc>
        <w:tc>
          <w:tcPr>
            <w:tcW w:w="4863"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Equipment and wiring system components are dismantled where necessary and parts stored to protect them against loss or damage.</w:t>
            </w:r>
          </w:p>
        </w:tc>
      </w:tr>
      <w:tr w:rsidTr="0080667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2.4</w:t>
            </w:r>
          </w:p>
        </w:tc>
        <w:tc>
          <w:tcPr>
            <w:tcW w:w="4863"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Equipment and wiring are ins</w:t>
            </w:r>
            <w:r w:rsidRPr="00505B7C">
              <w:t>talled in a manner that does not reduce the type of protection afforded by the equipment design.</w:t>
            </w:r>
          </w:p>
        </w:tc>
      </w:tr>
      <w:tr w:rsidTr="0080667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2.5</w:t>
            </w:r>
          </w:p>
        </w:tc>
        <w:tc>
          <w:tcPr>
            <w:tcW w:w="4863"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Circuits are tested prior to connection to devices to ensure resistance of earthing is sufficiently low, installation resistance is safe and polarity an</w:t>
            </w:r>
            <w:r w:rsidRPr="00505B7C">
              <w:t>d connections are correct and each circuit complies with requirements.</w:t>
            </w:r>
          </w:p>
        </w:tc>
      </w:tr>
      <w:tr w:rsidTr="0080667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3</w:t>
            </w:r>
          </w:p>
        </w:tc>
        <w:tc>
          <w:tcPr>
            <w:tcW w:w="2294" w:type="dxa"/>
            <w:vMerge w:val="restart"/>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Confirm that the installation is completed.</w:t>
            </w:r>
          </w:p>
        </w:tc>
        <w:tc>
          <w:tcPr>
            <w:tcW w:w="900"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3.1</w:t>
            </w:r>
          </w:p>
        </w:tc>
        <w:tc>
          <w:tcPr>
            <w:tcW w:w="4863"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Arrangements are made, in accordance with requirements, for an initial inspection to be carried out on the installation.</w:t>
            </w:r>
          </w:p>
        </w:tc>
      </w:tr>
      <w:tr w:rsidTr="0080667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3.2</w:t>
            </w:r>
          </w:p>
        </w:tc>
        <w:tc>
          <w:tcPr>
            <w:tcW w:w="4863"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Appropriate action is taken to rectify non-conformances found during the initial inspection to ensure the installation complies with requirements.</w:t>
            </w:r>
          </w:p>
        </w:tc>
      </w:tr>
      <w:tr w:rsidTr="0080667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3.3</w:t>
            </w:r>
          </w:p>
        </w:tc>
        <w:tc>
          <w:tcPr>
            <w:tcW w:w="4863" w:type="dxa"/>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t>The completed installation is documented in accordance with requirements and forwarded to personnel re</w:t>
            </w:r>
            <w:r w:rsidRPr="00505B7C">
              <w:t>sponsible for compiling the verification dossier.</w:t>
            </w:r>
          </w:p>
        </w:tc>
      </w:tr>
    </w:tbl>
    <w:p w:rsidR="00806679" w:rsidP="00505B7C">
      <w:pPr>
        <w:pStyle w:val="BodyText"/>
      </w:pPr>
    </w:p>
    <w:p w:rsidR="00806679" w:rsidP="00505B7C">
      <w:pPr>
        <w:pStyle w:val="BodyText"/>
      </w:pPr>
    </w:p>
    <w:p w:rsidR="00000000" w:rsidRPr="00505B7C" w:rsidP="00505B7C">
      <w:pPr>
        <w:pStyle w:val="Heading1"/>
      </w:pPr>
      <w:bookmarkStart w:id="9" w:name="O_700184"/>
      <w:bookmarkEnd w:id="9"/>
      <w:r w:rsidRPr="00505B7C">
        <w:t>Required Skills and Knowledge</w:t>
      </w:r>
    </w:p>
    <w:tbl>
      <w:tblPr>
        <w:tblW w:w="0" w:type="auto"/>
        <w:tblLayout w:type="fixed"/>
        <w:tblCellMar>
          <w:left w:w="62" w:type="dxa"/>
          <w:right w:w="62" w:type="dxa"/>
        </w:tblCellMar>
        <w:tblLook w:val="0000"/>
      </w:tblPr>
      <w:tblGrid>
        <w:gridCol w:w="1530"/>
        <w:gridCol w:w="6930"/>
      </w:tblGrid>
      <w:tr w:rsidTr="0080667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rPr>
                <w:rStyle w:val="SpecialBold"/>
              </w:rPr>
              <w:t>REQUIRED SKILLS AND KNOWLEDGE</w:t>
            </w:r>
          </w:p>
        </w:tc>
      </w:tr>
      <w:tr w:rsidTr="008066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rPr>
                <w:rStyle w:val="SpecialBold"/>
              </w:rPr>
              <w:t xml:space="preserve">7) </w:t>
            </w:r>
            <w:r w:rsidRPr="00505B7C">
              <w:t>This describes the essential skills and knowledge and their level, required for this unit.</w:t>
            </w:r>
          </w:p>
        </w:tc>
      </w:tr>
      <w:tr w:rsidTr="008066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t>Evidence shall show that knowledge has been acquired of safe working practices and installing explosion protected equipment and wiring systems.</w:t>
            </w:r>
          </w:p>
          <w:p w:rsidR="00000000" w:rsidP="00505B7C">
            <w:pPr>
              <w:pStyle w:val="BodyText"/>
              <w:rPr>
                <w:lang w:val="en-NZ"/>
              </w:rPr>
            </w:pPr>
            <w:r w:rsidRPr="00505B7C">
              <w:t>All knowledge and skills detailed in this unit should be contextualised to current industry practices and techno</w:t>
            </w:r>
            <w:r w:rsidRPr="00505B7C">
              <w:t>logies.</w:t>
            </w:r>
          </w:p>
        </w:tc>
      </w:tr>
      <w:tr w:rsidTr="00806679">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rPr>
                <w:rStyle w:val="SpecialBold"/>
              </w:rPr>
              <w:t>KS01-EM024A</w:t>
            </w:r>
          </w:p>
        </w:tc>
        <w:tc>
          <w:tcPr>
            <w:tcW w:w="6930"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rPr>
                <w:rStyle w:val="SpecialBold"/>
              </w:rPr>
              <w:t>Explosion protection installation and maintenance requirements</w:t>
            </w:r>
          </w:p>
        </w:tc>
      </w:tr>
      <w:tr w:rsidTr="008066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Evidence shall show an understanding of explosion protection installation and maintenance requirements to an extent indicated by the following aspects:</w:t>
            </w:r>
          </w:p>
        </w:tc>
      </w:tr>
      <w:tr w:rsidTr="008066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t>T1</w:t>
            </w:r>
            <w:r w:rsidRPr="00505B7C">
              <w:tab/>
              <w:t>Explosion-pro</w:t>
            </w:r>
            <w:r w:rsidRPr="00505B7C">
              <w:t>tection equipment — Ex certification schemes encompassing:</w:t>
            </w:r>
          </w:p>
          <w:p w:rsidR="00000000" w:rsidRPr="00505B7C" w:rsidP="00505B7C">
            <w:pPr>
              <w:pStyle w:val="ListBullet2"/>
            </w:pPr>
            <w:r w:rsidRPr="00505B7C">
              <w:t>Purpose and scope of certification schemes.</w:t>
            </w:r>
          </w:p>
          <w:p w:rsidR="00000000" w:rsidRPr="00505B7C" w:rsidP="00505B7C">
            <w:pPr>
              <w:pStyle w:val="ListBullet2"/>
            </w:pPr>
            <w:r w:rsidRPr="00505B7C">
              <w:t>Schemes accepted in Australia and New Zealand.</w:t>
            </w:r>
          </w:p>
          <w:p w:rsidR="00000000" w:rsidRPr="00505B7C" w:rsidP="00505B7C">
            <w:pPr>
              <w:pStyle w:val="ListBullet2"/>
            </w:pPr>
            <w:r w:rsidRPr="00505B7C">
              <w:t>Schemes commonly used in countries other than Australia and New Zealand.</w:t>
            </w:r>
          </w:p>
          <w:p w:rsidR="00000000" w:rsidP="00505B7C">
            <w:pPr>
              <w:pStyle w:val="ListBullet2"/>
              <w:rPr>
                <w:lang w:val="en-NZ"/>
              </w:rPr>
            </w:pPr>
            <w:r w:rsidRPr="00505B7C">
              <w:t>Processes for having equipment certified under the acceptable Ex schemes — scheme procedures; quality management requirements; conformance testing and assessment; and requirements for ongoing certification.</w:t>
            </w:r>
          </w:p>
        </w:tc>
      </w:tr>
      <w:tr w:rsidTr="008066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t>T2</w:t>
            </w:r>
            <w:r w:rsidRPr="00505B7C">
              <w:tab/>
              <w:t>Flameproof (Ex ‘d’) explosion-protection tec</w:t>
            </w:r>
            <w:r w:rsidRPr="00505B7C">
              <w:t>hnique encompassing:</w:t>
            </w:r>
          </w:p>
          <w:p w:rsidR="00000000" w:rsidRPr="00505B7C" w:rsidP="00505B7C">
            <w:pPr>
              <w:pStyle w:val="ListBullet2"/>
            </w:pPr>
            <w:r w:rsidRPr="00505B7C">
              <w:t>The purpose and characteristics of the design features of apparatus and circuits protected by the flameproof (Ex ‘d’) technique. (Examples of characteristics and design features are flame paths, integrity under pressure, pressure pili</w:t>
            </w:r>
            <w:r w:rsidRPr="00505B7C">
              <w:t>ng, and enclosure entries).</w:t>
            </w:r>
          </w:p>
          <w:p w:rsidR="00000000" w:rsidRPr="00505B7C" w:rsidP="00505B7C">
            <w:pPr>
              <w:pStyle w:val="ListBullet2"/>
            </w:pPr>
            <w:r w:rsidRPr="00505B7C">
              <w:t>Typical situations where the flameproof explosion-protection technique is used;</w:t>
            </w:r>
          </w:p>
          <w:p w:rsidR="00000000" w:rsidRPr="00505B7C" w:rsidP="00505B7C">
            <w:pPr>
              <w:pStyle w:val="ListBullet2"/>
            </w:pPr>
            <w:r w:rsidRPr="00505B7C">
              <w:t xml:space="preserve">Actions or conditions that would void the protection provided the Flameproof technique; </w:t>
            </w:r>
          </w:p>
          <w:p w:rsidR="00000000" w:rsidP="00505B7C">
            <w:pPr>
              <w:pStyle w:val="ListBullet2"/>
              <w:rPr>
                <w:lang w:val="en-NZ"/>
              </w:rPr>
            </w:pPr>
            <w:r w:rsidRPr="00505B7C">
              <w:t>The use of Standards in determining the requirements to whi</w:t>
            </w:r>
            <w:r w:rsidRPr="00505B7C">
              <w:t>ch the installation of flameproof explosion-protected apparatus shall comply.</w:t>
            </w:r>
          </w:p>
        </w:tc>
      </w:tr>
      <w:tr w:rsidTr="008066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t>T3</w:t>
            </w:r>
            <w:r w:rsidRPr="00505B7C">
              <w:tab/>
              <w:t>Increased safety (Ex ‘e’) explosion-protection technique encompassing:</w:t>
            </w:r>
          </w:p>
          <w:p w:rsidR="00000000" w:rsidRPr="00505B7C" w:rsidP="00505B7C">
            <w:pPr>
              <w:pStyle w:val="ListBullet2"/>
            </w:pPr>
            <w:r w:rsidRPr="00505B7C">
              <w:t>The purpose and characteristics of the design features of apparatus and circuits protected by the Inc</w:t>
            </w:r>
            <w:r w:rsidRPr="00505B7C">
              <w:t>reased safety (Ex ‘e’) technique (Examples of characteristics and design features are temperature rise, maximum power dissipation, protection devices, certified components, creepage and clearance distances, absence of sparking contacts and enclosure entrie</w:t>
            </w:r>
            <w:r w:rsidRPr="00505B7C">
              <w:t>s).</w:t>
            </w:r>
          </w:p>
          <w:p w:rsidR="00000000" w:rsidRPr="00505B7C" w:rsidP="00505B7C">
            <w:pPr>
              <w:pStyle w:val="ListBullet2"/>
            </w:pPr>
            <w:r w:rsidRPr="00505B7C">
              <w:t>Typical situations where the Increased safety explosion-protection technique is used;</w:t>
            </w:r>
          </w:p>
          <w:p w:rsidR="00000000" w:rsidRPr="00505B7C" w:rsidP="00505B7C">
            <w:pPr>
              <w:pStyle w:val="ListBullet2"/>
            </w:pPr>
            <w:r w:rsidRPr="00505B7C">
              <w:t xml:space="preserve">Actions or conditions that would void the protection provided the Increased safety technique; </w:t>
            </w:r>
          </w:p>
          <w:p w:rsidR="00000000" w:rsidP="00505B7C">
            <w:pPr>
              <w:pStyle w:val="ListBullet2"/>
              <w:rPr>
                <w:lang w:val="en-NZ"/>
              </w:rPr>
            </w:pPr>
            <w:r w:rsidRPr="00505B7C">
              <w:t>The use of Standards in determining the requirements to which the installation of Increased safety explosion-protected apparatus shall comply.</w:t>
            </w:r>
          </w:p>
        </w:tc>
      </w:tr>
      <w:tr w:rsidTr="008066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t>T4</w:t>
            </w:r>
            <w:r w:rsidRPr="00505B7C">
              <w:tab/>
              <w:t>Non-sparking (Ex ‘n’) explosion-protection technique encompassing:</w:t>
            </w:r>
          </w:p>
          <w:p w:rsidR="00000000" w:rsidRPr="00505B7C" w:rsidP="00505B7C">
            <w:pPr>
              <w:pStyle w:val="ListBullet2"/>
            </w:pPr>
            <w:r w:rsidRPr="00505B7C">
              <w:t>The purpose and characteristics of the d</w:t>
            </w:r>
            <w:r w:rsidRPr="00505B7C">
              <w:t>esign features of apparatus and circuits protected by the Non-sparking (Ex ‘n’) technique (Examples of characteristics and design features are creepage and clearance distances and restricted breathing).</w:t>
            </w:r>
          </w:p>
          <w:p w:rsidR="00000000" w:rsidRPr="00505B7C" w:rsidP="00505B7C">
            <w:pPr>
              <w:pStyle w:val="ListBullet2"/>
            </w:pPr>
            <w:r w:rsidRPr="00505B7C">
              <w:t>Typical situations where the Non-sparking explosion-p</w:t>
            </w:r>
            <w:r w:rsidRPr="00505B7C">
              <w:t>rotection technique is used;</w:t>
            </w:r>
          </w:p>
          <w:p w:rsidR="00000000" w:rsidRPr="00505B7C" w:rsidP="00505B7C">
            <w:pPr>
              <w:pStyle w:val="ListBullet2"/>
            </w:pPr>
            <w:r w:rsidRPr="00505B7C">
              <w:t>Actions or conditions that would void the protection provided the Non-sparking technique; and</w:t>
            </w:r>
          </w:p>
          <w:p w:rsidR="00000000" w:rsidP="00505B7C">
            <w:pPr>
              <w:pStyle w:val="ListBullet2"/>
              <w:rPr>
                <w:lang w:val="en-NZ"/>
              </w:rPr>
            </w:pPr>
            <w:r w:rsidRPr="00505B7C">
              <w:t>The use of Standards in determining the requirements to which the installation of Non-sparking explosion-protected apparatus shall co</w:t>
            </w:r>
            <w:r w:rsidRPr="00505B7C">
              <w:t>mply.</w:t>
            </w:r>
          </w:p>
        </w:tc>
      </w:tr>
      <w:tr w:rsidTr="008066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t>T5</w:t>
            </w:r>
            <w:r w:rsidRPr="00505B7C">
              <w:tab/>
              <w:t>Intrinsic safety (Ex ‘i’) explosion-protection technique encompassing:</w:t>
            </w:r>
          </w:p>
          <w:p w:rsidR="00000000" w:rsidRPr="00505B7C" w:rsidP="00505B7C">
            <w:pPr>
              <w:pStyle w:val="ListBullet2"/>
            </w:pPr>
            <w:r w:rsidRPr="00505B7C">
              <w:t>The purpose and characteristics of the design features of apparatus and circuits protected by the Intrinsic safety (Ex ‘i’) technique (Examples of characteristics and design</w:t>
            </w:r>
            <w:r w:rsidRPr="00505B7C">
              <w:t xml:space="preserve"> features are field devices, cables, safe area devices, earthing, entity versus integrated system concept, simple devices and interface devices and their parameters, segregation, infallible components, current and voltage limiting, creepage and clearance d</w:t>
            </w:r>
            <w:r w:rsidRPr="00505B7C">
              <w:t>istances).</w:t>
            </w:r>
          </w:p>
          <w:p w:rsidR="00000000" w:rsidRPr="00505B7C" w:rsidP="00505B7C">
            <w:pPr>
              <w:pStyle w:val="ListBullet2"/>
            </w:pPr>
            <w:r w:rsidRPr="00505B7C">
              <w:t>Typical situations where the Intrinsic safety explosion-protection technique is used;</w:t>
            </w:r>
          </w:p>
          <w:p w:rsidR="00000000" w:rsidRPr="00505B7C" w:rsidP="00505B7C">
            <w:pPr>
              <w:pStyle w:val="ListBullet2"/>
            </w:pPr>
            <w:r w:rsidRPr="00505B7C">
              <w:t xml:space="preserve">Actions or conditions that would void the protection provided the Intrinsic safety; </w:t>
            </w:r>
          </w:p>
          <w:p w:rsidR="00000000" w:rsidP="00505B7C">
            <w:pPr>
              <w:pStyle w:val="ListBullet2"/>
              <w:rPr>
                <w:lang w:val="en-NZ"/>
              </w:rPr>
            </w:pPr>
            <w:r w:rsidRPr="00505B7C">
              <w:t>The use of Standards in determining the requirements to which the installation of Intrinsic safety explosion-protected apparatus shall comply.</w:t>
            </w:r>
          </w:p>
        </w:tc>
      </w:tr>
      <w:tr w:rsidTr="008066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t>T6</w:t>
            </w:r>
            <w:r w:rsidRPr="00505B7C">
              <w:tab/>
              <w:t>Pressurization (Ex ‘p’) explosion-protection technique encompassing:</w:t>
            </w:r>
          </w:p>
          <w:p w:rsidR="00000000" w:rsidRPr="00505B7C" w:rsidP="00505B7C">
            <w:pPr>
              <w:pStyle w:val="ListBullet2"/>
            </w:pPr>
            <w:r w:rsidRPr="00505B7C">
              <w:t>The purpose and characteristics of the</w:t>
            </w:r>
            <w:r w:rsidRPr="00505B7C">
              <w:t xml:space="preserve"> design features of apparatus and circuits protected by the Pressurization (Ex ‘p’) technique (Examples of characteristics and design features are exclusion and dilution; purge periods, controlled shut down, monitoring and sources of internal release).</w:t>
            </w:r>
          </w:p>
          <w:p w:rsidR="00000000" w:rsidRPr="00505B7C" w:rsidP="00505B7C">
            <w:pPr>
              <w:pStyle w:val="ListBullet2"/>
            </w:pPr>
            <w:r w:rsidRPr="00505B7C">
              <w:t>Typ</w:t>
            </w:r>
            <w:r w:rsidRPr="00505B7C">
              <w:t>ical situations where the pressurization explosion-protection technique is used;</w:t>
            </w:r>
          </w:p>
          <w:p w:rsidR="00000000" w:rsidRPr="00505B7C" w:rsidP="00505B7C">
            <w:pPr>
              <w:pStyle w:val="ListBullet2"/>
            </w:pPr>
            <w:r w:rsidRPr="00505B7C">
              <w:t>Actions or conditions that would void the protection provided the pressurization technique;</w:t>
            </w:r>
          </w:p>
          <w:p w:rsidR="00000000" w:rsidP="00505B7C">
            <w:pPr>
              <w:pStyle w:val="ListBullet2"/>
              <w:rPr>
                <w:lang w:val="en-NZ"/>
              </w:rPr>
            </w:pPr>
            <w:r w:rsidRPr="00505B7C">
              <w:t>The use of Standards in determining the requirements to which the installation of p</w:t>
            </w:r>
            <w:r w:rsidRPr="00505B7C">
              <w:t>ressurization explosion-protected apparatus shall comply.</w:t>
            </w:r>
          </w:p>
        </w:tc>
      </w:tr>
      <w:tr w:rsidTr="008066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t>T7</w:t>
            </w:r>
            <w:r w:rsidRPr="00505B7C">
              <w:tab/>
              <w:t>Enclosures for dusts (Ex ‘tD’) - explosion-protection technique encompassing:</w:t>
            </w:r>
          </w:p>
          <w:p w:rsidR="00000000" w:rsidRPr="00505B7C" w:rsidP="00505B7C">
            <w:pPr>
              <w:pStyle w:val="ListBullet2"/>
            </w:pPr>
            <w:r w:rsidRPr="00505B7C">
              <w:t>The purpose and characteristics of the design features of apparatus and circuits protected by the techniques for d</w:t>
            </w:r>
            <w:r w:rsidRPr="00505B7C">
              <w:t>usts (Examples of characteristics and design features are for enclosures; pressurization; encapsulation; and intrinsic safety).</w:t>
            </w:r>
          </w:p>
          <w:p w:rsidR="00000000" w:rsidRPr="00505B7C" w:rsidP="00505B7C">
            <w:pPr>
              <w:pStyle w:val="ListBullet2"/>
            </w:pPr>
            <w:r w:rsidRPr="00505B7C">
              <w:t>Typical situations where the each dust explosion-protection technique is used;</w:t>
            </w:r>
          </w:p>
          <w:p w:rsidR="00000000" w:rsidRPr="00505B7C" w:rsidP="00505B7C">
            <w:pPr>
              <w:pStyle w:val="ListBullet2"/>
            </w:pPr>
            <w:r w:rsidRPr="00505B7C">
              <w:t xml:space="preserve">Actions or conditions that would void the protection provided the each dust technique; </w:t>
            </w:r>
          </w:p>
          <w:p w:rsidR="00000000" w:rsidP="00505B7C">
            <w:pPr>
              <w:pStyle w:val="ListBullet2"/>
              <w:rPr>
                <w:lang w:val="en-NZ"/>
              </w:rPr>
            </w:pPr>
            <w:r w:rsidRPr="00505B7C">
              <w:t>The use of Standards in determining the requirements to which the installation of dust explosion-protected apparatus shall comply.</w:t>
            </w:r>
          </w:p>
        </w:tc>
      </w:tr>
      <w:tr w:rsidTr="008066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t>T8</w:t>
            </w:r>
            <w:r w:rsidRPr="00505B7C">
              <w:tab/>
              <w:t>Common characteristics of explos</w:t>
            </w:r>
            <w:r w:rsidRPr="00505B7C">
              <w:t>ion-protection techniques encompassing:</w:t>
            </w:r>
          </w:p>
          <w:p w:rsidR="00000000" w:rsidRPr="00505B7C" w:rsidP="00505B7C">
            <w:pPr>
              <w:pStyle w:val="ListBullet2"/>
            </w:pPr>
            <w:r w:rsidRPr="00505B7C">
              <w:t>The purposes of ‘temperature classification’ and ‘gas grouping/apparatus grouping’.</w:t>
            </w:r>
          </w:p>
          <w:p w:rsidR="00000000" w:rsidRPr="00505B7C" w:rsidP="00505B7C">
            <w:pPr>
              <w:pStyle w:val="ListBullet2"/>
            </w:pPr>
            <w:r w:rsidRPr="00505B7C">
              <w:t>Compliance plate markings.</w:t>
            </w:r>
          </w:p>
          <w:p w:rsidR="00000000" w:rsidRPr="00505B7C" w:rsidP="00505B7C">
            <w:pPr>
              <w:pStyle w:val="ListBullet2"/>
            </w:pPr>
            <w:r w:rsidRPr="00505B7C">
              <w:t>Limitations of non-metallic or specific alloy enclosures.</w:t>
            </w:r>
          </w:p>
          <w:p w:rsidR="00000000" w:rsidRPr="00505B7C" w:rsidP="00505B7C">
            <w:pPr>
              <w:pStyle w:val="ListBullet2"/>
            </w:pPr>
            <w:r w:rsidRPr="00505B7C">
              <w:t>The purpose of conformity and certification/ap</w:t>
            </w:r>
            <w:r w:rsidRPr="00505B7C">
              <w:t>proval for equipment used in hazardous areas.</w:t>
            </w:r>
          </w:p>
          <w:p w:rsidR="00000000" w:rsidRPr="00505B7C" w:rsidP="00505B7C">
            <w:pPr>
              <w:pStyle w:val="ListBullet2"/>
            </w:pPr>
            <w:r w:rsidRPr="00505B7C">
              <w:t>Environmental conditions that may impact on explosion-protection techniques.</w:t>
            </w:r>
          </w:p>
          <w:p w:rsidR="00000000" w:rsidRPr="00505B7C" w:rsidP="00505B7C">
            <w:pPr>
              <w:pStyle w:val="ListBullet2"/>
            </w:pPr>
            <w:r w:rsidRPr="00505B7C">
              <w:t>The principles and applications of other and mixed explosion-protection techniques (Other techniques include encapsulation Ex ‘m’; oi</w:t>
            </w:r>
            <w:r w:rsidRPr="00505B7C">
              <w:t>l-immersion Ex ‘o’; powder-filling Ex ‘q’, ventilation Ex ‘v’ and special protection Ex ‘s’).</w:t>
            </w:r>
          </w:p>
          <w:p w:rsidR="00000000" w:rsidP="00505B7C">
            <w:pPr>
              <w:pStyle w:val="ListBullet2"/>
              <w:rPr>
                <w:lang w:val="en-NZ"/>
              </w:rPr>
            </w:pPr>
            <w:r w:rsidRPr="00505B7C">
              <w:t>Features and purpose of conduit seals and cable termination devices designed for use in hazardous areas (These include conduit seals and barrier and compression g</w:t>
            </w:r>
            <w:r w:rsidRPr="00505B7C">
              <w:t>lands for cables with or without armouring, screening and/or drain wires).</w:t>
            </w:r>
          </w:p>
        </w:tc>
      </w:tr>
      <w:tr w:rsidTr="008066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t>T9</w:t>
            </w:r>
            <w:r w:rsidRPr="00505B7C">
              <w:tab/>
              <w:t>Preparation to install and maintain explosion-protected equipment in hazardous areas encompassing:</w:t>
            </w:r>
          </w:p>
          <w:p w:rsidR="00000000" w:rsidRPr="00505B7C" w:rsidP="00505B7C">
            <w:pPr>
              <w:pStyle w:val="ListBullet2"/>
            </w:pPr>
            <w:r w:rsidRPr="00505B7C">
              <w:t>OHS procedures to be followed when working in a hazardous area;</w:t>
            </w:r>
          </w:p>
          <w:p w:rsidR="00000000" w:rsidRPr="00505B7C" w:rsidP="00505B7C">
            <w:pPr>
              <w:pStyle w:val="ListBullet2"/>
            </w:pPr>
            <w:r w:rsidRPr="00505B7C">
              <w:t>the significance of information provided on the certification documentation and schedules for a given item of explosion-protected equipment;</w:t>
            </w:r>
          </w:p>
          <w:p w:rsidR="00000000" w:rsidRPr="00505B7C" w:rsidP="00505B7C">
            <w:pPr>
              <w:pStyle w:val="ListBullet2"/>
            </w:pPr>
            <w:r w:rsidRPr="00505B7C">
              <w:t>the typical contents of a verification dossier and their purpose; and</w:t>
            </w:r>
          </w:p>
          <w:p w:rsidR="00000000" w:rsidP="00505B7C">
            <w:pPr>
              <w:pStyle w:val="ListBullet2"/>
              <w:rPr>
                <w:lang w:val="en-NZ"/>
              </w:rPr>
            </w:pPr>
            <w:r w:rsidRPr="00505B7C">
              <w:t>limitations in the use of tools and testing d</w:t>
            </w:r>
            <w:r w:rsidRPr="00505B7C">
              <w:t>evices in hazardous areas.</w:t>
            </w:r>
          </w:p>
        </w:tc>
      </w:tr>
      <w:tr w:rsidTr="008066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t>T10</w:t>
            </w:r>
            <w:r w:rsidRPr="00505B7C">
              <w:tab/>
              <w:t>The relationship between explosion-protected equipment, their certification documents and required locations given in specifications and layout drawings and/or written instructions encompassing:</w:t>
            </w:r>
          </w:p>
          <w:p w:rsidR="00000000" w:rsidRPr="00505B7C" w:rsidP="00505B7C">
            <w:pPr>
              <w:pStyle w:val="ListBullet2"/>
            </w:pPr>
            <w:r w:rsidRPr="00505B7C">
              <w:t xml:space="preserve">the purpose of markings on </w:t>
            </w:r>
            <w:r w:rsidRPr="00505B7C">
              <w:t>the compliance plate and certification documents for a given item of explosion-protected equipment;</w:t>
            </w:r>
          </w:p>
          <w:p w:rsidR="00000000" w:rsidRPr="00505B7C" w:rsidP="00505B7C">
            <w:pPr>
              <w:pStyle w:val="ListBullet2"/>
            </w:pPr>
            <w:r w:rsidRPr="00505B7C">
              <w:t>matching explosion-protected equipment with certification documents and the equipment specified for an installation; and</w:t>
            </w:r>
          </w:p>
          <w:p w:rsidR="00000000" w:rsidP="00505B7C">
            <w:pPr>
              <w:pStyle w:val="ListBullet2"/>
              <w:rPr>
                <w:lang w:val="en-NZ"/>
              </w:rPr>
            </w:pPr>
            <w:r w:rsidRPr="00505B7C">
              <w:t>the location the items of explosion</w:t>
            </w:r>
            <w:r w:rsidRPr="00505B7C">
              <w:t>-protected equipment for an installation from specifications and layout drawings and/or instructions.</w:t>
            </w:r>
          </w:p>
        </w:tc>
      </w:tr>
      <w:tr w:rsidTr="008066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t>T11</w:t>
            </w:r>
            <w:r w:rsidRPr="00505B7C">
              <w:tab/>
              <w:t>Installation Standards and requirements applicable to hazardous encompassing:</w:t>
            </w:r>
          </w:p>
          <w:p w:rsidR="00000000" w:rsidRPr="00505B7C" w:rsidP="00505B7C">
            <w:pPr>
              <w:pStyle w:val="ListBullet2"/>
            </w:pPr>
            <w:r w:rsidRPr="00505B7C">
              <w:t>the wiring systems permitted and not permitted in or above hazardous areas;</w:t>
            </w:r>
          </w:p>
          <w:p w:rsidR="00000000" w:rsidRPr="00505B7C" w:rsidP="00505B7C">
            <w:pPr>
              <w:pStyle w:val="ListBullet2"/>
            </w:pPr>
            <w:r w:rsidRPr="00505B7C">
              <w:t>equipment not permitted in or above hazardous areas;</w:t>
            </w:r>
          </w:p>
          <w:p w:rsidR="00000000" w:rsidRPr="00505B7C" w:rsidP="00505B7C">
            <w:pPr>
              <w:pStyle w:val="ListBullet2"/>
            </w:pPr>
            <w:r w:rsidRPr="00505B7C">
              <w:t>the regulations and Standards to which explosion-protected equipment and wiring must be installed in a hazardous area and how t</w:t>
            </w:r>
            <w:r w:rsidRPr="00505B7C">
              <w:t>hese are applied; and</w:t>
            </w:r>
          </w:p>
          <w:p w:rsidR="00000000" w:rsidP="00505B7C">
            <w:pPr>
              <w:pStyle w:val="ListBullet2"/>
              <w:rPr>
                <w:lang w:val="en-NZ"/>
              </w:rPr>
            </w:pPr>
            <w:r w:rsidRPr="00505B7C">
              <w:t>the documentation required as a record of the installation process, including certification documentation.</w:t>
            </w:r>
          </w:p>
        </w:tc>
      </w:tr>
      <w:tr w:rsidTr="008066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t>T12</w:t>
            </w:r>
            <w:r w:rsidRPr="00505B7C">
              <w:tab/>
              <w:t>Maintenance procedures in hazardous areas that will ensure the integrity of the explosion-protection technique encompassi</w:t>
            </w:r>
            <w:r w:rsidRPr="00505B7C">
              <w:t>ng:</w:t>
            </w:r>
          </w:p>
          <w:p w:rsidR="00000000" w:rsidRPr="00505B7C" w:rsidP="00505B7C">
            <w:pPr>
              <w:pStyle w:val="ListBullet2"/>
            </w:pPr>
            <w:r w:rsidRPr="00505B7C">
              <w:t>the purpose of a maintenance schedule;</w:t>
            </w:r>
          </w:p>
          <w:p w:rsidR="00000000" w:rsidRPr="00505B7C" w:rsidP="00505B7C">
            <w:pPr>
              <w:pStyle w:val="ListBullet2"/>
            </w:pPr>
            <w:r w:rsidRPr="00505B7C">
              <w:t>the purpose and extent of ‘close’, ‘sample’ and ‘periodic’ inspections;</w:t>
            </w:r>
          </w:p>
          <w:p w:rsidR="00000000" w:rsidRPr="00505B7C" w:rsidP="00505B7C">
            <w:pPr>
              <w:pStyle w:val="ListBullet2"/>
            </w:pPr>
            <w:r w:rsidRPr="00505B7C">
              <w:t>the features of each explosion-protection techniques that should be included in a maintenance schedule;</w:t>
            </w:r>
          </w:p>
          <w:p w:rsidR="00000000" w:rsidRPr="00505B7C" w:rsidP="00505B7C">
            <w:pPr>
              <w:pStyle w:val="ListBullet2"/>
            </w:pPr>
            <w:r w:rsidRPr="00505B7C">
              <w:t>the impact of environmental conditio</w:t>
            </w:r>
            <w:r w:rsidRPr="00505B7C">
              <w:t xml:space="preserve">ns on explosion-protected equipment, including corrosion and frequency of maintenance; </w:t>
            </w:r>
          </w:p>
          <w:p w:rsidR="00000000" w:rsidRPr="00505B7C" w:rsidP="00505B7C">
            <w:pPr>
              <w:pStyle w:val="ListBullet2"/>
            </w:pPr>
            <w:r w:rsidRPr="00505B7C">
              <w:t>the documentation requirements for recording the maintenance process and results;</w:t>
            </w:r>
          </w:p>
          <w:p w:rsidR="00000000" w:rsidP="00505B7C">
            <w:pPr>
              <w:pStyle w:val="ListBullet2"/>
              <w:rPr>
                <w:lang w:val="en-NZ"/>
              </w:rPr>
            </w:pPr>
            <w:r w:rsidRPr="00505B7C">
              <w:t>the use of Standards in determining the requirements with which the design of explosio</w:t>
            </w:r>
            <w:r w:rsidRPr="00505B7C">
              <w:t>n-protected apparatus shall comply.</w:t>
            </w:r>
          </w:p>
        </w:tc>
      </w:tr>
      <w:tr w:rsidTr="008066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t>T13</w:t>
            </w:r>
            <w:r w:rsidRPr="00505B7C">
              <w:tab/>
              <w:t>Cable termination types suitable for use in hazardous areas encompassing:</w:t>
            </w:r>
          </w:p>
          <w:p w:rsidR="00000000" w:rsidRPr="00505B7C" w:rsidP="00505B7C">
            <w:pPr>
              <w:pStyle w:val="ListBullet2"/>
            </w:pPr>
            <w:r w:rsidRPr="00505B7C">
              <w:t>explosion protection features of cable terminations devices.</w:t>
            </w:r>
          </w:p>
          <w:p w:rsidR="00000000" w:rsidP="00505B7C">
            <w:pPr>
              <w:pStyle w:val="ListBullet2"/>
              <w:rPr>
                <w:lang w:val="en-NZ"/>
              </w:rPr>
            </w:pPr>
            <w:r w:rsidRPr="00505B7C">
              <w:t>selecting compliant cable termination devices.</w:t>
            </w:r>
          </w:p>
        </w:tc>
      </w:tr>
      <w:tr w:rsidTr="008066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t>T14</w:t>
            </w:r>
            <w:r w:rsidRPr="00505B7C">
              <w:tab/>
            </w:r>
            <w:r w:rsidRPr="00505B7C">
              <w:t>Terminating cables suitable for use in hazardous areas encompassing:</w:t>
            </w:r>
          </w:p>
          <w:p w:rsidR="00000000" w:rsidRPr="00505B7C" w:rsidP="00505B7C">
            <w:pPr>
              <w:pStyle w:val="ListBullet2"/>
            </w:pPr>
            <w:r w:rsidRPr="00505B7C">
              <w:t>installing conduit systems, where applicable, including seals to meet hazardous areas requirements. (Gases only.)</w:t>
            </w:r>
          </w:p>
          <w:p w:rsidR="00000000" w:rsidRPr="00505B7C" w:rsidP="00505B7C">
            <w:pPr>
              <w:pStyle w:val="ListBullet2"/>
            </w:pPr>
            <w:r w:rsidRPr="00505B7C">
              <w:t>terminating a cable with a barrier gland. (Gases only.)</w:t>
            </w:r>
          </w:p>
          <w:p w:rsidR="00000000" w:rsidRPr="00505B7C" w:rsidP="00505B7C">
            <w:pPr>
              <w:pStyle w:val="ListBullet2"/>
            </w:pPr>
            <w:r w:rsidRPr="00505B7C">
              <w:t>terminating a mu</w:t>
            </w:r>
            <w:r w:rsidRPr="00505B7C">
              <w:t>ltipair, SWA, overall screened, individual screened cable into an enclosure.</w:t>
            </w:r>
          </w:p>
          <w:p w:rsidR="00000000" w:rsidRPr="00505B7C" w:rsidP="00505B7C">
            <w:pPr>
              <w:pStyle w:val="ListBullet2"/>
            </w:pPr>
            <w:r w:rsidRPr="00505B7C">
              <w:t>testing termination/connections of installed cables/circuits.</w:t>
            </w:r>
          </w:p>
        </w:tc>
      </w:tr>
    </w:tbl>
    <w:p w:rsidR="00000000" w:rsidRPr="00505B7C" w:rsidP="00505B7C">
      <w:pPr>
        <w:pStyle w:val="BodyText"/>
      </w:pPr>
    </w:p>
    <w:p w:rsidR="00000000" w:rsidRPr="00505B7C" w:rsidP="00505B7C">
      <w:pPr>
        <w:pStyle w:val="AllowPageBreak"/>
      </w:pPr>
    </w:p>
    <w:p w:rsidR="00000000" w:rsidRPr="00505B7C" w:rsidP="00505B7C">
      <w:pPr>
        <w:pStyle w:val="Heading1"/>
      </w:pPr>
      <w:bookmarkStart w:id="10" w:name="O_700183"/>
      <w:bookmarkEnd w:id="10"/>
      <w:r w:rsidRPr="00505B7C">
        <w:t>Evidence Guide</w:t>
      </w:r>
    </w:p>
    <w:tbl>
      <w:tblPr>
        <w:tblW w:w="0" w:type="auto"/>
        <w:tblLayout w:type="fixed"/>
        <w:tblCellMar>
          <w:left w:w="62" w:type="dxa"/>
          <w:right w:w="62" w:type="dxa"/>
        </w:tblCellMar>
        <w:tblLook w:val="0000"/>
      </w:tblPr>
      <w:tblGrid>
        <w:gridCol w:w="2157"/>
        <w:gridCol w:w="720"/>
        <w:gridCol w:w="540"/>
        <w:gridCol w:w="5043"/>
      </w:tblGrid>
      <w:tr w:rsidTr="00806679">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rPr>
                <w:rStyle w:val="SpecialBold"/>
              </w:rPr>
              <w:t>EVIDENCE GUIDE</w:t>
            </w:r>
          </w:p>
        </w:tc>
      </w:tr>
      <w:tr w:rsidTr="00806679">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rPr>
                <w:rStyle w:val="SpecialBold"/>
              </w:rPr>
              <w:t>9</w:t>
            </w:r>
            <w:r w:rsidRPr="00505B7C">
              <w:t>) This provides essential advice for assessment of the unit and must be read in conjunction with the performance criteria and the range statement of the unit and the Training Package Assessment Guidelines.</w:t>
            </w:r>
          </w:p>
          <w:p w:rsidR="00000000" w:rsidP="00505B7C">
            <w:pPr>
              <w:pStyle w:val="BodyText"/>
              <w:rPr>
                <w:lang w:val="en-NZ"/>
              </w:rPr>
            </w:pPr>
            <w:r w:rsidRPr="00505B7C">
              <w:t xml:space="preserve">The Evidence Guide forms an integral part of this </w:t>
            </w:r>
            <w:r w:rsidRPr="00505B7C">
              <w:t>unit. It must be used in conjunction with all components parts of this unit and performed in accordance with the Assessment Guidelines of this Training Package.</w:t>
            </w:r>
          </w:p>
        </w:tc>
      </w:tr>
      <w:tr w:rsidTr="0080667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rPr>
                <w:rStyle w:val="SpecialBold"/>
              </w:rPr>
              <w:t>Overview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rPr>
                <w:rStyle w:val="SpecialBold"/>
              </w:rPr>
              <w:t>9</w:t>
            </w:r>
            <w:r w:rsidRPr="00505B7C">
              <w:t>.</w:t>
            </w:r>
            <w:r w:rsidRPr="00505B7C">
              <w:rPr>
                <w:rStyle w:val="SpecialBold"/>
              </w:rPr>
              <w:t>1</w:t>
            </w:r>
            <w:r w:rsidRPr="00505B7C">
              <w:t xml:space="preserve">) </w:t>
            </w:r>
          </w:p>
          <w:p w:rsidR="00000000" w:rsidRPr="00505B7C" w:rsidP="00505B7C">
            <w:pPr>
              <w:pStyle w:val="BodyText"/>
            </w:pPr>
            <w:r w:rsidRPr="00505B7C">
              <w:t>Longitudinal competency development approaches to assessment, such as Profiling, require data to be reliably gathered in a form that can be consistently interpreted over time. This approach is best utilised in Apprenticeship programs and reduces assessment</w:t>
            </w:r>
            <w:r w:rsidRPr="00505B7C">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505B7C">
              <w:t>ncy in a realistically simulated work environment. It is recognised that, in some circumstances, assessment in part or full can occur outside the workplace. However, it must be in accord with industry and regulatory policy.</w:t>
            </w:r>
          </w:p>
          <w:p w:rsidR="00000000" w:rsidRPr="00505B7C" w:rsidP="00505B7C">
            <w:pPr>
              <w:pStyle w:val="BodyText"/>
            </w:pPr>
            <w:r w:rsidRPr="00505B7C">
              <w:t xml:space="preserve">Methods chosen for a particular </w:t>
            </w:r>
            <w:r w:rsidRPr="00505B7C">
              <w:t>assessment will be influenced by various factors. These include the extent of the assessment, the most effective locations for the assessment activities to take place, access to physical resources, additional safety measures that may be required and the cr</w:t>
            </w:r>
            <w:r w:rsidRPr="00505B7C">
              <w:t>itical nature of the competencies being assessed.</w:t>
            </w:r>
          </w:p>
          <w:p w:rsidR="00000000" w:rsidRPr="00505B7C" w:rsidP="00505B7C">
            <w:pPr>
              <w:pStyle w:val="BodyText"/>
            </w:pPr>
            <w:r w:rsidRPr="00505B7C">
              <w:t xml:space="preserve">The critical safety nature of working with electricity, electrical equipment, gas or any other hazardous substance/material carries risk in deeming a person competent. Sources of evidence need to be 'rich' </w:t>
            </w:r>
            <w:r w:rsidRPr="00505B7C">
              <w:t>in nature to minimise error in judgment.</w:t>
            </w:r>
          </w:p>
          <w:p w:rsidR="00000000" w:rsidP="00505B7C">
            <w:pPr>
              <w:pStyle w:val="BodyText"/>
              <w:rPr>
                <w:lang w:val="en-NZ"/>
              </w:rPr>
            </w:pPr>
            <w:r w:rsidRPr="00505B7C">
              <w:t xml:space="preserve">Activities associated with normal everyday work influence decisions about how/how much the data gathered will contribute to its 'richness'. Some skills are more critical to safety and operational requirements while </w:t>
            </w:r>
            <w:r w:rsidRPr="00505B7C">
              <w:t>the same skills may be more or less frequently practised. These points are raised for the assessors to consider when choosing an assessment method and developing assessment instruments. Sample assessment instruments are included for Assessors in the Assess</w:t>
            </w:r>
            <w:r w:rsidRPr="00505B7C">
              <w:t>ment Guidelines of this Training Package.</w:t>
            </w:r>
          </w:p>
        </w:tc>
      </w:tr>
      <w:tr w:rsidTr="00806679">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rPr>
                <w:rStyle w:val="SpecialBold"/>
              </w:rPr>
              <w:t>Critical aspects of evidence required to demonstrate competency in this unit</w:t>
            </w:r>
          </w:p>
        </w:tc>
        <w:tc>
          <w:tcPr>
            <w:tcW w:w="6303" w:type="dxa"/>
            <w:gridSpan w:val="3"/>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rPr>
                <w:rStyle w:val="SpecialBold"/>
              </w:rPr>
              <w:t>9</w:t>
            </w:r>
            <w:r w:rsidRPr="00505B7C">
              <w:t>.</w:t>
            </w:r>
            <w:r w:rsidRPr="00505B7C">
              <w:rPr>
                <w:rStyle w:val="SpecialBold"/>
              </w:rPr>
              <w:t>2</w:t>
            </w:r>
            <w:r w:rsidRPr="00505B7C">
              <w:t xml:space="preserve">) </w:t>
            </w:r>
          </w:p>
          <w:p w:rsidR="00000000" w:rsidP="00505B7C">
            <w:pPr>
              <w:pStyle w:val="BodyText"/>
              <w:rPr>
                <w:lang w:val="en-NZ"/>
              </w:rPr>
            </w:pPr>
            <w:r w:rsidRPr="00505B7C">
              <w:t>Before the critical aspects of evidence are considered all prerequisites shall be met.</w:t>
            </w:r>
          </w:p>
        </w:tc>
      </w:tr>
      <w:tr w:rsidTr="00806679">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505B7C">
            <w:pPr>
              <w:pStyle w:val="ListBullet"/>
              <w:rPr>
                <w:lang w:val="en-NZ"/>
              </w:rPr>
            </w:pPr>
            <w:r w:rsidRPr="00505B7C">
              <w:t>A representative body of work performance demonstrated within the timeframes typically expected of the discipline, work function and industrial environment. In particular this shall incorporate evidence that shows a candidate is able to:</w:t>
            </w:r>
          </w:p>
        </w:tc>
      </w:tr>
      <w:tr w:rsidTr="0080667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505B7C" w:rsidP="00505B7C">
            <w:pPr>
              <w:pStyle w:val="ListBullet2"/>
            </w:pPr>
            <w:r w:rsidRPr="00505B7C">
              <w:t xml:space="preserve">Implement Occupational Health and Safety workplace procedures and practices, including the use of risk control measures as specified in the performance criteria and range statement </w:t>
            </w:r>
          </w:p>
          <w:p w:rsidR="00000000" w:rsidRPr="00505B7C" w:rsidP="00505B7C">
            <w:pPr>
              <w:pStyle w:val="ListBullet2"/>
            </w:pPr>
            <w:r w:rsidRPr="00505B7C">
              <w:t>Apply sustainable energy principles and practices as specified in the perf</w:t>
            </w:r>
            <w:r w:rsidRPr="00505B7C">
              <w:t xml:space="preserve">ormance criteria and range statement </w:t>
            </w:r>
          </w:p>
          <w:p w:rsidR="00000000" w:rsidRPr="00505B7C" w:rsidP="00505B7C">
            <w:pPr>
              <w:pStyle w:val="ListBullet2"/>
            </w:pPr>
            <w:r w:rsidRPr="00505B7C">
              <w:t>Demonstrate an understanding of the essential knowledge and associated skills as described in this unit.  It may be required by some jurisdictions that RTOs provide a percentile graded result for the purpose of regulat</w:t>
            </w:r>
            <w:r w:rsidRPr="00505B7C">
              <w:t>ory or licensing requirements.</w:t>
            </w:r>
          </w:p>
          <w:p w:rsidR="00000000" w:rsidRPr="00505B7C" w:rsidP="00505B7C">
            <w:pPr>
              <w:pStyle w:val="ListBullet2"/>
            </w:pPr>
            <w:r w:rsidRPr="00505B7C">
              <w:t>Demonstrate an appropriate level of skills enabling employment</w:t>
            </w:r>
          </w:p>
          <w:p w:rsidR="00000000" w:rsidP="00505B7C">
            <w:pPr>
              <w:pStyle w:val="ListBullet2"/>
              <w:rPr>
                <w:lang w:val="en-NZ"/>
              </w:rPr>
            </w:pPr>
            <w:r w:rsidRPr="00505B7C">
              <w:t>Conduct work observing the relevant Anti Discrimination legislation, regulations, polices and workplace procedures</w:t>
            </w:r>
          </w:p>
        </w:tc>
      </w:tr>
      <w:tr w:rsidTr="0080667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505B7C">
            <w:pPr>
              <w:pStyle w:val="ListBullet"/>
              <w:rPr>
                <w:lang w:val="en-NZ"/>
              </w:rPr>
            </w:pPr>
            <w:r w:rsidRPr="00505B7C">
              <w:t>Demonstrated consistent performance across</w:t>
            </w:r>
            <w:r w:rsidRPr="00505B7C">
              <w:t xml:space="preserve"> a representative range of contexts from the prescribed items below:</w:t>
            </w:r>
          </w:p>
        </w:tc>
      </w:tr>
      <w:tr w:rsidTr="0080667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505B7C">
            <w:pPr>
              <w:pStyle w:val="ListBullet2"/>
              <w:rPr>
                <w:lang w:val="en-NZ"/>
              </w:rPr>
            </w:pPr>
            <w:r w:rsidRPr="00505B7C">
              <w:t>Install explosion protected equipment and wiring systems as described in 8) and including:</w:t>
            </w:r>
          </w:p>
        </w:tc>
      </w:tr>
      <w:tr w:rsidTr="0080667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A</w:t>
            </w:r>
          </w:p>
        </w:tc>
        <w:tc>
          <w:tcPr>
            <w:tcW w:w="5043"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Working safely in a potentially hazardous area including, the use of work permits and clearances, hazard monitoring and evacuation procedures, and plant and electrical isolation.</w:t>
            </w:r>
          </w:p>
        </w:tc>
      </w:tr>
      <w:tr w:rsidTr="0080667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B</w:t>
            </w:r>
          </w:p>
        </w:tc>
        <w:tc>
          <w:tcPr>
            <w:tcW w:w="5043"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Handling and installing equipment and wiring in a manner that does not reduce the type of protection afforded by the equipment design.</w:t>
            </w:r>
          </w:p>
        </w:tc>
      </w:tr>
      <w:tr w:rsidTr="0080667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C</w:t>
            </w:r>
          </w:p>
        </w:tc>
        <w:tc>
          <w:tcPr>
            <w:tcW w:w="5043"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 xml:space="preserve">Checking equipment against certification documents, including conditions of certification relating to the safe use, </w:t>
            </w:r>
            <w:r w:rsidRPr="00505B7C">
              <w:t>and design specifications.</w:t>
            </w:r>
          </w:p>
        </w:tc>
      </w:tr>
      <w:tr w:rsidTr="0080667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D</w:t>
            </w:r>
          </w:p>
        </w:tc>
        <w:tc>
          <w:tcPr>
            <w:tcW w:w="5043"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Verifying equipment has been installed according to installation design specifications.</w:t>
            </w:r>
          </w:p>
        </w:tc>
      </w:tr>
      <w:tr w:rsidTr="0080667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E</w:t>
            </w:r>
          </w:p>
        </w:tc>
        <w:tc>
          <w:tcPr>
            <w:tcW w:w="5043"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Test installed cables/circuits to ensure they are safe.</w:t>
            </w:r>
          </w:p>
        </w:tc>
      </w:tr>
      <w:tr w:rsidTr="0080667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F</w:t>
            </w:r>
          </w:p>
        </w:tc>
        <w:tc>
          <w:tcPr>
            <w:tcW w:w="5043"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Documenting installation completion.</w:t>
            </w:r>
          </w:p>
        </w:tc>
      </w:tr>
      <w:tr w:rsidTr="0080667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G</w:t>
            </w:r>
          </w:p>
        </w:tc>
        <w:tc>
          <w:tcPr>
            <w:tcW w:w="5043"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Applying relevant contingency management skills.</w:t>
            </w:r>
          </w:p>
        </w:tc>
      </w:tr>
      <w:tr w:rsidTr="0080667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rPr>
                <w:rStyle w:val="SpecialBold"/>
              </w:rPr>
              <w:t>Context of and specific resources for assessment</w:t>
            </w:r>
          </w:p>
        </w:tc>
        <w:tc>
          <w:tcPr>
            <w:tcW w:w="6303" w:type="dxa"/>
            <w:gridSpan w:val="3"/>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rPr>
                <w:rStyle w:val="SpecialBold"/>
              </w:rPr>
              <w:t>9</w:t>
            </w:r>
            <w:r w:rsidRPr="00505B7C">
              <w:t>.</w:t>
            </w:r>
            <w:r w:rsidRPr="00505B7C">
              <w:rPr>
                <w:rStyle w:val="SpecialBold"/>
              </w:rPr>
              <w:t>3</w:t>
            </w:r>
            <w:r w:rsidRPr="00505B7C">
              <w:t xml:space="preserve">) </w:t>
            </w:r>
          </w:p>
          <w:p w:rsidR="00000000" w:rsidRPr="00505B7C" w:rsidP="00505B7C">
            <w:pPr>
              <w:pStyle w:val="BodyText"/>
            </w:pPr>
            <w:r w:rsidRPr="00505B7C">
              <w:t>This unit should be assessed as it relates to normal work practice using procedures, information and resources typical of a workplace. This should incl</w:t>
            </w:r>
            <w:r w:rsidRPr="00505B7C">
              <w:t>ude:</w:t>
            </w:r>
          </w:p>
          <w:p w:rsidR="00000000" w:rsidRPr="00505B7C" w:rsidP="00505B7C">
            <w:pPr>
              <w:pStyle w:val="ListBullet"/>
            </w:pPr>
            <w:r w:rsidRPr="00505B7C">
              <w:t>OHS policy and work procedures and instructions.</w:t>
            </w:r>
          </w:p>
          <w:p w:rsidR="00000000" w:rsidRPr="00505B7C" w:rsidP="00505B7C">
            <w:pPr>
              <w:pStyle w:val="ListBullet"/>
            </w:pPr>
            <w:r w:rsidRPr="00505B7C">
              <w:t>Suitable work environment, facilities, equipment and materials to undertake actual work as prescribed by this unit.</w:t>
            </w:r>
          </w:p>
          <w:p w:rsidR="00000000" w:rsidRPr="00505B7C" w:rsidP="00505B7C">
            <w:pPr>
              <w:pStyle w:val="BodyText"/>
            </w:pPr>
            <w:r w:rsidRPr="00505B7C">
              <w:t>These should also be part of the formal learning/assessment environment.</w:t>
            </w:r>
          </w:p>
          <w:p w:rsidR="00000000" w:rsidRPr="00505B7C" w:rsidP="00505B7C">
            <w:pPr>
              <w:pStyle w:val="BodyText"/>
            </w:pPr>
            <w:r w:rsidRPr="00505B7C">
              <w:t>Note:</w:t>
            </w:r>
          </w:p>
          <w:p w:rsidR="00000000" w:rsidP="00505B7C">
            <w:pPr>
              <w:pStyle w:val="BodyText"/>
              <w:rPr>
                <w:lang w:val="en-NZ"/>
              </w:rPr>
            </w:pPr>
            <w:r w:rsidRPr="00505B7C">
              <w:t>Where simulation is considered a suitable strategy for assessment, conditions must be authentic and as far as possible reproduce and replicate the workplace and be consistent with the approved industry simulation policy.</w:t>
            </w:r>
          </w:p>
        </w:tc>
      </w:tr>
      <w:tr w:rsidTr="0080667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The resources used for assessme</w:t>
            </w:r>
            <w:r w:rsidRPr="00505B7C">
              <w:t>nt should reflect current industry practices in relation to installing explosion protected equipment and wiring systems.</w:t>
            </w:r>
          </w:p>
        </w:tc>
      </w:tr>
      <w:tr w:rsidTr="0080667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rPr>
                <w:rStyle w:val="SpecialBold"/>
              </w:rPr>
              <w:t>Method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rPr>
                <w:rStyle w:val="SpecialBold"/>
              </w:rPr>
              <w:t>9</w:t>
            </w:r>
            <w:r w:rsidRPr="00505B7C">
              <w:t>.</w:t>
            </w:r>
            <w:r w:rsidRPr="00505B7C">
              <w:rPr>
                <w:rStyle w:val="SpecialBold"/>
              </w:rPr>
              <w:t>4</w:t>
            </w:r>
            <w:r w:rsidRPr="00505B7C">
              <w:t xml:space="preserve">) </w:t>
            </w:r>
          </w:p>
          <w:p w:rsidR="00000000" w:rsidRPr="00505B7C" w:rsidP="00505B7C">
            <w:pPr>
              <w:pStyle w:val="BodyText"/>
            </w:pPr>
            <w:r w:rsidRPr="00505B7C">
              <w:t>This unit shall be assessed by methods given in Volume 1, Part 3 'Assessment Guidelines'.</w:t>
            </w:r>
          </w:p>
          <w:p w:rsidR="00000000" w:rsidRPr="00505B7C" w:rsidP="00505B7C">
            <w:pPr>
              <w:pStyle w:val="BodyText"/>
            </w:pPr>
            <w:r w:rsidRPr="00505B7C">
              <w:t xml:space="preserve">Note: </w:t>
            </w:r>
          </w:p>
          <w:p w:rsidR="00000000" w:rsidP="00505B7C">
            <w:pPr>
              <w:pStyle w:val="BodyText"/>
              <w:rPr>
                <w:lang w:val="en-NZ"/>
              </w:rPr>
            </w:pPr>
            <w:r w:rsidRPr="00505B7C">
              <w:t>Competen</w:t>
            </w:r>
            <w:r w:rsidRPr="00505B7C">
              <w:t>t performance with inherent safe working practices is expected in the Industry to which this unit applies. This requires assessment in a structured environment primarily intended for learning/assessment which incorporates all necessary equipment and facili</w:t>
            </w:r>
            <w:r w:rsidRPr="00505B7C">
              <w:t>ties for learners to develop and demonstrate the essential knowledge and skills described in this unit.</w:t>
            </w:r>
          </w:p>
        </w:tc>
      </w:tr>
      <w:tr w:rsidTr="00806679">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rPr>
                <w:rStyle w:val="SpecialBold"/>
              </w:rPr>
              <w:t>Concurrent assessment and relationship with other units</w:t>
            </w:r>
          </w:p>
        </w:tc>
        <w:tc>
          <w:tcPr>
            <w:tcW w:w="6303" w:type="dxa"/>
            <w:gridSpan w:val="3"/>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rPr>
                <w:rStyle w:val="SpecialBold"/>
              </w:rPr>
              <w:t>9</w:t>
            </w:r>
            <w:r w:rsidRPr="00505B7C">
              <w:t>.</w:t>
            </w:r>
            <w:r w:rsidRPr="00505B7C">
              <w:rPr>
                <w:rStyle w:val="SpecialBold"/>
              </w:rPr>
              <w:t>5</w:t>
            </w:r>
            <w:r w:rsidRPr="00505B7C">
              <w:t>)</w:t>
            </w:r>
          </w:p>
        </w:tc>
      </w:tr>
      <w:tr w:rsidTr="00806679">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t xml:space="preserve">For optimisation of training and assessment effort, competency development in this unit may be arranged concurrently with unit: </w:t>
            </w:r>
          </w:p>
          <w:p w:rsidR="00000000" w:rsidP="00505B7C">
            <w:pPr>
              <w:pStyle w:val="BodyText"/>
              <w:rPr>
                <w:lang w:val="en-NZ"/>
              </w:rPr>
            </w:pPr>
            <w:r w:rsidRPr="00505B7C">
              <w:t>UEENEEM080A</w:t>
            </w:r>
            <w:r w:rsidRPr="00505B7C">
              <w:tab/>
              <w:t>Report on the integrity of explosion-protected equipment in a hazardous area</w:t>
            </w:r>
          </w:p>
        </w:tc>
      </w:tr>
      <w:tr w:rsidTr="0080667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t>Competencies in installation of ge</w:t>
            </w:r>
            <w:r w:rsidRPr="00505B7C">
              <w:t>neral low-voltage or extra-low voltage electrical/electronic equipment and wiring systems at AQF 3 or equivalent chosen as a prerequisite.</w:t>
            </w:r>
          </w:p>
        </w:tc>
      </w:tr>
    </w:tbl>
    <w:p w:rsidR="00806679" w:rsidP="00505B7C">
      <w:pPr>
        <w:pStyle w:val="BodyText"/>
      </w:pPr>
    </w:p>
    <w:p w:rsidR="00806679" w:rsidP="00505B7C">
      <w:pPr>
        <w:pStyle w:val="BodyText"/>
      </w:pPr>
    </w:p>
    <w:p w:rsidR="00000000" w:rsidRPr="00505B7C" w:rsidP="00505B7C">
      <w:pPr>
        <w:pStyle w:val="Heading1"/>
      </w:pPr>
      <w:bookmarkStart w:id="11" w:name="O_700182"/>
      <w:bookmarkEnd w:id="11"/>
      <w:r w:rsidRPr="00505B7C">
        <w:t>Range Statement</w:t>
      </w:r>
    </w:p>
    <w:tbl>
      <w:tblPr>
        <w:tblW w:w="0" w:type="auto"/>
        <w:tblLayout w:type="fixed"/>
        <w:tblCellMar>
          <w:left w:w="62" w:type="dxa"/>
          <w:right w:w="62" w:type="dxa"/>
        </w:tblCellMar>
        <w:tblLook w:val="0000"/>
      </w:tblPr>
      <w:tblGrid>
        <w:gridCol w:w="2157"/>
        <w:gridCol w:w="6303"/>
      </w:tblGrid>
      <w:tr w:rsidTr="0080667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rPr>
                <w:rStyle w:val="SpecialBold"/>
              </w:rPr>
              <w:t>RANGE STATEMENT</w:t>
            </w:r>
          </w:p>
        </w:tc>
      </w:tr>
      <w:tr w:rsidTr="008066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rPr>
                <w:rStyle w:val="SpecialBold"/>
              </w:rPr>
              <w:t>8</w:t>
            </w:r>
            <w:r w:rsidRPr="00505B7C">
              <w:t>) This relates to the unit as a whole providing the range of contexts and conditions to which the performance criteria apply. It allows for different work environments and situations that will affect performance.</w:t>
            </w:r>
          </w:p>
        </w:tc>
      </w:tr>
      <w:tr w:rsidTr="008066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This unit shall be demonstrated in relation to any classified gas hazardous area and all the following explosion-protection techniques:</w:t>
            </w:r>
          </w:p>
        </w:tc>
      </w:tr>
      <w:tr w:rsidTr="00806679">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p>
        </w:tc>
        <w:tc>
          <w:tcPr>
            <w:tcW w:w="6303" w:type="dxa"/>
            <w:tcBorders>
              <w:top w:val="nil"/>
              <w:left w:val="nil"/>
              <w:bottom w:val="nil"/>
              <w:right w:val="nil"/>
            </w:tcBorders>
            <w:tcMar>
              <w:top w:w="0" w:type="dxa"/>
              <w:left w:w="62" w:type="dxa"/>
              <w:bottom w:w="0" w:type="dxa"/>
              <w:right w:w="62" w:type="dxa"/>
            </w:tcMar>
          </w:tcPr>
          <w:p w:rsidR="00000000" w:rsidRPr="00505B7C" w:rsidP="00505B7C">
            <w:pPr>
              <w:pStyle w:val="ListBullet"/>
            </w:pPr>
            <w:r w:rsidRPr="00505B7C">
              <w:t>Flameproof, (Ex 'd')</w:t>
            </w:r>
          </w:p>
          <w:p w:rsidR="00000000" w:rsidRPr="00505B7C" w:rsidP="00505B7C">
            <w:pPr>
              <w:pStyle w:val="ListBullet"/>
            </w:pPr>
            <w:r w:rsidRPr="00505B7C">
              <w:t>Increased safety, (Ex 'e')</w:t>
            </w:r>
          </w:p>
          <w:p w:rsidR="00000000" w:rsidRPr="00505B7C" w:rsidP="00505B7C">
            <w:pPr>
              <w:pStyle w:val="ListBullet"/>
            </w:pPr>
            <w:r w:rsidRPr="00505B7C">
              <w:t>Intrinsic safety, (Ex 'i')</w:t>
            </w:r>
          </w:p>
          <w:p w:rsidR="00000000" w:rsidP="00505B7C">
            <w:pPr>
              <w:pStyle w:val="ListBullet"/>
              <w:rPr>
                <w:lang w:val="en-NZ"/>
              </w:rPr>
            </w:pPr>
            <w:r w:rsidRPr="00505B7C">
              <w:t>Non-sparking, (Ex 'n')</w:t>
            </w:r>
          </w:p>
        </w:tc>
      </w:tr>
      <w:tr w:rsidTr="008066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t>The following constants and variables included in the element/performance criteria in this unit are fully described in the Volume 2, Part 2.1.</w:t>
            </w:r>
          </w:p>
        </w:tc>
      </w:tr>
    </w:tbl>
    <w:p w:rsidR="00806679" w:rsidP="00505B7C">
      <w:pPr>
        <w:pStyle w:val="BodyText"/>
      </w:pPr>
    </w:p>
    <w:p w:rsidR="00806679" w:rsidP="00505B7C">
      <w:pPr>
        <w:pStyle w:val="BodyText"/>
      </w:pPr>
    </w:p>
    <w:p w:rsidR="00000000" w:rsidRPr="00505B7C" w:rsidP="00505B7C">
      <w:pPr>
        <w:pStyle w:val="Heading1"/>
      </w:pPr>
      <w:bookmarkStart w:id="12" w:name="O_700181"/>
      <w:bookmarkEnd w:id="12"/>
      <w:r w:rsidRPr="00505B7C">
        <w:t>Unit Sector(s)</w:t>
      </w:r>
    </w:p>
    <w:p w:rsidR="00000000" w:rsidRPr="00505B7C" w:rsidP="00505B7C">
      <w:pPr>
        <w:pStyle w:val="BodyText"/>
      </w:pPr>
      <w:r w:rsidRPr="00505B7C">
        <w:t>Not Applicable</w:t>
      </w:r>
    </w:p>
    <w:p w:rsidR="00000000" w:rsidRPr="00505B7C" w:rsidP="00505B7C">
      <w:pPr>
        <w:pStyle w:val="AllowPageBreak"/>
      </w:pPr>
    </w:p>
    <w:p w:rsidR="00000000" w:rsidRPr="00505B7C" w:rsidP="00505B7C">
      <w:pPr>
        <w:pStyle w:val="Heading1"/>
      </w:pPr>
      <w:bookmarkStart w:id="13" w:name="O_700180"/>
      <w:bookmarkEnd w:id="13"/>
      <w:r w:rsidRPr="00505B7C">
        <w:t>Competency Field</w:t>
      </w:r>
    </w:p>
    <w:tbl>
      <w:tblPr>
        <w:tblW w:w="0" w:type="auto"/>
        <w:tblLayout w:type="fixed"/>
        <w:tblCellMar>
          <w:left w:w="62" w:type="dxa"/>
          <w:right w:w="62" w:type="dxa"/>
        </w:tblCellMar>
        <w:tblLook w:val="0000"/>
      </w:tblPr>
      <w:tblGrid>
        <w:gridCol w:w="1452"/>
        <w:gridCol w:w="1182"/>
        <w:gridCol w:w="1738"/>
        <w:gridCol w:w="1182"/>
        <w:gridCol w:w="1720"/>
        <w:gridCol w:w="1186"/>
      </w:tblGrid>
      <w:tr w:rsidTr="0080667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rPr>
                <w:rStyle w:val="SpecialBold"/>
              </w:rPr>
              <w:t>2</w:t>
            </w:r>
            <w:r w:rsidRPr="00505B7C">
              <w:t>.</w:t>
            </w:r>
            <w:r w:rsidRPr="00505B7C">
              <w:rPr>
                <w:rStyle w:val="SpecialBold"/>
              </w:rPr>
              <w:t>2</w:t>
            </w:r>
            <w:r w:rsidRPr="00505B7C">
              <w:t xml:space="preserve">) </w:t>
            </w:r>
            <w:r w:rsidRPr="00505B7C">
              <w:rPr>
                <w:rStyle w:val="SpecialBold"/>
              </w:rPr>
              <w:t>Literacy and numeracy skills</w:t>
            </w:r>
          </w:p>
          <w:p w:rsidR="00000000" w:rsidP="00505B7C">
            <w:pPr>
              <w:pStyle w:val="BodyText"/>
              <w:rPr>
                <w:lang w:val="en-NZ"/>
              </w:rPr>
            </w:pPr>
            <w:r w:rsidRPr="00505B7C">
              <w:t>Participants are best equipped to achieve competency in this unit if they have reading, writing and numeracy skills indicated by the following scales. Description of each scale is given in Volume 2, Part 3 'Literacy and Numerac</w:t>
            </w:r>
            <w:r w:rsidRPr="00505B7C">
              <w:t>y'</w:t>
            </w:r>
          </w:p>
        </w:tc>
      </w:tr>
      <w:tr w:rsidTr="00806679">
        <w:tblPrEx>
          <w:tblW w:w="0" w:type="auto"/>
          <w:tblLayout w:type="fixed"/>
          <w:tblCellMar>
            <w:left w:w="62" w:type="dxa"/>
            <w:right w:w="62" w:type="dxa"/>
          </w:tblCellMar>
          <w:tblLook w:val="0000"/>
        </w:tblPrEx>
        <w:tc>
          <w:tcPr>
            <w:tcW w:w="1452"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Reading</w:t>
            </w:r>
          </w:p>
        </w:tc>
        <w:tc>
          <w:tcPr>
            <w:tcW w:w="1182"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3</w:t>
            </w:r>
          </w:p>
        </w:tc>
        <w:tc>
          <w:tcPr>
            <w:tcW w:w="1738"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Writing</w:t>
            </w:r>
          </w:p>
        </w:tc>
        <w:tc>
          <w:tcPr>
            <w:tcW w:w="1182"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3</w:t>
            </w:r>
          </w:p>
        </w:tc>
        <w:tc>
          <w:tcPr>
            <w:tcW w:w="1720"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t>Numeracy</w:t>
            </w:r>
          </w:p>
        </w:tc>
        <w:tc>
          <w:tcPr>
            <w:tcW w:w="1186" w:type="dxa"/>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t>3</w:t>
            </w:r>
          </w:p>
        </w:tc>
      </w:tr>
    </w:tbl>
    <w:p w:rsidR="00806679" w:rsidP="00505B7C">
      <w:pPr>
        <w:pStyle w:val="BodyText"/>
      </w:pPr>
    </w:p>
    <w:p w:rsidR="00806679" w:rsidP="00505B7C">
      <w:pPr>
        <w:pStyle w:val="BodyText"/>
      </w:pPr>
    </w:p>
    <w:p w:rsidR="00000000" w:rsidRPr="00505B7C" w:rsidP="00505B7C">
      <w:pPr>
        <w:pStyle w:val="Heading1"/>
      </w:pPr>
      <w:bookmarkStart w:id="14" w:name="O_700179"/>
      <w:bookmarkEnd w:id="14"/>
      <w:r w:rsidRPr="00505B7C">
        <w:t>Custom Content Section</w:t>
      </w:r>
    </w:p>
    <w:tbl>
      <w:tblPr>
        <w:tblW w:w="0" w:type="auto"/>
        <w:tblLayout w:type="fixed"/>
        <w:tblCellMar>
          <w:left w:w="62" w:type="dxa"/>
          <w:right w:w="62" w:type="dxa"/>
        </w:tblCellMar>
        <w:tblLook w:val="0000"/>
      </w:tblPr>
      <w:tblGrid>
        <w:gridCol w:w="2697"/>
        <w:gridCol w:w="5763"/>
      </w:tblGrid>
      <w:tr w:rsidTr="00806679">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rPr>
                <w:rStyle w:val="SpecialBold"/>
              </w:rPr>
              <w:t>Competency Field</w:t>
            </w:r>
          </w:p>
        </w:tc>
        <w:tc>
          <w:tcPr>
            <w:tcW w:w="5763" w:type="dxa"/>
            <w:tcBorders>
              <w:top w:val="nil"/>
              <w:left w:val="nil"/>
              <w:bottom w:val="nil"/>
              <w:right w:val="nil"/>
            </w:tcBorders>
            <w:tcMar>
              <w:top w:w="0" w:type="dxa"/>
              <w:left w:w="62" w:type="dxa"/>
              <w:bottom w:w="0" w:type="dxa"/>
              <w:right w:w="62" w:type="dxa"/>
            </w:tcMar>
          </w:tcPr>
          <w:p w:rsidR="00000000" w:rsidP="00505B7C">
            <w:pPr>
              <w:pStyle w:val="BodyText"/>
              <w:rPr>
                <w:lang w:val="en-NZ"/>
              </w:rPr>
            </w:pPr>
            <w:r w:rsidRPr="00505B7C">
              <w:rPr>
                <w:rStyle w:val="SpecialBold"/>
              </w:rPr>
              <w:t>5</w:t>
            </w:r>
            <w:r w:rsidRPr="00505B7C">
              <w:t>)</w:t>
            </w:r>
          </w:p>
        </w:tc>
      </w:tr>
      <w:tr w:rsidTr="00806679">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505B7C" w:rsidP="00505B7C">
            <w:pPr>
              <w:pStyle w:val="BodyText"/>
            </w:pPr>
            <w:r w:rsidRPr="00505B7C">
              <w:t>Hazards</w:t>
            </w:r>
          </w:p>
        </w:tc>
      </w:tr>
    </w:tbl>
    <w:p w:rsidR="00806679" w:rsidP="00505B7C">
      <w:pPr>
        <w:pStyle w:val="BodyText"/>
      </w:pPr>
    </w:p>
    <w:p w:rsidR="00806679" w:rsidP="00505B7C">
      <w:pPr>
        <w:pStyle w:val="BodyText"/>
      </w:pPr>
    </w:p>
    <w:p w:rsidR="00000000" w:rsidRPr="00505B7C" w:rsidP="00505B7C"/>
    <w:sectPr w:rsidSect="00505B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B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B7C" w:rsidRPr="00806679" w:rsidP="008066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B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679" w:rsidP="00505B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806679" w:rsidP="00505B7C">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806679" w:rsidP="00505B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B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B7C" w:rsidRPr="00806679" w:rsidP="008066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B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679" w:rsidRPr="002D2AF8" w:rsidP="00505B7C">
    <w:pPr>
      <w:pStyle w:val="Header"/>
      <w:framePr w:wrap="around"/>
    </w:pPr>
    <w:r>
      <w:fldChar w:fldCharType="begin"/>
    </w:r>
    <w:r>
      <w:instrText xml:space="preserve"> TITLE   \* MERGEFORMAT </w:instrText>
    </w:r>
    <w:r>
      <w:fldChar w:fldCharType="separate"/>
    </w:r>
    <w:r>
      <w:t>UEENEEM024A Install explosion-protected equipment and wiring systems - gas atmospheres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806679" w:rsidP="00505B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8A99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3AE2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52E4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B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5B7C"/>
    <w:pPr>
      <w:spacing w:before="360" w:after="60"/>
      <w:outlineLvl w:val="0"/>
    </w:pPr>
    <w:rPr>
      <w:sz w:val="32"/>
    </w:rPr>
  </w:style>
  <w:style w:type="paragraph" w:styleId="Heading2">
    <w:name w:val="heading 2"/>
    <w:basedOn w:val="HeadingBase"/>
    <w:next w:val="BodyText"/>
    <w:link w:val="Heading2Char"/>
    <w:qFormat/>
    <w:rsid w:val="00505B7C"/>
    <w:pPr>
      <w:keepLines/>
      <w:spacing w:before="240" w:after="120"/>
      <w:outlineLvl w:val="1"/>
    </w:pPr>
    <w:rPr>
      <w:sz w:val="28"/>
      <w:szCs w:val="40"/>
    </w:rPr>
  </w:style>
  <w:style w:type="paragraph" w:styleId="Heading3">
    <w:name w:val="heading 3"/>
    <w:basedOn w:val="HeadingBase"/>
    <w:next w:val="BodyText"/>
    <w:link w:val="Heading3Char"/>
    <w:qFormat/>
    <w:rsid w:val="00505B7C"/>
    <w:pPr>
      <w:spacing w:before="180" w:after="120"/>
      <w:outlineLvl w:val="2"/>
    </w:pPr>
    <w:rPr>
      <w:spacing w:val="-10"/>
      <w:kern w:val="32"/>
    </w:rPr>
  </w:style>
  <w:style w:type="paragraph" w:styleId="Heading4">
    <w:name w:val="heading 4"/>
    <w:basedOn w:val="HeadingBase"/>
    <w:next w:val="BodyText"/>
    <w:link w:val="Heading4Char"/>
    <w:qFormat/>
    <w:rsid w:val="00505B7C"/>
    <w:pPr>
      <w:spacing w:before="160" w:after="120"/>
      <w:outlineLvl w:val="3"/>
    </w:pPr>
    <w:rPr>
      <w:sz w:val="22"/>
    </w:rPr>
  </w:style>
  <w:style w:type="paragraph" w:styleId="Heading5">
    <w:name w:val="heading 5"/>
    <w:basedOn w:val="HeadingBase"/>
    <w:next w:val="Normal"/>
    <w:link w:val="Heading5Char"/>
    <w:qFormat/>
    <w:rsid w:val="00505B7C"/>
    <w:pPr>
      <w:spacing w:before="80"/>
      <w:outlineLvl w:val="4"/>
    </w:pPr>
    <w:rPr>
      <w:color w:val="918585"/>
      <w:sz w:val="20"/>
    </w:rPr>
  </w:style>
  <w:style w:type="paragraph" w:styleId="Heading6">
    <w:name w:val="heading 6"/>
    <w:basedOn w:val="HeadingBase"/>
    <w:next w:val="Normal"/>
    <w:link w:val="Heading6Char"/>
    <w:qFormat/>
    <w:rsid w:val="00505B7C"/>
    <w:pPr>
      <w:spacing w:before="60"/>
      <w:outlineLvl w:val="5"/>
    </w:pPr>
    <w:rPr>
      <w:color w:val="918585"/>
      <w:sz w:val="20"/>
    </w:rPr>
  </w:style>
  <w:style w:type="paragraph" w:styleId="Heading7">
    <w:name w:val="heading 7"/>
    <w:basedOn w:val="Normal"/>
    <w:next w:val="Normal"/>
    <w:link w:val="Heading7Char"/>
    <w:qFormat/>
    <w:rsid w:val="00505B7C"/>
    <w:pPr>
      <w:ind w:left="720"/>
      <w:outlineLvl w:val="6"/>
    </w:pPr>
    <w:rPr>
      <w:i/>
    </w:rPr>
  </w:style>
  <w:style w:type="paragraph" w:styleId="Heading8">
    <w:name w:val="heading 8"/>
    <w:basedOn w:val="Normal"/>
    <w:next w:val="Normal"/>
    <w:link w:val="Heading8Char"/>
    <w:qFormat/>
    <w:rsid w:val="00505B7C"/>
    <w:pPr>
      <w:ind w:left="720"/>
      <w:outlineLvl w:val="7"/>
    </w:pPr>
    <w:rPr>
      <w:i/>
    </w:rPr>
  </w:style>
  <w:style w:type="paragraph" w:styleId="Heading9">
    <w:name w:val="heading 9"/>
    <w:basedOn w:val="Normal"/>
    <w:next w:val="Normal"/>
    <w:link w:val="Heading9Char"/>
    <w:qFormat/>
    <w:rsid w:val="00505B7C"/>
    <w:pPr>
      <w:ind w:left="720"/>
      <w:outlineLvl w:val="8"/>
    </w:pPr>
    <w:rPr>
      <w:i/>
    </w:rPr>
  </w:style>
  <w:style w:type="character" w:default="1" w:styleId="DefaultParagraphFont">
    <w:name w:val="Default Paragraph Font"/>
    <w:uiPriority w:val="1"/>
    <w:unhideWhenUsed/>
    <w:rsid w:val="00505B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5B7C"/>
  </w:style>
  <w:style w:type="character" w:customStyle="1" w:styleId="Heading1Char">
    <w:name w:val="Heading 1 Char"/>
    <w:basedOn w:val="DefaultParagraphFont"/>
    <w:link w:val="Heading1"/>
    <w:rsid w:val="00505B7C"/>
    <w:rPr>
      <w:rFonts w:ascii="Times New Roman" w:eastAsia="Times New Roman" w:hAnsi="Times New Roman" w:cs="Times New Roman"/>
      <w:b/>
      <w:sz w:val="32"/>
      <w:szCs w:val="20"/>
      <w:lang w:eastAsia="en-US"/>
    </w:rPr>
  </w:style>
  <w:style w:type="paragraph" w:styleId="BodyText">
    <w:name w:val="Body Text"/>
    <w:basedOn w:val="Normal"/>
    <w:link w:val="BodyTextChar"/>
    <w:rsid w:val="00505B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5B7C"/>
    <w:rPr>
      <w:rFonts w:ascii="Times New Roman" w:eastAsia="Times New Roman" w:hAnsi="Times New Roman" w:cs="Times New Roman"/>
      <w:sz w:val="24"/>
      <w:lang w:eastAsia="en-US"/>
    </w:rPr>
  </w:style>
  <w:style w:type="paragraph" w:styleId="ListBullet">
    <w:name w:val="List Bullet"/>
    <w:basedOn w:val="List"/>
    <w:rsid w:val="00505B7C"/>
    <w:pPr>
      <w:numPr>
        <w:numId w:val="13"/>
      </w:numPr>
      <w:tabs>
        <w:tab w:val="clear" w:pos="340"/>
      </w:tabs>
      <w:spacing w:before="40" w:after="40"/>
    </w:pPr>
  </w:style>
  <w:style w:type="character" w:customStyle="1" w:styleId="SpecialBold">
    <w:name w:val="Special Bold"/>
    <w:basedOn w:val="DefaultParagraphFont"/>
    <w:rsid w:val="00505B7C"/>
    <w:rPr>
      <w:b/>
      <w:spacing w:val="0"/>
    </w:rPr>
  </w:style>
  <w:style w:type="paragraph" w:styleId="ListBullet2">
    <w:name w:val="List Bullet 2"/>
    <w:basedOn w:val="List2"/>
    <w:rsid w:val="00505B7C"/>
    <w:pPr>
      <w:numPr>
        <w:numId w:val="14"/>
      </w:numPr>
      <w:tabs>
        <w:tab w:val="clear" w:pos="680"/>
      </w:tabs>
    </w:pPr>
  </w:style>
  <w:style w:type="character" w:styleId="Emphasis">
    <w:name w:val="Emphasis"/>
    <w:basedOn w:val="DefaultParagraphFont"/>
    <w:qFormat/>
    <w:rsid w:val="00505B7C"/>
    <w:rPr>
      <w:i/>
    </w:rPr>
  </w:style>
  <w:style w:type="paragraph" w:customStyle="1" w:styleId="SuperHeading">
    <w:name w:val="SuperHeading"/>
    <w:basedOn w:val="Normal"/>
    <w:rsid w:val="00505B7C"/>
    <w:pPr>
      <w:spacing w:before="240" w:after="120"/>
      <w:outlineLvl w:val="0"/>
    </w:pPr>
    <w:rPr>
      <w:rFonts w:ascii="Times New Roman" w:hAnsi="Times New Roman"/>
      <w:b/>
      <w:sz w:val="32"/>
    </w:rPr>
  </w:style>
  <w:style w:type="paragraph" w:customStyle="1" w:styleId="AllowPageBreak">
    <w:name w:val="AllowPageBreak"/>
    <w:rsid w:val="00505B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5B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5B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5B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5B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5B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5B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5B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5B7C"/>
    <w:rPr>
      <w:rFonts w:ascii="Courier New" w:eastAsia="Times New Roman" w:hAnsi="Courier New" w:cs="Times New Roman"/>
      <w:i/>
      <w:szCs w:val="20"/>
      <w:lang w:eastAsia="en-US"/>
    </w:rPr>
  </w:style>
  <w:style w:type="paragraph" w:customStyle="1" w:styleId="HeadingBase">
    <w:name w:val="Heading Base"/>
    <w:rsid w:val="00505B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5B7C"/>
    <w:pPr>
      <w:tabs>
        <w:tab w:val="right" w:leader="dot" w:pos="9072"/>
      </w:tabs>
      <w:ind w:left="567"/>
    </w:pPr>
    <w:rPr>
      <w:szCs w:val="22"/>
    </w:rPr>
  </w:style>
  <w:style w:type="paragraph" w:customStyle="1" w:styleId="TOCBase">
    <w:name w:val="TOC Base"/>
    <w:rsid w:val="00505B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5B7C"/>
    <w:pPr>
      <w:tabs>
        <w:tab w:val="right" w:leader="dot" w:pos="9072"/>
      </w:tabs>
      <w:spacing w:before="40" w:after="40"/>
      <w:ind w:left="284"/>
    </w:pPr>
    <w:rPr>
      <w:rFonts w:ascii="Times New Roman" w:hAnsi="Times New Roman"/>
    </w:rPr>
  </w:style>
  <w:style w:type="paragraph" w:styleId="TOC1">
    <w:name w:val="toc 1"/>
    <w:basedOn w:val="TOCBase"/>
    <w:next w:val="Normal"/>
    <w:rsid w:val="00505B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5B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5B7C"/>
    <w:rPr>
      <w:rFonts w:ascii="Times New Roman" w:eastAsia="Times New Roman" w:hAnsi="Times New Roman" w:cs="Times New Roman"/>
      <w:sz w:val="16"/>
      <w:lang w:eastAsia="en-US"/>
    </w:rPr>
  </w:style>
  <w:style w:type="paragraph" w:styleId="Title">
    <w:name w:val="Title"/>
    <w:basedOn w:val="HeadingBase"/>
    <w:link w:val="TitleChar"/>
    <w:qFormat/>
    <w:rsid w:val="00505B7C"/>
    <w:pPr>
      <w:spacing w:before="5040"/>
      <w:jc w:val="center"/>
    </w:pPr>
    <w:rPr>
      <w:sz w:val="48"/>
      <w:szCs w:val="72"/>
      <w:lang w:val="en-US"/>
    </w:rPr>
  </w:style>
  <w:style w:type="character" w:customStyle="1" w:styleId="TitleChar">
    <w:name w:val="Title Char"/>
    <w:basedOn w:val="DefaultParagraphFont"/>
    <w:link w:val="Title"/>
    <w:rsid w:val="00505B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5B7C"/>
    <w:pPr>
      <w:tabs>
        <w:tab w:val="left" w:pos="3600"/>
        <w:tab w:val="left" w:pos="3958"/>
      </w:tabs>
    </w:pPr>
  </w:style>
  <w:style w:type="paragraph" w:styleId="List">
    <w:name w:val="List"/>
    <w:basedOn w:val="BodyText"/>
    <w:next w:val="BodyText"/>
    <w:rsid w:val="00505B7C"/>
    <w:pPr>
      <w:tabs>
        <w:tab w:val="left" w:pos="340"/>
      </w:tabs>
      <w:spacing w:before="60" w:after="60"/>
      <w:ind w:left="340" w:hanging="340"/>
    </w:pPr>
  </w:style>
  <w:style w:type="paragraph" w:customStyle="1" w:styleId="Note">
    <w:name w:val="Note"/>
    <w:basedOn w:val="BodyText"/>
    <w:rsid w:val="00505B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5B7C"/>
    <w:pPr>
      <w:framePr w:wrap="auto" w:hAnchor="text" w:y="6049"/>
    </w:pPr>
    <w:rPr>
      <w:color w:val="000000"/>
      <w:sz w:val="40"/>
    </w:rPr>
  </w:style>
  <w:style w:type="paragraph" w:customStyle="1" w:styleId="TOCTitle">
    <w:name w:val="TOCTitle"/>
    <w:basedOn w:val="Heading1"/>
    <w:rsid w:val="00505B7C"/>
    <w:pPr>
      <w:spacing w:after="240"/>
      <w:jc w:val="center"/>
      <w:outlineLvl w:val="9"/>
    </w:pPr>
    <w:rPr>
      <w:caps/>
    </w:rPr>
  </w:style>
  <w:style w:type="paragraph" w:customStyle="1" w:styleId="Version">
    <w:name w:val="Version"/>
    <w:rsid w:val="00505B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5B7C"/>
    <w:pPr>
      <w:keepNext w:val="0"/>
      <w:tabs>
        <w:tab w:val="right" w:pos="4176"/>
      </w:tabs>
      <w:ind w:left="198" w:hanging="198"/>
    </w:pPr>
    <w:rPr>
      <w:rFonts w:ascii="Garamond" w:hAnsi="Garamond"/>
    </w:rPr>
  </w:style>
  <w:style w:type="paragraph" w:styleId="IndexHeading">
    <w:name w:val="index heading"/>
    <w:basedOn w:val="Normal"/>
    <w:next w:val="Index1"/>
    <w:semiHidden/>
    <w:rsid w:val="00505B7C"/>
    <w:pPr>
      <w:spacing w:before="120" w:after="120"/>
    </w:pPr>
    <w:rPr>
      <w:rFonts w:ascii="Arial" w:hAnsi="Arial"/>
      <w:b/>
      <w:color w:val="918585"/>
      <w:sz w:val="24"/>
    </w:rPr>
  </w:style>
  <w:style w:type="paragraph" w:styleId="Header">
    <w:name w:val="header"/>
    <w:basedOn w:val="Normal"/>
    <w:link w:val="HeaderChar"/>
    <w:rsid w:val="00505B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5B7C"/>
    <w:rPr>
      <w:rFonts w:ascii="Times New Roman" w:eastAsia="Times New Roman" w:hAnsi="Times New Roman" w:cs="Times New Roman"/>
      <w:sz w:val="16"/>
      <w:szCs w:val="20"/>
      <w:lang w:val="en-GB" w:eastAsia="en-US"/>
    </w:rPr>
  </w:style>
  <w:style w:type="paragraph" w:customStyle="1" w:styleId="Chapter">
    <w:name w:val="Chapter"/>
    <w:basedOn w:val="Normal"/>
    <w:rsid w:val="00505B7C"/>
    <w:pPr>
      <w:spacing w:before="240"/>
    </w:pPr>
    <w:rPr>
      <w:rFonts w:ascii="Times New Roman" w:hAnsi="Times New Roman"/>
      <w:smallCaps/>
      <w:spacing w:val="80"/>
      <w:sz w:val="28"/>
    </w:rPr>
  </w:style>
  <w:style w:type="paragraph" w:customStyle="1" w:styleId="InChapter">
    <w:name w:val="InChapter"/>
    <w:basedOn w:val="Heading3"/>
    <w:rsid w:val="00505B7C"/>
    <w:pPr>
      <w:spacing w:after="240"/>
      <w:outlineLvl w:val="9"/>
    </w:pPr>
    <w:rPr>
      <w:noProof/>
    </w:rPr>
  </w:style>
  <w:style w:type="paragraph" w:styleId="Index2">
    <w:name w:val="index 2"/>
    <w:basedOn w:val="Normal"/>
    <w:next w:val="Normal"/>
    <w:semiHidden/>
    <w:rsid w:val="00505B7C"/>
    <w:pPr>
      <w:tabs>
        <w:tab w:val="right" w:pos="4176"/>
      </w:tabs>
      <w:ind w:left="568" w:hanging="284"/>
    </w:pPr>
    <w:rPr>
      <w:rFonts w:ascii="Garamond" w:hAnsi="Garamond"/>
    </w:rPr>
  </w:style>
  <w:style w:type="paragraph" w:customStyle="1" w:styleId="Byline">
    <w:name w:val="Byline"/>
    <w:rsid w:val="00505B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5B7C"/>
    <w:pPr>
      <w:tabs>
        <w:tab w:val="clear" w:pos="3600"/>
        <w:tab w:val="clear" w:pos="3958"/>
      </w:tabs>
      <w:jc w:val="right"/>
    </w:pPr>
  </w:style>
  <w:style w:type="paragraph" w:styleId="Caption">
    <w:name w:val="caption"/>
    <w:basedOn w:val="BodyText"/>
    <w:next w:val="Normal"/>
    <w:qFormat/>
    <w:rsid w:val="00505B7C"/>
    <w:pPr>
      <w:framePr w:w="2268" w:hSpace="181" w:vSpace="181" w:wrap="around" w:vAnchor="text" w:hAnchor="page" w:x="1135" w:y="285" w:anchorLock="1"/>
    </w:pPr>
    <w:rPr>
      <w:i/>
    </w:rPr>
  </w:style>
  <w:style w:type="paragraph" w:customStyle="1" w:styleId="MiniTOCTitle">
    <w:name w:val="MiniTOCTitle"/>
    <w:basedOn w:val="Heading4"/>
    <w:rsid w:val="00505B7C"/>
    <w:pPr>
      <w:spacing w:before="240"/>
      <w:outlineLvl w:val="9"/>
    </w:pPr>
    <w:rPr>
      <w:noProof/>
      <w:sz w:val="24"/>
    </w:rPr>
  </w:style>
  <w:style w:type="paragraph" w:customStyle="1" w:styleId="MiniTOCItem">
    <w:name w:val="MiniTOCItem"/>
    <w:basedOn w:val="ListBullet"/>
    <w:rsid w:val="00505B7C"/>
    <w:pPr>
      <w:numPr>
        <w:numId w:val="0"/>
      </w:numPr>
      <w:tabs>
        <w:tab w:val="right" w:leader="dot" w:pos="6521"/>
      </w:tabs>
      <w:spacing w:before="0" w:after="0"/>
    </w:pPr>
  </w:style>
  <w:style w:type="paragraph" w:customStyle="1" w:styleId="TOFTitle">
    <w:name w:val="TOFTitle"/>
    <w:basedOn w:val="TOCTitle"/>
    <w:rsid w:val="00505B7C"/>
  </w:style>
  <w:style w:type="paragraph" w:styleId="TableofFigures">
    <w:name w:val="table of figures"/>
    <w:basedOn w:val="Normal"/>
    <w:next w:val="Normal"/>
    <w:semiHidden/>
    <w:rsid w:val="00505B7C"/>
    <w:pPr>
      <w:tabs>
        <w:tab w:val="right" w:leader="dot" w:pos="9072"/>
      </w:tabs>
      <w:ind w:left="970" w:hanging="403"/>
    </w:pPr>
    <w:rPr>
      <w:rFonts w:ascii="Times New Roman" w:hAnsi="Times New Roman"/>
      <w:b/>
    </w:rPr>
  </w:style>
  <w:style w:type="paragraph" w:styleId="ListNumber">
    <w:name w:val="List Number"/>
    <w:basedOn w:val="List"/>
    <w:rsid w:val="00505B7C"/>
    <w:pPr>
      <w:numPr>
        <w:numId w:val="11"/>
      </w:numPr>
    </w:pPr>
  </w:style>
  <w:style w:type="character" w:customStyle="1" w:styleId="WingdingSymbols">
    <w:name w:val="Wingding Symbols"/>
    <w:rsid w:val="00505B7C"/>
    <w:rPr>
      <w:rFonts w:ascii="Wingdings" w:hAnsi="Wingdings"/>
    </w:rPr>
  </w:style>
  <w:style w:type="paragraph" w:customStyle="1" w:styleId="TableHeading">
    <w:name w:val="Table Heading"/>
    <w:basedOn w:val="HeadingBase"/>
    <w:rsid w:val="00505B7C"/>
    <w:pPr>
      <w:keepLines/>
      <w:pBdr>
        <w:bottom w:val="single" w:sz="6" w:space="1" w:color="918585"/>
      </w:pBdr>
      <w:spacing w:before="240"/>
    </w:pPr>
  </w:style>
  <w:style w:type="character" w:customStyle="1" w:styleId="HotSpot">
    <w:name w:val="HotSpot"/>
    <w:rsid w:val="00505B7C"/>
    <w:rPr>
      <w:color w:val="0033CC"/>
      <w:u w:val="none"/>
    </w:rPr>
  </w:style>
  <w:style w:type="paragraph" w:customStyle="1" w:styleId="BodyTextRight">
    <w:name w:val="Body Text Right"/>
    <w:basedOn w:val="BodyText"/>
    <w:rsid w:val="00505B7C"/>
    <w:pPr>
      <w:spacing w:before="0" w:after="0"/>
      <w:jc w:val="right"/>
    </w:pPr>
  </w:style>
  <w:style w:type="paragraph" w:styleId="Index3">
    <w:name w:val="index 3"/>
    <w:basedOn w:val="ListNumber2"/>
    <w:next w:val="Normal"/>
    <w:semiHidden/>
    <w:rsid w:val="00505B7C"/>
    <w:pPr>
      <w:numPr>
        <w:numId w:val="0"/>
      </w:numPr>
      <w:tabs>
        <w:tab w:val="right" w:leader="dot" w:pos="4176"/>
      </w:tabs>
    </w:pPr>
  </w:style>
  <w:style w:type="paragraph" w:styleId="ListNumber2">
    <w:name w:val="List Number 2"/>
    <w:basedOn w:val="List2"/>
    <w:rsid w:val="00505B7C"/>
    <w:pPr>
      <w:numPr>
        <w:numId w:val="10"/>
      </w:numPr>
      <w:tabs>
        <w:tab w:val="clear" w:pos="1060"/>
      </w:tabs>
    </w:pPr>
  </w:style>
  <w:style w:type="paragraph" w:customStyle="1" w:styleId="MarginNote">
    <w:name w:val="Margin Note"/>
    <w:basedOn w:val="BodyText"/>
    <w:rsid w:val="00505B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5B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5B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5B7C"/>
    <w:rPr>
      <w:sz w:val="32"/>
    </w:rPr>
  </w:style>
  <w:style w:type="paragraph" w:customStyle="1" w:styleId="HeadingProcedure">
    <w:name w:val="Heading Procedure"/>
    <w:basedOn w:val="HeadingBase"/>
    <w:next w:val="Normal"/>
    <w:rsid w:val="00505B7C"/>
    <w:pPr>
      <w:tabs>
        <w:tab w:val="left" w:pos="0"/>
      </w:tabs>
      <w:spacing w:before="120" w:after="60"/>
    </w:pPr>
    <w:rPr>
      <w:i/>
      <w:color w:val="918585"/>
      <w:sz w:val="22"/>
    </w:rPr>
  </w:style>
  <w:style w:type="paragraph" w:customStyle="1" w:styleId="TableBodyText">
    <w:name w:val="Table Body Text"/>
    <w:basedOn w:val="BodyText"/>
    <w:rsid w:val="00505B7C"/>
    <w:pPr>
      <w:spacing w:before="60" w:after="60"/>
    </w:pPr>
  </w:style>
  <w:style w:type="paragraph" w:styleId="ListContinue">
    <w:name w:val="List Continue"/>
    <w:basedOn w:val="List"/>
    <w:rsid w:val="00505B7C"/>
    <w:pPr>
      <w:ind w:firstLine="0"/>
    </w:pPr>
  </w:style>
  <w:style w:type="paragraph" w:customStyle="1" w:styleId="ListNote">
    <w:name w:val="List Note"/>
    <w:basedOn w:val="List"/>
    <w:rsid w:val="00505B7C"/>
    <w:pPr>
      <w:pBdr>
        <w:top w:val="single" w:sz="6" w:space="2" w:color="918585"/>
        <w:bottom w:val="single" w:sz="6" w:space="2" w:color="918585"/>
      </w:pBdr>
      <w:tabs>
        <w:tab w:val="left" w:pos="1021"/>
      </w:tabs>
      <w:ind w:firstLine="0"/>
    </w:pPr>
  </w:style>
  <w:style w:type="paragraph" w:customStyle="1" w:styleId="Warning">
    <w:name w:val="Warning"/>
    <w:basedOn w:val="BodyText"/>
    <w:rsid w:val="00505B7C"/>
    <w:pPr>
      <w:shd w:val="clear" w:color="auto" w:fill="D9D9D9"/>
      <w:tabs>
        <w:tab w:val="left" w:pos="992"/>
      </w:tabs>
      <w:ind w:left="119" w:right="119"/>
    </w:pPr>
    <w:rPr>
      <w:sz w:val="20"/>
    </w:rPr>
  </w:style>
  <w:style w:type="paragraph" w:customStyle="1" w:styleId="MarginIcons">
    <w:name w:val="Margin Icons"/>
    <w:basedOn w:val="BodyText"/>
    <w:rsid w:val="00505B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5B7C"/>
    <w:rPr>
      <w:rFonts w:ascii="Courier New" w:hAnsi="Courier New"/>
    </w:rPr>
  </w:style>
  <w:style w:type="paragraph" w:customStyle="1" w:styleId="NoteBullet">
    <w:name w:val="Note Bullet"/>
    <w:basedOn w:val="Note"/>
    <w:rsid w:val="00505B7C"/>
    <w:pPr>
      <w:tabs>
        <w:tab w:val="clear" w:pos="680"/>
      </w:tabs>
      <w:spacing w:before="60" w:after="60"/>
    </w:pPr>
  </w:style>
  <w:style w:type="paragraph" w:customStyle="1" w:styleId="SubHeading2">
    <w:name w:val="SubHeading2"/>
    <w:basedOn w:val="HeadingBase"/>
    <w:rsid w:val="00505B7C"/>
    <w:pPr>
      <w:spacing w:before="240" w:after="60"/>
    </w:pPr>
    <w:rPr>
      <w:sz w:val="20"/>
    </w:rPr>
  </w:style>
  <w:style w:type="paragraph" w:customStyle="1" w:styleId="SubHeading1">
    <w:name w:val="SubHeading1"/>
    <w:basedOn w:val="HeadingBase"/>
    <w:rsid w:val="00505B7C"/>
    <w:pPr>
      <w:spacing w:before="240" w:after="60"/>
    </w:pPr>
    <w:rPr>
      <w:color w:val="918585"/>
      <w:sz w:val="22"/>
    </w:rPr>
  </w:style>
  <w:style w:type="paragraph" w:customStyle="1" w:styleId="SideHeading">
    <w:name w:val="Side Heading"/>
    <w:basedOn w:val="HeadingBase"/>
    <w:rsid w:val="00505B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5B7C"/>
    <w:pPr>
      <w:numPr>
        <w:numId w:val="12"/>
      </w:numPr>
    </w:pPr>
  </w:style>
  <w:style w:type="paragraph" w:styleId="PlainText">
    <w:name w:val="Plain Text"/>
    <w:basedOn w:val="Normal"/>
    <w:link w:val="PlainTextChar"/>
    <w:rsid w:val="00505B7C"/>
    <w:rPr>
      <w:sz w:val="20"/>
    </w:rPr>
  </w:style>
  <w:style w:type="character" w:customStyle="1" w:styleId="PlainTextChar">
    <w:name w:val="Plain Text Char"/>
    <w:basedOn w:val="DefaultParagraphFont"/>
    <w:link w:val="PlainText"/>
    <w:rsid w:val="00505B7C"/>
    <w:rPr>
      <w:rFonts w:ascii="Courier New" w:eastAsia="Times New Roman" w:hAnsi="Courier New" w:cs="Times New Roman"/>
      <w:sz w:val="20"/>
      <w:szCs w:val="20"/>
      <w:lang w:eastAsia="en-US"/>
    </w:rPr>
  </w:style>
  <w:style w:type="character" w:customStyle="1" w:styleId="MenuOption">
    <w:name w:val="Menu Option"/>
    <w:basedOn w:val="DefaultParagraphFont"/>
    <w:rsid w:val="00505B7C"/>
    <w:rPr>
      <w:b/>
      <w:smallCaps/>
    </w:rPr>
  </w:style>
  <w:style w:type="paragraph" w:customStyle="1" w:styleId="TableListNumber">
    <w:name w:val="Table List Number"/>
    <w:basedOn w:val="ListNumber"/>
    <w:rsid w:val="00505B7C"/>
    <w:pPr>
      <w:numPr>
        <w:numId w:val="0"/>
      </w:numPr>
    </w:pPr>
  </w:style>
  <w:style w:type="paragraph" w:styleId="TOC4">
    <w:name w:val="toc 4"/>
    <w:basedOn w:val="TOCBase"/>
    <w:next w:val="Normal"/>
    <w:semiHidden/>
    <w:rsid w:val="00505B7C"/>
    <w:pPr>
      <w:tabs>
        <w:tab w:val="right" w:leader="dot" w:pos="9071"/>
      </w:tabs>
      <w:ind w:left="1701"/>
    </w:pPr>
  </w:style>
  <w:style w:type="paragraph" w:customStyle="1" w:styleId="ListAlpha">
    <w:name w:val="List Alpha"/>
    <w:basedOn w:val="List"/>
    <w:rsid w:val="00505B7C"/>
    <w:pPr>
      <w:numPr>
        <w:numId w:val="9"/>
      </w:numPr>
    </w:pPr>
  </w:style>
  <w:style w:type="paragraph" w:customStyle="1" w:styleId="ListAlpha2">
    <w:name w:val="List Alpha 2"/>
    <w:basedOn w:val="List2"/>
    <w:rsid w:val="00505B7C"/>
    <w:pPr>
      <w:numPr>
        <w:numId w:val="8"/>
      </w:numPr>
    </w:pPr>
  </w:style>
  <w:style w:type="paragraph" w:styleId="List2">
    <w:name w:val="List 2"/>
    <w:basedOn w:val="BodyText"/>
    <w:rsid w:val="00505B7C"/>
    <w:pPr>
      <w:tabs>
        <w:tab w:val="left" w:pos="680"/>
      </w:tabs>
      <w:spacing w:before="60" w:after="60"/>
      <w:ind w:left="680" w:hanging="340"/>
    </w:pPr>
  </w:style>
  <w:style w:type="paragraph" w:styleId="List3">
    <w:name w:val="List 3"/>
    <w:basedOn w:val="BodyText"/>
    <w:rsid w:val="00505B7C"/>
    <w:pPr>
      <w:tabs>
        <w:tab w:val="left" w:pos="1021"/>
      </w:tabs>
      <w:spacing w:before="60" w:after="60"/>
      <w:ind w:left="1020" w:hanging="340"/>
    </w:pPr>
  </w:style>
  <w:style w:type="paragraph" w:styleId="List4">
    <w:name w:val="List 4"/>
    <w:basedOn w:val="BodyText"/>
    <w:rsid w:val="00505B7C"/>
    <w:pPr>
      <w:tabs>
        <w:tab w:val="left" w:pos="1361"/>
      </w:tabs>
      <w:spacing w:before="60" w:after="60"/>
      <w:ind w:left="1361" w:hanging="340"/>
    </w:pPr>
  </w:style>
  <w:style w:type="paragraph" w:styleId="List5">
    <w:name w:val="List 5"/>
    <w:basedOn w:val="BodyText"/>
    <w:rsid w:val="00505B7C"/>
    <w:pPr>
      <w:tabs>
        <w:tab w:val="left" w:pos="1701"/>
      </w:tabs>
      <w:spacing w:before="60" w:after="60"/>
      <w:ind w:left="1701" w:hanging="340"/>
    </w:pPr>
  </w:style>
  <w:style w:type="paragraph" w:styleId="ListBullet3">
    <w:name w:val="List Bullet 3"/>
    <w:basedOn w:val="List3"/>
    <w:rsid w:val="00505B7C"/>
    <w:pPr>
      <w:numPr>
        <w:numId w:val="15"/>
      </w:numPr>
      <w:tabs>
        <w:tab w:val="clear" w:pos="1021"/>
      </w:tabs>
      <w:ind w:left="1037" w:hanging="357"/>
    </w:pPr>
  </w:style>
  <w:style w:type="paragraph" w:styleId="ListBullet4">
    <w:name w:val="List Bullet 4"/>
    <w:basedOn w:val="List4"/>
    <w:rsid w:val="00505B7C"/>
    <w:pPr>
      <w:numPr>
        <w:numId w:val="3"/>
      </w:numPr>
      <w:tabs>
        <w:tab w:val="clear" w:pos="1361"/>
      </w:tabs>
    </w:pPr>
  </w:style>
  <w:style w:type="paragraph" w:styleId="ListBullet5">
    <w:name w:val="List Bullet 5"/>
    <w:basedOn w:val="List5"/>
    <w:rsid w:val="00505B7C"/>
    <w:pPr>
      <w:numPr>
        <w:numId w:val="4"/>
      </w:numPr>
    </w:pPr>
  </w:style>
  <w:style w:type="paragraph" w:styleId="ListContinue2">
    <w:name w:val="List Continue 2"/>
    <w:basedOn w:val="List2"/>
    <w:rsid w:val="00505B7C"/>
    <w:pPr>
      <w:ind w:firstLine="0"/>
    </w:pPr>
  </w:style>
  <w:style w:type="paragraph" w:styleId="ListContinue3">
    <w:name w:val="List Continue 3"/>
    <w:basedOn w:val="List3"/>
    <w:rsid w:val="00505B7C"/>
    <w:pPr>
      <w:ind w:left="1021" w:firstLine="0"/>
    </w:pPr>
  </w:style>
  <w:style w:type="paragraph" w:styleId="ListContinue4">
    <w:name w:val="List Continue 4"/>
    <w:basedOn w:val="List4"/>
    <w:rsid w:val="00505B7C"/>
    <w:pPr>
      <w:ind w:firstLine="0"/>
    </w:pPr>
  </w:style>
  <w:style w:type="paragraph" w:styleId="ListContinue5">
    <w:name w:val="List Continue 5"/>
    <w:basedOn w:val="List5"/>
    <w:rsid w:val="00505B7C"/>
    <w:pPr>
      <w:ind w:firstLine="0"/>
    </w:pPr>
  </w:style>
  <w:style w:type="paragraph" w:styleId="ListNumber3">
    <w:name w:val="List Number 3"/>
    <w:basedOn w:val="List3"/>
    <w:rsid w:val="00505B7C"/>
    <w:pPr>
      <w:numPr>
        <w:numId w:val="5"/>
      </w:numPr>
    </w:pPr>
  </w:style>
  <w:style w:type="paragraph" w:styleId="ListNumber4">
    <w:name w:val="List Number 4"/>
    <w:basedOn w:val="List4"/>
    <w:rsid w:val="00505B7C"/>
    <w:pPr>
      <w:numPr>
        <w:numId w:val="6"/>
      </w:numPr>
    </w:pPr>
  </w:style>
  <w:style w:type="paragraph" w:styleId="ListNumber5">
    <w:name w:val="List Number 5"/>
    <w:basedOn w:val="List5"/>
    <w:rsid w:val="00505B7C"/>
    <w:pPr>
      <w:numPr>
        <w:numId w:val="7"/>
      </w:numPr>
    </w:pPr>
  </w:style>
  <w:style w:type="paragraph" w:styleId="BlockText">
    <w:name w:val="Block Text"/>
    <w:basedOn w:val="Normal"/>
    <w:rsid w:val="00505B7C"/>
    <w:pPr>
      <w:spacing w:after="120"/>
      <w:ind w:left="1440" w:right="1440"/>
    </w:pPr>
  </w:style>
  <w:style w:type="character" w:customStyle="1" w:styleId="Subscript">
    <w:name w:val="Subscript"/>
    <w:basedOn w:val="DefaultParagraphFont"/>
    <w:rsid w:val="00505B7C"/>
    <w:rPr>
      <w:sz w:val="16"/>
      <w:vertAlign w:val="subscript"/>
    </w:rPr>
  </w:style>
  <w:style w:type="character" w:customStyle="1" w:styleId="Superscript">
    <w:name w:val="Superscript"/>
    <w:basedOn w:val="DefaultParagraphFont"/>
    <w:rsid w:val="00505B7C"/>
    <w:rPr>
      <w:sz w:val="16"/>
      <w:vertAlign w:val="superscript"/>
    </w:rPr>
  </w:style>
  <w:style w:type="character" w:customStyle="1" w:styleId="Symbols">
    <w:name w:val="Symbols"/>
    <w:basedOn w:val="DefaultParagraphFont"/>
    <w:rsid w:val="00505B7C"/>
    <w:rPr>
      <w:rFonts w:ascii="Symbol" w:hAnsi="Symbol"/>
    </w:rPr>
  </w:style>
  <w:style w:type="character" w:customStyle="1" w:styleId="MenuOptions">
    <w:name w:val="Menu Options"/>
    <w:basedOn w:val="DefaultParagraphFont"/>
    <w:rsid w:val="00505B7C"/>
    <w:rPr>
      <w:rFonts w:ascii="Arial Narrow" w:hAnsi="Arial Narrow"/>
      <w:smallCaps/>
    </w:rPr>
  </w:style>
  <w:style w:type="character" w:customStyle="1" w:styleId="Buttons">
    <w:name w:val="Buttons"/>
    <w:basedOn w:val="DefaultParagraphFont"/>
    <w:rsid w:val="00505B7C"/>
    <w:rPr>
      <w:b/>
    </w:rPr>
  </w:style>
  <w:style w:type="character" w:customStyle="1" w:styleId="Underlined">
    <w:name w:val="Underlined"/>
    <w:basedOn w:val="DefaultParagraphFont"/>
    <w:rsid w:val="00505B7C"/>
    <w:rPr>
      <w:u w:val="single"/>
    </w:rPr>
  </w:style>
  <w:style w:type="paragraph" w:customStyle="1" w:styleId="TableBodyTextRight">
    <w:name w:val="Table Body Text Right"/>
    <w:basedOn w:val="TableBodyText"/>
    <w:rsid w:val="00505B7C"/>
    <w:pPr>
      <w:widowControl w:val="0"/>
      <w:autoSpaceDE w:val="0"/>
      <w:autoSpaceDN w:val="0"/>
      <w:adjustRightInd w:val="0"/>
      <w:jc w:val="right"/>
    </w:pPr>
    <w:rPr>
      <w:rFonts w:cs="Arial"/>
      <w:szCs w:val="18"/>
    </w:rPr>
  </w:style>
  <w:style w:type="paragraph" w:customStyle="1" w:styleId="CopyrightText">
    <w:name w:val="Copyright Text"/>
    <w:basedOn w:val="BodyText"/>
    <w:rsid w:val="00505B7C"/>
    <w:rPr>
      <w:sz w:val="18"/>
    </w:rPr>
  </w:style>
  <w:style w:type="paragraph" w:customStyle="1" w:styleId="BodySmallRight">
    <w:name w:val="Body Small Right"/>
    <w:basedOn w:val="BodyTextRight"/>
    <w:rsid w:val="00505B7C"/>
    <w:rPr>
      <w:sz w:val="18"/>
      <w:szCs w:val="18"/>
    </w:rPr>
  </w:style>
  <w:style w:type="paragraph" w:customStyle="1" w:styleId="MarginEdition">
    <w:name w:val="Margin Edition"/>
    <w:basedOn w:val="MarginNote"/>
    <w:rsid w:val="00505B7C"/>
    <w:pPr>
      <w:spacing w:before="0" w:after="0"/>
    </w:pPr>
    <w:rPr>
      <w:rFonts w:ascii="Times New Roman" w:hAnsi="Times New Roman"/>
      <w:color w:val="999999"/>
    </w:rPr>
  </w:style>
  <w:style w:type="paragraph" w:customStyle="1" w:styleId="Spacer">
    <w:name w:val="Spacer"/>
    <w:basedOn w:val="Normal"/>
    <w:rsid w:val="00505B7C"/>
    <w:rPr>
      <w:sz w:val="2"/>
      <w:szCs w:val="2"/>
    </w:rPr>
  </w:style>
  <w:style w:type="character" w:customStyle="1" w:styleId="Small">
    <w:name w:val="Small"/>
    <w:basedOn w:val="DefaultParagraphFont"/>
    <w:rsid w:val="00505B7C"/>
    <w:rPr>
      <w:sz w:val="16"/>
    </w:rPr>
  </w:style>
  <w:style w:type="paragraph" w:customStyle="1" w:styleId="WideTable">
    <w:name w:val="Wide Table"/>
    <w:basedOn w:val="Normal"/>
    <w:rsid w:val="00505B7C"/>
    <w:pPr>
      <w:ind w:left="-1418"/>
    </w:pPr>
    <w:rPr>
      <w:sz w:val="2"/>
      <w:szCs w:val="2"/>
    </w:rPr>
  </w:style>
  <w:style w:type="character" w:styleId="PageNumber">
    <w:name w:val="page number"/>
    <w:basedOn w:val="DefaultParagraphFont"/>
    <w:rsid w:val="00505B7C"/>
  </w:style>
  <w:style w:type="paragraph" w:styleId="Quote">
    <w:name w:val="Quote"/>
    <w:basedOn w:val="Heading1"/>
    <w:link w:val="QuoteChar"/>
    <w:qFormat/>
    <w:rsid w:val="00505B7C"/>
    <w:rPr>
      <w:b w:val="0"/>
      <w:sz w:val="72"/>
      <w:szCs w:val="72"/>
      <w:lang w:val="en-NZ"/>
    </w:rPr>
  </w:style>
  <w:style w:type="character" w:customStyle="1" w:styleId="QuoteChar">
    <w:name w:val="Quote Char"/>
    <w:basedOn w:val="DefaultParagraphFont"/>
    <w:link w:val="Quote"/>
    <w:rsid w:val="00505B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5B7C"/>
    <w:pPr>
      <w:pageBreakBefore/>
    </w:pPr>
  </w:style>
  <w:style w:type="paragraph" w:customStyle="1" w:styleId="Border">
    <w:name w:val="Border"/>
    <w:basedOn w:val="Normal"/>
    <w:qFormat/>
    <w:rsid w:val="00505B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5B7C"/>
    <w:rPr>
      <w:b/>
      <w:bCs/>
      <w:i/>
      <w:iCs/>
      <w:color w:val="auto"/>
    </w:rPr>
  </w:style>
  <w:style w:type="paragraph" w:styleId="IntenseQuote">
    <w:name w:val="Intense Quote"/>
    <w:basedOn w:val="Normal"/>
    <w:next w:val="Normal"/>
    <w:link w:val="IntenseQuoteChar"/>
    <w:uiPriority w:val="30"/>
    <w:qFormat/>
    <w:rsid w:val="00505B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5B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5B7C"/>
    <w:rPr>
      <w:smallCaps/>
      <w:color w:val="auto"/>
      <w:u w:val="single"/>
    </w:rPr>
  </w:style>
  <w:style w:type="character" w:styleId="IntenseReference">
    <w:name w:val="Intense Reference"/>
    <w:basedOn w:val="DefaultParagraphFont"/>
    <w:uiPriority w:val="32"/>
    <w:qFormat/>
    <w:rsid w:val="00505B7C"/>
    <w:rPr>
      <w:b/>
      <w:bCs/>
      <w:smallCaps/>
      <w:color w:val="auto"/>
      <w:spacing w:val="5"/>
      <w:u w:val="single"/>
    </w:rPr>
  </w:style>
  <w:style w:type="paragraph" w:customStyle="1" w:styleId="2ColumnHeading">
    <w:name w:val="2Column Heading"/>
    <w:basedOn w:val="BodyText"/>
    <w:qFormat/>
    <w:rsid w:val="00505B7C"/>
    <w:pPr>
      <w:spacing w:after="60"/>
      <w:ind w:left="-2268"/>
    </w:pPr>
    <w:rPr>
      <w:b/>
    </w:rPr>
  </w:style>
  <w:style w:type="paragraph" w:customStyle="1" w:styleId="Heading1TOC">
    <w:name w:val="Heading1 TOC"/>
    <w:basedOn w:val="Normal"/>
    <w:qFormat/>
    <w:rsid w:val="00505B7C"/>
    <w:pPr>
      <w:spacing w:before="240" w:after="120"/>
    </w:pPr>
    <w:rPr>
      <w:rFonts w:ascii="Times New Roman" w:hAnsi="Times New Roman"/>
      <w:b/>
      <w:sz w:val="32"/>
    </w:rPr>
  </w:style>
  <w:style w:type="paragraph" w:customStyle="1" w:styleId="Heading2TOC">
    <w:name w:val="Heading2 TOC"/>
    <w:basedOn w:val="Normal"/>
    <w:qFormat/>
    <w:rsid w:val="00505B7C"/>
    <w:pPr>
      <w:spacing w:before="240" w:after="60"/>
    </w:pPr>
    <w:rPr>
      <w:rFonts w:ascii="Times New Roman" w:hAnsi="Times New Roman"/>
      <w:b/>
      <w:sz w:val="28"/>
    </w:rPr>
  </w:style>
  <w:style w:type="character" w:customStyle="1" w:styleId="Underline">
    <w:name w:val="Underline"/>
    <w:basedOn w:val="DefaultParagraphFont"/>
    <w:qFormat/>
    <w:rsid w:val="00505B7C"/>
    <w:rPr>
      <w:u w:val="single"/>
    </w:rPr>
  </w:style>
  <w:style w:type="character" w:customStyle="1" w:styleId="BoldandItalics">
    <w:name w:val="Bold and Italics"/>
    <w:qFormat/>
    <w:rsid w:val="00505B7C"/>
    <w:rPr>
      <w:b/>
      <w:i/>
      <w:u w:val="none"/>
    </w:rPr>
  </w:style>
  <w:style w:type="paragraph" w:styleId="BalloonText">
    <w:name w:val="Balloon Text"/>
    <w:basedOn w:val="Normal"/>
    <w:link w:val="BalloonTextChar"/>
    <w:rsid w:val="00505B7C"/>
    <w:rPr>
      <w:rFonts w:ascii="Tahoma" w:hAnsi="Tahoma" w:cs="Tahoma"/>
      <w:sz w:val="16"/>
      <w:szCs w:val="16"/>
    </w:rPr>
  </w:style>
  <w:style w:type="character" w:customStyle="1" w:styleId="BalloonTextChar">
    <w:name w:val="Balloon Text Char"/>
    <w:basedOn w:val="DefaultParagraphFont"/>
    <w:link w:val="BalloonText"/>
    <w:rsid w:val="00505B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5B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5B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5B7C"/>
    <w:rPr>
      <w:b/>
      <w:color w:val="660033"/>
      <w:spacing w:val="0"/>
    </w:rPr>
  </w:style>
  <w:style w:type="paragraph" w:customStyle="1" w:styleId="Nameditemlist">
    <w:name w:val="Named item list"/>
    <w:basedOn w:val="BodyText"/>
    <w:qFormat/>
    <w:rsid w:val="00505B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3062</Words>
  <Characters>19468</Characters>
  <Application>Microsoft Office Word</Application>
  <DocSecurity>0</DocSecurity>
  <Lines>621</Lines>
  <Paragraphs>260</Paragraphs>
  <ScaleCrop>false</ScaleCrop>
  <Company>Author-it Software Corporation Ltd.</Company>
  <LinksUpToDate>false</LinksUpToDate>
  <CharactersWithSpaces>22371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UEENEEM024A Install explosion-protected equipment and wiring systems - gas atmospheres</dc:title>
  <dc:subject>Approved</dc:subject>
  <dc:creator>E-OZ Training Standards</dc:creator>
  <cp:keywords>Release 4</cp:keywords>
  <dc:description>Review Date: 12 April 2008</dc:description>
  <cp:lastModifiedBy>HSD_TPCMSd.prod</cp:lastModifiedBy>
  <cp:revision>3</cp:revision>
  <dcterms:created xsi:type="dcterms:W3CDTF">2014-12-16T11:51:41Z</dcterms:created>
  <dcterms:modified xsi:type="dcterms:W3CDTF">2014-12-16T00:18:00Z</dcterms:modified>
</cp:coreProperties>
</file>