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6D43" w:rsidP="00B66D43">
      <w:pPr>
        <w:pStyle w:val="Title"/>
      </w:pPr>
      <w:r>
        <w:fldChar w:fldCharType="begin"/>
      </w:r>
      <w:r>
        <w:instrText xml:space="preserve"> TITLE   \* MERGEFORMAT </w:instrText>
      </w:r>
      <w:r>
        <w:fldChar w:fldCharType="separate"/>
      </w:r>
      <w:r>
        <w:t>UEENEEM019A Attend to breakdowns in hazardous areas - coal mining</w:t>
      </w:r>
      <w:r>
        <w:fldChar w:fldCharType="end"/>
      </w:r>
    </w:p>
    <w:p w:rsidR="00B66D43" w:rsidP="00B66D43">
      <w:pPr>
        <w:pStyle w:val="Version"/>
        <w:sectPr w:rsidSect="00D500E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D500EB" w:rsidP="00D500EB">
      <w:pPr>
        <w:pStyle w:val="SuperHeading"/>
      </w:pPr>
      <w:r w:rsidRPr="00D500EB">
        <w:t>UEENEEM019A Attend to breakdowns in hazardous areas - coal mining</w:t>
      </w:r>
    </w:p>
    <w:p w:rsidR="00000000" w:rsidRPr="00D500EB" w:rsidP="00D500EB">
      <w:pPr>
        <w:pStyle w:val="Heading1"/>
      </w:pPr>
      <w:bookmarkStart w:id="1" w:name="O_699624"/>
      <w:bookmarkEnd w:id="1"/>
      <w:r w:rsidRPr="00D500EB">
        <w:t>Modification History</w:t>
      </w:r>
    </w:p>
    <w:tbl>
      <w:tblPr>
        <w:tblW w:w="9639" w:type="dxa"/>
        <w:tblLayout w:type="fixed"/>
        <w:tblCellMar>
          <w:left w:w="62" w:type="dxa"/>
          <w:right w:w="62" w:type="dxa"/>
        </w:tblCellMar>
        <w:tblLook w:val="0000"/>
      </w:tblPr>
      <w:tblGrid>
        <w:gridCol w:w="819"/>
        <w:gridCol w:w="882"/>
        <w:gridCol w:w="1701"/>
        <w:gridCol w:w="5146"/>
        <w:gridCol w:w="1091"/>
      </w:tblGrid>
      <w:tr w:rsidTr="00B66D43">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0EB">
            <w:pPr>
              <w:pStyle w:val="BodyText"/>
              <w:rPr>
                <w:lang w:val="en-NZ"/>
              </w:rPr>
            </w:pPr>
            <w:r w:rsidRPr="00D500EB">
              <w:t xml:space="preserve">Release </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0EB">
            <w:pPr>
              <w:pStyle w:val="BodyText"/>
              <w:rPr>
                <w:lang w:val="en-NZ"/>
              </w:rPr>
            </w:pPr>
            <w:r w:rsidRPr="00D500EB">
              <w:t>Action</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0EB">
            <w:pPr>
              <w:pStyle w:val="BodyText"/>
              <w:rPr>
                <w:lang w:val="en-NZ"/>
              </w:rPr>
            </w:pPr>
            <w:r w:rsidRPr="00D500EB">
              <w:t>Core/Elective</w:t>
            </w: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0EB">
            <w:pPr>
              <w:pStyle w:val="BodyText"/>
              <w:rPr>
                <w:lang w:val="en-NZ"/>
              </w:rPr>
            </w:pPr>
            <w:r w:rsidRPr="00D500EB">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0EB">
            <w:pPr>
              <w:pStyle w:val="BodyText"/>
              <w:rPr>
                <w:lang w:val="en-NZ"/>
              </w:rPr>
            </w:pPr>
            <w:r w:rsidRPr="00D500EB">
              <w:t>Points</w:t>
            </w:r>
          </w:p>
        </w:tc>
      </w:tr>
      <w:tr w:rsidTr="00B66D43">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500EB">
            <w:pPr>
              <w:pStyle w:val="BodyText"/>
              <w:rPr>
                <w:lang w:val="en-NZ"/>
              </w:rPr>
            </w:pPr>
            <w:r w:rsidRPr="00D500EB">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500EB">
            <w:pPr>
              <w:pStyle w:val="BodyText"/>
              <w:rPr>
                <w:lang w:val="en-NZ"/>
              </w:rPr>
            </w:pPr>
            <w:r w:rsidRPr="00D500EB">
              <w:t>Update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500EB" w:rsidP="00D500EB">
            <w:pPr>
              <w:pStyle w:val="BodyText"/>
            </w:pPr>
            <w:r w:rsidRPr="00D500EB">
              <w:t xml:space="preserve">Update recommended pre-requisite </w:t>
            </w:r>
          </w:p>
          <w:p w:rsidR="00000000" w:rsidP="00D500EB">
            <w:pPr>
              <w:pStyle w:val="BodyText"/>
              <w:rPr>
                <w:lang w:val="en-NZ"/>
              </w:rPr>
            </w:pPr>
            <w:r w:rsidRPr="00D500EB">
              <w:t>UEENEEG105A - Verify compliance and functionality of low voltage general electrical installations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500EB">
            <w:pPr>
              <w:pStyle w:val="BodyText"/>
              <w:rPr>
                <w:lang w:val="en-NZ"/>
              </w:rPr>
            </w:pPr>
          </w:p>
        </w:tc>
      </w:tr>
      <w:tr w:rsidTr="00B66D43">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500EB">
            <w:pPr>
              <w:pStyle w:val="BodyText"/>
              <w:rPr>
                <w:lang w:val="en-NZ"/>
              </w:rPr>
            </w:pPr>
            <w:r w:rsidRPr="00D500EB">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500EB">
            <w:pPr>
              <w:pStyle w:val="BodyText"/>
              <w:rPr>
                <w:lang w:val="en-NZ"/>
              </w:rPr>
            </w:pPr>
            <w:r w:rsidRPr="00D500EB">
              <w:t>Update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500EB" w:rsidP="00D500EB">
            <w:pPr>
              <w:pStyle w:val="BodyText"/>
            </w:pPr>
            <w:r w:rsidRPr="00D500EB">
              <w:t xml:space="preserve">Update recommended pre-requisite </w:t>
            </w:r>
          </w:p>
          <w:p w:rsidR="00000000" w:rsidP="00D500EB">
            <w:pPr>
              <w:pStyle w:val="BodyText"/>
              <w:rPr>
                <w:lang w:val="en-NZ"/>
              </w:rPr>
            </w:pPr>
            <w:r w:rsidRPr="00D500EB">
              <w:t>UEENEEI112A - Verify compliance and functionality of instrumentation and control installations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500EB">
            <w:pPr>
              <w:pStyle w:val="BodyText"/>
              <w:rPr>
                <w:lang w:val="en-NZ"/>
              </w:rPr>
            </w:pPr>
          </w:p>
        </w:tc>
      </w:tr>
      <w:tr w:rsidTr="00B66D43">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500EB">
            <w:pPr>
              <w:pStyle w:val="BodyText"/>
              <w:rPr>
                <w:lang w:val="en-NZ"/>
              </w:rPr>
            </w:pPr>
            <w:r w:rsidRPr="00D500EB">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500EB">
            <w:pPr>
              <w:pStyle w:val="BodyText"/>
              <w:rPr>
                <w:lang w:val="en-NZ"/>
              </w:rPr>
            </w:pPr>
            <w:r w:rsidRPr="00D500EB">
              <w:t>Update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500EB" w:rsidP="00D500EB">
            <w:pPr>
              <w:pStyle w:val="BodyText"/>
            </w:pPr>
            <w:r w:rsidRPr="00D500EB">
              <w:t xml:space="preserve">Update recommended pre-requisite </w:t>
            </w:r>
          </w:p>
          <w:p w:rsidR="00000000" w:rsidP="00D500EB">
            <w:pPr>
              <w:pStyle w:val="BodyText"/>
              <w:rPr>
                <w:lang w:val="en-NZ"/>
              </w:rPr>
            </w:pPr>
            <w:r w:rsidRPr="00D500EB">
              <w:t>MEM07001B - Perform operational maintenance of machines/equipment</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500EB" w:rsidP="00D500EB">
            <w:pPr>
              <w:pStyle w:val="BodyText"/>
            </w:pPr>
          </w:p>
        </w:tc>
      </w:tr>
    </w:tbl>
    <w:p w:rsidR="00000000" w:rsidRPr="00D500EB" w:rsidP="00D500EB">
      <w:pPr>
        <w:pStyle w:val="BodyText"/>
      </w:pPr>
    </w:p>
    <w:p w:rsidR="00000000" w:rsidRPr="00D500EB" w:rsidP="00D500EB">
      <w:pPr>
        <w:pStyle w:val="AllowPageBreak"/>
      </w:pPr>
    </w:p>
    <w:p w:rsidR="00000000" w:rsidRPr="00D500EB" w:rsidP="00D500EB">
      <w:pPr>
        <w:pStyle w:val="Heading1"/>
      </w:pPr>
      <w:bookmarkStart w:id="2" w:name="O_699623"/>
      <w:bookmarkEnd w:id="2"/>
      <w:r w:rsidRPr="00D500EB">
        <w:t>Unit Descriptor</w:t>
      </w:r>
    </w:p>
    <w:tbl>
      <w:tblPr>
        <w:tblW w:w="0" w:type="auto"/>
        <w:tblLayout w:type="fixed"/>
        <w:tblCellMar>
          <w:left w:w="62" w:type="dxa"/>
          <w:right w:w="62" w:type="dxa"/>
        </w:tblCellMar>
        <w:tblLook w:val="0000"/>
      </w:tblPr>
      <w:tblGrid>
        <w:gridCol w:w="2697"/>
        <w:gridCol w:w="5763"/>
      </w:tblGrid>
      <w:tr w:rsidTr="00B66D43">
        <w:tblPrEx>
          <w:tblW w:w="0" w:type="auto"/>
          <w:tblLayout w:type="fixed"/>
          <w:tblCellMar>
            <w:left w:w="62" w:type="dxa"/>
            <w:right w:w="62" w:type="dxa"/>
          </w:tblCellMar>
          <w:tblLook w:val="0000"/>
        </w:tblPrEx>
        <w:trPr>
          <w:tblHeader/>
        </w:trPr>
        <w:tc>
          <w:tcPr>
            <w:tcW w:w="2697" w:type="dxa"/>
            <w:tcBorders>
              <w:top w:val="nil"/>
              <w:left w:val="nil"/>
              <w:bottom w:val="nil"/>
              <w:right w:val="nil"/>
            </w:tcBorders>
            <w:tcMar>
              <w:top w:w="0" w:type="dxa"/>
              <w:left w:w="62" w:type="dxa"/>
              <w:bottom w:w="0" w:type="dxa"/>
              <w:right w:w="62" w:type="dxa"/>
            </w:tcMar>
          </w:tcPr>
          <w:p w:rsidR="00000000" w:rsidRPr="00D500EB" w:rsidP="00D500EB">
            <w:pPr>
              <w:pStyle w:val="BodyText"/>
            </w:pPr>
            <w:r w:rsidRPr="00D500EB">
              <w:rPr>
                <w:rStyle w:val="SpecialBold"/>
              </w:rPr>
              <w:t>Unit Descriptor</w:t>
            </w:r>
          </w:p>
        </w:tc>
        <w:tc>
          <w:tcPr>
            <w:tcW w:w="5763" w:type="dxa"/>
            <w:tcBorders>
              <w:top w:val="nil"/>
              <w:left w:val="nil"/>
              <w:bottom w:val="nil"/>
              <w:right w:val="nil"/>
            </w:tcBorders>
            <w:tcMar>
              <w:top w:w="0" w:type="dxa"/>
              <w:left w:w="62" w:type="dxa"/>
              <w:bottom w:w="0" w:type="dxa"/>
              <w:right w:w="62" w:type="dxa"/>
            </w:tcMar>
          </w:tcPr>
          <w:p w:rsidR="00000000" w:rsidRPr="00D500EB" w:rsidP="00D500EB">
            <w:pPr>
              <w:pStyle w:val="BodyText"/>
            </w:pPr>
            <w:r w:rsidRPr="00D500EB">
              <w:rPr>
                <w:rStyle w:val="SpecialBold"/>
              </w:rPr>
              <w:t>1</w:t>
            </w:r>
            <w:r w:rsidRPr="00D500EB">
              <w:t xml:space="preserve">) </w:t>
            </w:r>
          </w:p>
          <w:p w:rsidR="00000000" w:rsidP="00D500EB">
            <w:pPr>
              <w:pStyle w:val="BodyText"/>
              <w:rPr>
                <w:lang w:val="en-NZ"/>
              </w:rPr>
            </w:pPr>
            <w:r w:rsidRPr="00D500EB">
              <w:rPr>
                <w:rStyle w:val="SpecialBold"/>
              </w:rPr>
              <w:t>1</w:t>
            </w:r>
            <w:r w:rsidRPr="00D500EB">
              <w:t>.</w:t>
            </w:r>
            <w:r w:rsidRPr="00D500EB">
              <w:rPr>
                <w:rStyle w:val="SpecialBold"/>
              </w:rPr>
              <w:t>1</w:t>
            </w:r>
            <w:r w:rsidRPr="00D500EB">
              <w:t xml:space="preserve">) </w:t>
            </w:r>
            <w:r w:rsidRPr="00D500EB">
              <w:rPr>
                <w:rStyle w:val="SpecialBold"/>
              </w:rPr>
              <w:t>Descriptor</w:t>
            </w:r>
          </w:p>
        </w:tc>
      </w:tr>
      <w:tr w:rsidTr="00B66D43">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3" w:type="dxa"/>
            <w:tcBorders>
              <w:top w:val="nil"/>
              <w:left w:val="nil"/>
              <w:bottom w:val="nil"/>
              <w:right w:val="nil"/>
            </w:tcBorders>
            <w:tcMar>
              <w:top w:w="0" w:type="dxa"/>
              <w:left w:w="62" w:type="dxa"/>
              <w:bottom w:w="0" w:type="dxa"/>
              <w:right w:w="62" w:type="dxa"/>
            </w:tcMar>
          </w:tcPr>
          <w:p w:rsidR="00000000" w:rsidRPr="00D500EB" w:rsidP="00D500EB">
            <w:pPr>
              <w:pStyle w:val="BodyText"/>
            </w:pPr>
            <w:r w:rsidRPr="00D500EB">
              <w:t>This unit covers the explosion-protection aspects of attending to a breakdown in a hazardous area or of explosion-protected and associated equipment. It requires the ability to ascertain the nature of a breakdown, the extent of repairs required and the per</w:t>
            </w:r>
            <w:r w:rsidRPr="00D500EB">
              <w:t>sonnel needed to repair the breakdown.</w:t>
            </w:r>
          </w:p>
          <w:p w:rsidR="00000000" w:rsidRPr="00D500EB" w:rsidP="00D500EB">
            <w:pPr>
              <w:pStyle w:val="BodyText"/>
            </w:pPr>
            <w:r w:rsidRPr="00D500EB">
              <w:t xml:space="preserve">This unit is directly equivalent to the Unit </w:t>
            </w:r>
            <w:r w:rsidRPr="00D500EB">
              <w:rPr>
                <w:rStyle w:val="Emphasis"/>
              </w:rPr>
              <w:t>2</w:t>
            </w:r>
            <w:r w:rsidRPr="00D500EB">
              <w:t>.</w:t>
            </w:r>
            <w:r w:rsidRPr="00D500EB">
              <w:rPr>
                <w:rStyle w:val="Emphasis"/>
              </w:rPr>
              <w:t>3 Attend to breakdowns in hazardous areas</w:t>
            </w:r>
            <w:r w:rsidRPr="00D500EB">
              <w:t xml:space="preserve"> in the Australian/New Zealand Standard </w:t>
            </w:r>
            <w:r w:rsidRPr="00D500EB">
              <w:rPr>
                <w:rStyle w:val="Emphasis"/>
              </w:rPr>
              <w:t>AS</w:t>
            </w:r>
            <w:r w:rsidRPr="00D500EB">
              <w:t>/</w:t>
            </w:r>
            <w:r w:rsidRPr="00D500EB">
              <w:rPr>
                <w:rStyle w:val="Emphasis"/>
              </w:rPr>
              <w:t>NZS 4761</w:t>
            </w:r>
            <w:r w:rsidRPr="00D500EB">
              <w:t>.</w:t>
            </w:r>
            <w:r w:rsidRPr="00D500EB">
              <w:rPr>
                <w:rStyle w:val="Emphasis"/>
              </w:rPr>
              <w:t>1 Competencies for working with electrical equipment for hazardous areas</w:t>
            </w:r>
            <w:r w:rsidRPr="00D500EB">
              <w:t xml:space="preserve"> (</w:t>
            </w:r>
            <w:r w:rsidRPr="00D500EB">
              <w:rPr>
                <w:rStyle w:val="Emphasis"/>
              </w:rPr>
              <w:t>EEH</w:t>
            </w:r>
            <w:r w:rsidRPr="00D500EB">
              <w:rPr>
                <w:rStyle w:val="Emphasis"/>
              </w:rPr>
              <w:t>A</w:t>
            </w:r>
            <w:r w:rsidRPr="00D500EB">
              <w:t xml:space="preserve">) </w:t>
            </w:r>
            <w:r w:rsidRPr="00D500EB">
              <w:rPr>
                <w:rStyle w:val="Emphasis"/>
              </w:rPr>
              <w:t>Part 1</w:t>
            </w:r>
            <w:r w:rsidRPr="00D500EB">
              <w:t xml:space="preserve">: </w:t>
            </w:r>
            <w:r w:rsidRPr="00D500EB">
              <w:rPr>
                <w:rStyle w:val="Emphasis"/>
              </w:rPr>
              <w:t>Competency Standards</w:t>
            </w:r>
            <w:r w:rsidRPr="00D500EB">
              <w:t>. Equivalence includes endorsement in the explosion-protection techniques listed in the Range statement of this unit.</w:t>
            </w:r>
          </w:p>
        </w:tc>
      </w:tr>
    </w:tbl>
    <w:p w:rsidR="00B66D43" w:rsidP="00D500EB">
      <w:pPr>
        <w:pStyle w:val="BodyText"/>
      </w:pPr>
    </w:p>
    <w:p w:rsidR="00B66D43" w:rsidP="00D500EB">
      <w:pPr>
        <w:pStyle w:val="BodyText"/>
      </w:pPr>
    </w:p>
    <w:p w:rsidR="00000000" w:rsidRPr="00D500EB" w:rsidP="00D500EB">
      <w:pPr>
        <w:pStyle w:val="Heading1"/>
      </w:pPr>
      <w:bookmarkStart w:id="3" w:name="O_699622"/>
      <w:bookmarkEnd w:id="3"/>
      <w:r w:rsidRPr="00D500EB">
        <w:t>Application of the Unit</w:t>
      </w:r>
    </w:p>
    <w:tbl>
      <w:tblPr>
        <w:tblW w:w="0" w:type="auto"/>
        <w:tblLayout w:type="fixed"/>
        <w:tblCellMar>
          <w:left w:w="62" w:type="dxa"/>
          <w:right w:w="62" w:type="dxa"/>
        </w:tblCellMar>
        <w:tblLook w:val="0000"/>
      </w:tblPr>
      <w:tblGrid>
        <w:gridCol w:w="2697"/>
        <w:gridCol w:w="5763"/>
      </w:tblGrid>
      <w:tr w:rsidTr="00B66D43">
        <w:tblPrEx>
          <w:tblW w:w="0" w:type="auto"/>
          <w:tblLayout w:type="fixed"/>
          <w:tblCellMar>
            <w:left w:w="62" w:type="dxa"/>
            <w:right w:w="62" w:type="dxa"/>
          </w:tblCellMar>
          <w:tblLook w:val="0000"/>
        </w:tblPrEx>
        <w:trPr>
          <w:tblHeader/>
        </w:trPr>
        <w:tc>
          <w:tcPr>
            <w:tcW w:w="2697" w:type="dxa"/>
            <w:tcBorders>
              <w:top w:val="nil"/>
              <w:left w:val="nil"/>
              <w:bottom w:val="nil"/>
              <w:right w:val="nil"/>
            </w:tcBorders>
            <w:tcMar>
              <w:top w:w="0" w:type="dxa"/>
              <w:left w:w="62" w:type="dxa"/>
              <w:bottom w:w="0" w:type="dxa"/>
              <w:right w:w="62" w:type="dxa"/>
            </w:tcMar>
          </w:tcPr>
          <w:p w:rsidR="00000000" w:rsidRPr="00D500EB" w:rsidP="00D500EB">
            <w:pPr>
              <w:pStyle w:val="BodyText"/>
            </w:pPr>
            <w:r w:rsidRPr="00D500EB">
              <w:rPr>
                <w:rStyle w:val="SpecialBold"/>
              </w:rPr>
              <w:t>Application of the Unit</w:t>
            </w:r>
          </w:p>
        </w:tc>
        <w:tc>
          <w:tcPr>
            <w:tcW w:w="5763" w:type="dxa"/>
            <w:tcBorders>
              <w:top w:val="nil"/>
              <w:left w:val="nil"/>
              <w:bottom w:val="nil"/>
              <w:right w:val="nil"/>
            </w:tcBorders>
            <w:tcMar>
              <w:top w:w="0" w:type="dxa"/>
              <w:left w:w="62" w:type="dxa"/>
              <w:bottom w:w="0" w:type="dxa"/>
              <w:right w:w="62" w:type="dxa"/>
            </w:tcMar>
          </w:tcPr>
          <w:p w:rsidR="00000000" w:rsidP="00D500EB">
            <w:pPr>
              <w:pStyle w:val="BodyText"/>
              <w:rPr>
                <w:lang w:val="en-NZ"/>
              </w:rPr>
            </w:pPr>
            <w:r w:rsidRPr="00D500EB">
              <w:rPr>
                <w:rStyle w:val="SpecialBold"/>
              </w:rPr>
              <w:t>4</w:t>
            </w:r>
            <w:r w:rsidRPr="00D500EB">
              <w:t>)</w:t>
            </w:r>
          </w:p>
        </w:tc>
      </w:tr>
      <w:tr w:rsidTr="00B66D43">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3" w:type="dxa"/>
            <w:tcBorders>
              <w:top w:val="nil"/>
              <w:left w:val="nil"/>
              <w:bottom w:val="nil"/>
              <w:right w:val="nil"/>
            </w:tcBorders>
            <w:tcMar>
              <w:top w:w="0" w:type="dxa"/>
              <w:left w:w="62" w:type="dxa"/>
              <w:bottom w:w="0" w:type="dxa"/>
              <w:right w:w="62" w:type="dxa"/>
            </w:tcMar>
          </w:tcPr>
          <w:p w:rsidR="00000000" w:rsidRPr="00D500EB" w:rsidP="00D500EB">
            <w:pPr>
              <w:pStyle w:val="BodyText"/>
            </w:pPr>
            <w:r w:rsidRPr="00D500EB">
              <w:t>This unit augments other formally-</w:t>
            </w:r>
            <w:r w:rsidRPr="00D500EB">
              <w:t>acquired competencies in a relevant industry and shall be used only in conjunction such competencies and is intended to apply to plant/equipment service and maintenance job functions in the disciplines of electrical, instrumentation, communication or mecha</w:t>
            </w:r>
            <w:r w:rsidRPr="00D500EB">
              <w:t>nics at AQF 3 level or higher. It is suitable for employment-based programs under an approved contract of training.</w:t>
            </w:r>
          </w:p>
        </w:tc>
      </w:tr>
    </w:tbl>
    <w:p w:rsidR="00B66D43" w:rsidP="00D500EB">
      <w:pPr>
        <w:pStyle w:val="BodyText"/>
      </w:pPr>
    </w:p>
    <w:p w:rsidR="00B66D43" w:rsidP="00D500EB">
      <w:pPr>
        <w:pStyle w:val="BodyText"/>
      </w:pPr>
    </w:p>
    <w:p w:rsidR="00000000" w:rsidRPr="00D500EB" w:rsidP="00D500EB">
      <w:pPr>
        <w:pStyle w:val="Heading1"/>
      </w:pPr>
      <w:bookmarkStart w:id="4" w:name="O_699621"/>
      <w:bookmarkEnd w:id="4"/>
      <w:r w:rsidRPr="00D500EB">
        <w:t>Licensing/Regulatory Information</w:t>
      </w:r>
    </w:p>
    <w:tbl>
      <w:tblPr>
        <w:tblW w:w="0" w:type="auto"/>
        <w:tblLayout w:type="fixed"/>
        <w:tblCellMar>
          <w:left w:w="62" w:type="dxa"/>
          <w:right w:w="62" w:type="dxa"/>
        </w:tblCellMar>
        <w:tblLook w:val="0000"/>
      </w:tblPr>
      <w:tblGrid>
        <w:gridCol w:w="8460"/>
      </w:tblGrid>
      <w:tr w:rsidTr="00B66D4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500EB">
            <w:pPr>
              <w:pStyle w:val="BodyText"/>
              <w:rPr>
                <w:lang w:val="en-NZ"/>
              </w:rPr>
            </w:pPr>
            <w:r w:rsidRPr="00D500EB">
              <w:rPr>
                <w:rStyle w:val="SpecialBold"/>
              </w:rPr>
              <w:t>1</w:t>
            </w:r>
            <w:r w:rsidRPr="00D500EB">
              <w:t>.</w:t>
            </w:r>
            <w:r w:rsidRPr="00D500EB">
              <w:rPr>
                <w:rStyle w:val="SpecialBold"/>
              </w:rPr>
              <w:t>2</w:t>
            </w:r>
            <w:r w:rsidRPr="00D500EB">
              <w:t xml:space="preserve">) </w:t>
            </w:r>
            <w:r w:rsidRPr="00D500EB">
              <w:rPr>
                <w:rStyle w:val="SpecialBold"/>
              </w:rPr>
              <w:t>License to practice</w:t>
            </w:r>
          </w:p>
        </w:tc>
      </w:tr>
      <w:tr w:rsidTr="00B66D4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500EB" w:rsidP="00D500EB">
            <w:pPr>
              <w:pStyle w:val="BodyText"/>
            </w:pPr>
            <w:r w:rsidRPr="00D500EB">
              <w:t>The skills and knowledge described in this unit require a license to practice in the workplace subject to regulations for undertaking of electrical work. Practice in workplace and during training is also subject to regulations directly related to occupatio</w:t>
            </w:r>
            <w:r w:rsidRPr="00D500EB">
              <w:t>nal health and safety and where applicable contracts of training such as apprenticeships.</w:t>
            </w:r>
          </w:p>
        </w:tc>
      </w:tr>
    </w:tbl>
    <w:p w:rsidR="00B66D43" w:rsidP="00D500EB">
      <w:pPr>
        <w:pStyle w:val="BodyText"/>
      </w:pPr>
    </w:p>
    <w:p w:rsidR="00B66D43" w:rsidP="00D500EB">
      <w:pPr>
        <w:pStyle w:val="BodyText"/>
      </w:pPr>
    </w:p>
    <w:p w:rsidR="00000000" w:rsidRPr="00D500EB" w:rsidP="00D500EB">
      <w:pPr>
        <w:pStyle w:val="Heading1"/>
      </w:pPr>
      <w:bookmarkStart w:id="5" w:name="O_699620"/>
      <w:bookmarkEnd w:id="5"/>
      <w:r w:rsidRPr="00D500EB">
        <w:t>Pre-Requisites</w:t>
      </w:r>
    </w:p>
    <w:tbl>
      <w:tblPr>
        <w:tblW w:w="0" w:type="auto"/>
        <w:tblLayout w:type="fixed"/>
        <w:tblCellMar>
          <w:left w:w="62" w:type="dxa"/>
          <w:right w:w="62" w:type="dxa"/>
        </w:tblCellMar>
        <w:tblLook w:val="0000"/>
      </w:tblPr>
      <w:tblGrid>
        <w:gridCol w:w="2700"/>
        <w:gridCol w:w="1440"/>
        <w:gridCol w:w="4323"/>
      </w:tblGrid>
      <w:tr w:rsidTr="00B66D4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500EB" w:rsidP="00D500EB">
            <w:pPr>
              <w:pStyle w:val="BodyText"/>
            </w:pPr>
            <w:r w:rsidRPr="00D500EB">
              <w:rPr>
                <w:rStyle w:val="SpecialBold"/>
              </w:rPr>
              <w:t>Prerequisite Unit(s)</w:t>
            </w:r>
          </w:p>
        </w:tc>
        <w:tc>
          <w:tcPr>
            <w:tcW w:w="5763" w:type="dxa"/>
            <w:gridSpan w:val="2"/>
            <w:tcBorders>
              <w:top w:val="nil"/>
              <w:left w:val="nil"/>
              <w:bottom w:val="nil"/>
              <w:right w:val="nil"/>
            </w:tcBorders>
            <w:tcMar>
              <w:top w:w="0" w:type="dxa"/>
              <w:left w:w="62" w:type="dxa"/>
              <w:bottom w:w="0" w:type="dxa"/>
              <w:right w:w="62" w:type="dxa"/>
            </w:tcMar>
          </w:tcPr>
          <w:p w:rsidR="00000000" w:rsidP="00D500EB">
            <w:pPr>
              <w:pStyle w:val="BodyText"/>
              <w:rPr>
                <w:lang w:val="en-NZ"/>
              </w:rPr>
            </w:pPr>
            <w:r w:rsidRPr="00D500EB">
              <w:rPr>
                <w:rStyle w:val="SpecialBold"/>
              </w:rPr>
              <w:t xml:space="preserve">2) </w:t>
            </w:r>
          </w:p>
        </w:tc>
      </w:tr>
      <w:tr w:rsidTr="00B66D4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500EB">
            <w:pPr>
              <w:pStyle w:val="BodyText"/>
              <w:keepNext w:val="0"/>
              <w:keepLines w:val="0"/>
              <w:contextualSpacing w:val="0"/>
            </w:pPr>
          </w:p>
        </w:tc>
        <w:tc>
          <w:tcPr>
            <w:tcW w:w="5763" w:type="dxa"/>
            <w:gridSpan w:val="2"/>
            <w:tcBorders>
              <w:top w:val="nil"/>
              <w:left w:val="nil"/>
              <w:bottom w:val="nil"/>
              <w:right w:val="nil"/>
            </w:tcBorders>
            <w:tcMar>
              <w:top w:w="0" w:type="dxa"/>
              <w:left w:w="62" w:type="dxa"/>
              <w:bottom w:w="0" w:type="dxa"/>
              <w:right w:w="62" w:type="dxa"/>
            </w:tcMar>
          </w:tcPr>
          <w:p w:rsidR="00000000" w:rsidP="00D500EB">
            <w:pPr>
              <w:pStyle w:val="BodyText"/>
              <w:rPr>
                <w:lang w:val="en-NZ"/>
              </w:rPr>
            </w:pPr>
            <w:r w:rsidRPr="00D500EB">
              <w:rPr>
                <w:rStyle w:val="SpecialBold"/>
              </w:rPr>
              <w:t>2.1) Competencies</w:t>
            </w:r>
          </w:p>
        </w:tc>
      </w:tr>
      <w:tr w:rsidTr="00B66D4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3" w:type="dxa"/>
            <w:gridSpan w:val="2"/>
            <w:tcBorders>
              <w:top w:val="nil"/>
              <w:left w:val="nil"/>
              <w:bottom w:val="nil"/>
              <w:right w:val="nil"/>
            </w:tcBorders>
            <w:tcMar>
              <w:top w:w="0" w:type="dxa"/>
              <w:left w:w="62" w:type="dxa"/>
              <w:bottom w:w="0" w:type="dxa"/>
              <w:right w:w="62" w:type="dxa"/>
            </w:tcMar>
          </w:tcPr>
          <w:p w:rsidR="00000000" w:rsidP="00D500EB">
            <w:pPr>
              <w:pStyle w:val="BodyText"/>
              <w:rPr>
                <w:lang w:val="en-NZ"/>
              </w:rPr>
            </w:pPr>
            <w:r w:rsidRPr="00D500EB">
              <w:t>Granting competen</w:t>
            </w:r>
            <w:r w:rsidRPr="00D500EB">
              <w:t>cy in this unit shall be made after or concurrently with confirming competency in any one of the following units.</w:t>
            </w:r>
          </w:p>
        </w:tc>
      </w:tr>
      <w:tr w:rsidTr="00B66D4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D500EB">
            <w:pPr>
              <w:pStyle w:val="BodyText"/>
              <w:rPr>
                <w:lang w:val="en-NZ"/>
              </w:rPr>
            </w:pPr>
            <w:r w:rsidRPr="00D500EB">
              <w:t>UEENEEM080A</w:t>
            </w:r>
          </w:p>
        </w:tc>
        <w:tc>
          <w:tcPr>
            <w:tcW w:w="4323" w:type="dxa"/>
            <w:tcBorders>
              <w:top w:val="nil"/>
              <w:left w:val="nil"/>
              <w:bottom w:val="nil"/>
              <w:right w:val="nil"/>
            </w:tcBorders>
            <w:tcMar>
              <w:top w:w="0" w:type="dxa"/>
              <w:left w:w="62" w:type="dxa"/>
              <w:bottom w:w="0" w:type="dxa"/>
              <w:right w:w="62" w:type="dxa"/>
            </w:tcMar>
          </w:tcPr>
          <w:p w:rsidR="00000000" w:rsidP="00D500EB">
            <w:pPr>
              <w:pStyle w:val="BodyText"/>
              <w:rPr>
                <w:lang w:val="en-NZ"/>
              </w:rPr>
            </w:pPr>
            <w:r w:rsidRPr="00D500EB">
              <w:t>Report on the integrity of explosion-protected equipment in a hazardous area</w:t>
            </w:r>
          </w:p>
        </w:tc>
      </w:tr>
      <w:tr w:rsidTr="00B66D4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D500EB">
            <w:pPr>
              <w:pStyle w:val="BodyText"/>
              <w:rPr>
                <w:lang w:val="en-NZ"/>
              </w:rPr>
            </w:pPr>
            <w:r w:rsidRPr="00D500EB">
              <w:t>AND</w:t>
            </w:r>
          </w:p>
        </w:tc>
        <w:tc>
          <w:tcPr>
            <w:tcW w:w="4323" w:type="dxa"/>
            <w:tcBorders>
              <w:top w:val="nil"/>
              <w:left w:val="nil"/>
              <w:bottom w:val="nil"/>
              <w:right w:val="nil"/>
            </w:tcBorders>
            <w:tcMar>
              <w:top w:w="0" w:type="dxa"/>
              <w:left w:w="62" w:type="dxa"/>
              <w:bottom w:w="0" w:type="dxa"/>
              <w:right w:w="62" w:type="dxa"/>
            </w:tcMar>
          </w:tcPr>
          <w:p w:rsidR="00000000" w:rsidP="00D500EB">
            <w:pPr>
              <w:pStyle w:val="BodyText"/>
              <w:rPr>
                <w:lang w:val="en-NZ"/>
              </w:rPr>
            </w:pPr>
          </w:p>
        </w:tc>
      </w:tr>
      <w:tr w:rsidTr="00B66D4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3" w:type="dxa"/>
            <w:gridSpan w:val="2"/>
            <w:tcBorders>
              <w:top w:val="nil"/>
              <w:left w:val="nil"/>
              <w:bottom w:val="nil"/>
              <w:right w:val="nil"/>
            </w:tcBorders>
            <w:tcMar>
              <w:top w:w="0" w:type="dxa"/>
              <w:left w:w="62" w:type="dxa"/>
              <w:bottom w:w="0" w:type="dxa"/>
              <w:right w:w="62" w:type="dxa"/>
            </w:tcMar>
          </w:tcPr>
          <w:p w:rsidR="00000000" w:rsidP="00D500EB">
            <w:pPr>
              <w:pStyle w:val="BodyText"/>
              <w:rPr>
                <w:lang w:val="en-NZ"/>
              </w:rPr>
            </w:pPr>
            <w:r w:rsidRPr="00D500EB">
              <w:t>Competencies in attending to breakdowns in general electrical or instrumentation equipment mechanical plant/equipment service and maintenance at least at AQF 3 or equivalent. Examples are (but not limited to):</w:t>
            </w:r>
          </w:p>
        </w:tc>
      </w:tr>
      <w:tr w:rsidTr="00B66D4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D500EB">
            <w:pPr>
              <w:pStyle w:val="BodyText"/>
              <w:rPr>
                <w:lang w:val="en-NZ"/>
              </w:rPr>
            </w:pPr>
            <w:r w:rsidRPr="00D500EB">
              <w:t>UEENEEG105A</w:t>
            </w:r>
          </w:p>
        </w:tc>
        <w:tc>
          <w:tcPr>
            <w:tcW w:w="4323" w:type="dxa"/>
            <w:tcBorders>
              <w:top w:val="nil"/>
              <w:left w:val="nil"/>
              <w:bottom w:val="nil"/>
              <w:right w:val="nil"/>
            </w:tcBorders>
            <w:tcMar>
              <w:top w:w="0" w:type="dxa"/>
              <w:left w:w="62" w:type="dxa"/>
              <w:bottom w:w="0" w:type="dxa"/>
              <w:right w:w="62" w:type="dxa"/>
            </w:tcMar>
          </w:tcPr>
          <w:p w:rsidR="00000000" w:rsidP="00D500EB">
            <w:pPr>
              <w:pStyle w:val="BodyText"/>
              <w:rPr>
                <w:lang w:val="en-NZ"/>
              </w:rPr>
            </w:pPr>
            <w:r w:rsidRPr="00D500EB">
              <w:t>Verify compliance and functionality of low voltage general electrical installations</w:t>
            </w:r>
          </w:p>
        </w:tc>
      </w:tr>
      <w:tr w:rsidTr="00B66D4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D500EB">
            <w:pPr>
              <w:pStyle w:val="BodyText"/>
              <w:rPr>
                <w:lang w:val="en-NZ"/>
              </w:rPr>
            </w:pPr>
            <w:r w:rsidRPr="00D500EB">
              <w:t xml:space="preserve">UEENEEI112A </w:t>
            </w:r>
          </w:p>
        </w:tc>
        <w:tc>
          <w:tcPr>
            <w:tcW w:w="4323" w:type="dxa"/>
            <w:tcBorders>
              <w:top w:val="nil"/>
              <w:left w:val="nil"/>
              <w:bottom w:val="nil"/>
              <w:right w:val="nil"/>
            </w:tcBorders>
            <w:tcMar>
              <w:top w:w="0" w:type="dxa"/>
              <w:left w:w="62" w:type="dxa"/>
              <w:bottom w:w="0" w:type="dxa"/>
              <w:right w:w="62" w:type="dxa"/>
            </w:tcMar>
          </w:tcPr>
          <w:p w:rsidR="00000000" w:rsidP="00D500EB">
            <w:pPr>
              <w:pStyle w:val="BodyText"/>
              <w:rPr>
                <w:lang w:val="en-NZ"/>
              </w:rPr>
            </w:pPr>
            <w:r w:rsidRPr="00D500EB">
              <w:t>Verify compliance and functionality of instrumentation and control installations</w:t>
            </w:r>
          </w:p>
        </w:tc>
      </w:tr>
      <w:tr w:rsidTr="00B66D4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D500EB">
            <w:pPr>
              <w:pStyle w:val="BodyText"/>
              <w:rPr>
                <w:lang w:val="en-NZ"/>
              </w:rPr>
            </w:pPr>
            <w:r w:rsidRPr="00D500EB">
              <w:t>MEM7001B</w:t>
            </w:r>
          </w:p>
        </w:tc>
        <w:tc>
          <w:tcPr>
            <w:tcW w:w="4323" w:type="dxa"/>
            <w:tcBorders>
              <w:top w:val="nil"/>
              <w:left w:val="nil"/>
              <w:bottom w:val="nil"/>
              <w:right w:val="nil"/>
            </w:tcBorders>
            <w:tcMar>
              <w:top w:w="0" w:type="dxa"/>
              <w:left w:w="62" w:type="dxa"/>
              <w:bottom w:w="0" w:type="dxa"/>
              <w:right w:w="62" w:type="dxa"/>
            </w:tcMar>
          </w:tcPr>
          <w:p w:rsidR="00000000" w:rsidRPr="00D500EB" w:rsidP="00D500EB">
            <w:pPr>
              <w:pStyle w:val="BodyText"/>
            </w:pPr>
            <w:r w:rsidRPr="00D500EB">
              <w:t>Perform operational maintenance of machines/equipment</w:t>
            </w:r>
          </w:p>
        </w:tc>
      </w:tr>
    </w:tbl>
    <w:p w:rsidR="00000000" w:rsidRPr="00D500EB" w:rsidP="00D500EB">
      <w:pPr>
        <w:pStyle w:val="BodyText"/>
      </w:pPr>
    </w:p>
    <w:p w:rsidR="00000000" w:rsidRPr="00D500EB" w:rsidP="00D500EB">
      <w:pPr>
        <w:pStyle w:val="AllowPageBreak"/>
      </w:pPr>
    </w:p>
    <w:p w:rsidR="00000000" w:rsidRPr="00D500EB" w:rsidP="00D500EB">
      <w:pPr>
        <w:pStyle w:val="Heading1"/>
      </w:pPr>
      <w:bookmarkStart w:id="6" w:name="O_699619"/>
      <w:bookmarkEnd w:id="6"/>
      <w:r w:rsidRPr="00D500EB">
        <w:t>Employability Skills Information</w:t>
      </w:r>
    </w:p>
    <w:tbl>
      <w:tblPr>
        <w:tblW w:w="0" w:type="auto"/>
        <w:tblLayout w:type="fixed"/>
        <w:tblCellMar>
          <w:left w:w="62" w:type="dxa"/>
          <w:right w:w="62" w:type="dxa"/>
        </w:tblCellMar>
        <w:tblLook w:val="0000"/>
      </w:tblPr>
      <w:tblGrid>
        <w:gridCol w:w="2697"/>
        <w:gridCol w:w="5763"/>
      </w:tblGrid>
      <w:tr w:rsidTr="00B66D43">
        <w:tblPrEx>
          <w:tblW w:w="0" w:type="auto"/>
          <w:tblLayout w:type="fixed"/>
          <w:tblCellMar>
            <w:left w:w="62" w:type="dxa"/>
            <w:right w:w="62" w:type="dxa"/>
          </w:tblCellMar>
          <w:tblLook w:val="0000"/>
        </w:tblPrEx>
        <w:trPr>
          <w:tblHeader/>
        </w:trPr>
        <w:tc>
          <w:tcPr>
            <w:tcW w:w="2697" w:type="dxa"/>
            <w:tcBorders>
              <w:top w:val="nil"/>
              <w:left w:val="nil"/>
              <w:bottom w:val="nil"/>
              <w:right w:val="nil"/>
            </w:tcBorders>
            <w:tcMar>
              <w:top w:w="0" w:type="dxa"/>
              <w:left w:w="62" w:type="dxa"/>
              <w:bottom w:w="0" w:type="dxa"/>
              <w:right w:w="62" w:type="dxa"/>
            </w:tcMar>
          </w:tcPr>
          <w:p w:rsidR="00000000" w:rsidRPr="00D500EB" w:rsidP="00D500EB">
            <w:pPr>
              <w:pStyle w:val="BodyText"/>
            </w:pPr>
            <w:r w:rsidRPr="00D500EB">
              <w:rPr>
                <w:rStyle w:val="SpecialBold"/>
              </w:rPr>
              <w:t>Employability Skills</w:t>
            </w:r>
          </w:p>
        </w:tc>
        <w:tc>
          <w:tcPr>
            <w:tcW w:w="5763" w:type="dxa"/>
            <w:tcBorders>
              <w:top w:val="nil"/>
              <w:left w:val="nil"/>
              <w:bottom w:val="nil"/>
              <w:right w:val="nil"/>
            </w:tcBorders>
            <w:tcMar>
              <w:top w:w="0" w:type="dxa"/>
              <w:left w:w="62" w:type="dxa"/>
              <w:bottom w:w="0" w:type="dxa"/>
              <w:right w:w="62" w:type="dxa"/>
            </w:tcMar>
          </w:tcPr>
          <w:p w:rsidR="00000000" w:rsidRPr="00D500EB" w:rsidP="00D500EB">
            <w:pPr>
              <w:pStyle w:val="BodyText"/>
            </w:pPr>
            <w:r w:rsidRPr="00D500EB">
              <w:rPr>
                <w:rStyle w:val="SpecialBold"/>
              </w:rPr>
              <w:t>3</w:t>
            </w:r>
            <w:r w:rsidRPr="00D500EB">
              <w:t>)</w:t>
            </w:r>
          </w:p>
          <w:p w:rsidR="00000000" w:rsidRPr="00D500EB" w:rsidP="00D500EB">
            <w:pPr>
              <w:pStyle w:val="BodyText"/>
            </w:pPr>
            <w:r w:rsidRPr="00D500EB">
              <w:t>The required outcomes described in this unit of competency contain applicable facets of Employability Skills. The Employability Skills Summary of the qual</w:t>
            </w:r>
            <w:r w:rsidRPr="00D500EB">
              <w:t>ification in which this unit of competency is packaged will assist in identifying Employability Skill requirements.</w:t>
            </w:r>
          </w:p>
        </w:tc>
      </w:tr>
    </w:tbl>
    <w:p w:rsidR="00B66D43" w:rsidP="00D500EB">
      <w:pPr>
        <w:pStyle w:val="BodyText"/>
      </w:pPr>
    </w:p>
    <w:p w:rsidR="00B66D43" w:rsidP="00D500EB">
      <w:pPr>
        <w:pStyle w:val="BodyText"/>
      </w:pPr>
    </w:p>
    <w:p w:rsidR="00000000" w:rsidRPr="00D500EB" w:rsidP="00D500EB">
      <w:pPr>
        <w:pStyle w:val="Heading1"/>
      </w:pPr>
      <w:bookmarkStart w:id="7" w:name="O_699618"/>
      <w:bookmarkEnd w:id="7"/>
      <w:r w:rsidRPr="00D500EB">
        <w:t>Elements and Performance Criteria Pre-Content</w:t>
      </w:r>
    </w:p>
    <w:tbl>
      <w:tblPr>
        <w:tblW w:w="0" w:type="auto"/>
        <w:tblLayout w:type="fixed"/>
        <w:tblCellMar>
          <w:left w:w="62" w:type="dxa"/>
          <w:right w:w="62" w:type="dxa"/>
        </w:tblCellMar>
        <w:tblLook w:val="0000"/>
      </w:tblPr>
      <w:tblGrid>
        <w:gridCol w:w="2697"/>
        <w:gridCol w:w="5763"/>
      </w:tblGrid>
      <w:tr w:rsidTr="00B66D43">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rsidP="00D500EB">
            <w:pPr>
              <w:pStyle w:val="BodyText"/>
              <w:rPr>
                <w:lang w:val="en-NZ"/>
              </w:rPr>
            </w:pPr>
            <w:r w:rsidRPr="00D500EB">
              <w:rPr>
                <w:rStyle w:val="SpecialBold"/>
              </w:rPr>
              <w:t>6</w:t>
            </w:r>
            <w:r w:rsidRPr="00D500EB">
              <w:t>) Elements describe the essential outcomes of a unit</w:t>
            </w:r>
          </w:p>
        </w:tc>
        <w:tc>
          <w:tcPr>
            <w:tcW w:w="5763" w:type="dxa"/>
            <w:tcBorders>
              <w:top w:val="nil"/>
              <w:left w:val="nil"/>
              <w:bottom w:val="nil"/>
              <w:right w:val="nil"/>
            </w:tcBorders>
            <w:tcMar>
              <w:top w:w="0" w:type="dxa"/>
              <w:left w:w="62" w:type="dxa"/>
              <w:bottom w:w="0" w:type="dxa"/>
              <w:right w:w="62" w:type="dxa"/>
            </w:tcMar>
          </w:tcPr>
          <w:p w:rsidR="00000000" w:rsidRPr="00D500EB" w:rsidP="00D500EB">
            <w:pPr>
              <w:pStyle w:val="BodyText"/>
            </w:pPr>
            <w:r w:rsidRPr="00D500EB">
              <w:t>Performance criteria</w:t>
            </w:r>
            <w:r w:rsidRPr="00D500EB">
              <w:t xml:space="preserve"> describe the required performance needed to demonstrate achievement of the element. Assessment of performance is to be consistent with the evidence guide.</w:t>
            </w:r>
          </w:p>
        </w:tc>
      </w:tr>
    </w:tbl>
    <w:p w:rsidR="00000000" w:rsidRPr="00D500EB" w:rsidP="00D500EB">
      <w:pPr>
        <w:pStyle w:val="BodyText"/>
      </w:pPr>
    </w:p>
    <w:p w:rsidR="00000000" w:rsidRPr="00D500EB" w:rsidP="00D500EB">
      <w:pPr>
        <w:pStyle w:val="AllowPageBreak"/>
      </w:pPr>
    </w:p>
    <w:p w:rsidR="00000000" w:rsidRPr="00D500EB" w:rsidP="00D500EB">
      <w:pPr>
        <w:pStyle w:val="Heading1"/>
      </w:pPr>
      <w:bookmarkStart w:id="8" w:name="O_699617"/>
      <w:bookmarkEnd w:id="8"/>
      <w:r w:rsidRPr="00D500EB">
        <w:t>Elements and Performance Criteria</w:t>
      </w:r>
    </w:p>
    <w:tbl>
      <w:tblPr>
        <w:tblW w:w="0" w:type="auto"/>
        <w:tblLayout w:type="fixed"/>
        <w:tblCellMar>
          <w:left w:w="62" w:type="dxa"/>
          <w:right w:w="62" w:type="dxa"/>
        </w:tblCellMar>
        <w:tblLook w:val="0000"/>
      </w:tblPr>
      <w:tblGrid>
        <w:gridCol w:w="403"/>
        <w:gridCol w:w="2294"/>
        <w:gridCol w:w="900"/>
        <w:gridCol w:w="4863"/>
      </w:tblGrid>
      <w:tr w:rsidTr="00B66D43">
        <w:tblPrEx>
          <w:tblW w:w="0" w:type="auto"/>
          <w:tblLayout w:type="fixed"/>
          <w:tblCellMar>
            <w:left w:w="62" w:type="dxa"/>
            <w:right w:w="62" w:type="dxa"/>
          </w:tblCellMar>
          <w:tblLook w:val="0000"/>
        </w:tblPrEx>
        <w:trPr>
          <w:tblHeader/>
        </w:trPr>
        <w:tc>
          <w:tcPr>
            <w:tcW w:w="2697" w:type="dxa"/>
            <w:gridSpan w:val="2"/>
            <w:tcBorders>
              <w:top w:val="nil"/>
              <w:left w:val="nil"/>
              <w:bottom w:val="nil"/>
              <w:right w:val="nil"/>
            </w:tcBorders>
            <w:tcMar>
              <w:top w:w="0" w:type="dxa"/>
              <w:left w:w="62" w:type="dxa"/>
              <w:bottom w:w="0" w:type="dxa"/>
              <w:right w:w="62" w:type="dxa"/>
            </w:tcMar>
          </w:tcPr>
          <w:p w:rsidR="00000000" w:rsidRPr="00D500EB" w:rsidP="00D500EB">
            <w:pPr>
              <w:pStyle w:val="BodyText"/>
            </w:pPr>
            <w:r w:rsidRPr="00D500EB">
              <w:rPr>
                <w:rStyle w:val="SpecialBold"/>
              </w:rPr>
              <w:t>ELEMENT</w:t>
            </w:r>
          </w:p>
        </w:tc>
        <w:tc>
          <w:tcPr>
            <w:tcW w:w="5763" w:type="dxa"/>
            <w:gridSpan w:val="2"/>
            <w:tcBorders>
              <w:top w:val="nil"/>
              <w:left w:val="nil"/>
              <w:bottom w:val="nil"/>
              <w:right w:val="nil"/>
            </w:tcBorders>
            <w:tcMar>
              <w:top w:w="0" w:type="dxa"/>
              <w:left w:w="62" w:type="dxa"/>
              <w:bottom w:w="0" w:type="dxa"/>
              <w:right w:w="62" w:type="dxa"/>
            </w:tcMar>
          </w:tcPr>
          <w:p w:rsidR="00000000" w:rsidP="00D500EB">
            <w:pPr>
              <w:pStyle w:val="BodyText"/>
              <w:rPr>
                <w:lang w:val="en-NZ"/>
              </w:rPr>
            </w:pPr>
            <w:r w:rsidRPr="00D500EB">
              <w:rPr>
                <w:rStyle w:val="SpecialBold"/>
              </w:rPr>
              <w:t>PERFORMANCE CRITERIA</w:t>
            </w:r>
          </w:p>
        </w:tc>
      </w:tr>
      <w:tr w:rsidTr="00B66D43">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D500EB">
            <w:pPr>
              <w:pStyle w:val="BodyText"/>
              <w:rPr>
                <w:lang w:val="en-NZ"/>
              </w:rPr>
            </w:pPr>
            <w:r w:rsidRPr="00D500EB">
              <w:t>1</w:t>
            </w:r>
          </w:p>
        </w:tc>
        <w:tc>
          <w:tcPr>
            <w:tcW w:w="2294" w:type="dxa"/>
            <w:vMerge w:val="restart"/>
            <w:tcBorders>
              <w:top w:val="nil"/>
              <w:left w:val="nil"/>
              <w:bottom w:val="nil"/>
              <w:right w:val="nil"/>
            </w:tcBorders>
            <w:tcMar>
              <w:top w:w="0" w:type="dxa"/>
              <w:left w:w="62" w:type="dxa"/>
              <w:bottom w:w="0" w:type="dxa"/>
              <w:right w:w="62" w:type="dxa"/>
            </w:tcMar>
          </w:tcPr>
          <w:p w:rsidR="00000000" w:rsidP="00D500EB">
            <w:pPr>
              <w:pStyle w:val="BodyText"/>
              <w:rPr>
                <w:lang w:val="en-NZ"/>
              </w:rPr>
            </w:pPr>
            <w:r w:rsidRPr="00D500EB">
              <w:t>Prepare to attend breakdown.</w:t>
            </w:r>
          </w:p>
        </w:tc>
        <w:tc>
          <w:tcPr>
            <w:tcW w:w="900" w:type="dxa"/>
            <w:tcBorders>
              <w:top w:val="nil"/>
              <w:left w:val="nil"/>
              <w:bottom w:val="nil"/>
              <w:right w:val="nil"/>
            </w:tcBorders>
            <w:tcMar>
              <w:top w:w="0" w:type="dxa"/>
              <w:left w:w="62" w:type="dxa"/>
              <w:bottom w:w="0" w:type="dxa"/>
              <w:right w:w="62" w:type="dxa"/>
            </w:tcMar>
          </w:tcPr>
          <w:p w:rsidR="00000000" w:rsidP="00D500EB">
            <w:pPr>
              <w:pStyle w:val="BodyText"/>
              <w:rPr>
                <w:lang w:val="en-NZ"/>
              </w:rPr>
            </w:pPr>
            <w:r w:rsidRPr="00D500EB">
              <w:t>1.1</w:t>
            </w:r>
          </w:p>
        </w:tc>
        <w:tc>
          <w:tcPr>
            <w:tcW w:w="4863" w:type="dxa"/>
            <w:tcBorders>
              <w:top w:val="nil"/>
              <w:left w:val="nil"/>
              <w:bottom w:val="nil"/>
              <w:right w:val="nil"/>
            </w:tcBorders>
            <w:tcMar>
              <w:top w:w="0" w:type="dxa"/>
              <w:left w:w="62" w:type="dxa"/>
              <w:bottom w:w="0" w:type="dxa"/>
              <w:right w:w="62" w:type="dxa"/>
            </w:tcMar>
          </w:tcPr>
          <w:p w:rsidR="00000000" w:rsidP="00D500EB">
            <w:pPr>
              <w:pStyle w:val="BodyText"/>
              <w:rPr>
                <w:lang w:val="en-NZ"/>
              </w:rPr>
            </w:pPr>
            <w:r w:rsidRPr="00D500EB">
              <w:t>Nature of the breakdown is confirmed with appropriate personnel to establish the need to enter the hazardous area.</w:t>
            </w:r>
          </w:p>
        </w:tc>
      </w:tr>
      <w:tr w:rsidTr="00B66D43">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500EB">
            <w:pPr>
              <w:pStyle w:val="BodyText"/>
              <w:rPr>
                <w:lang w:val="en-NZ"/>
              </w:rPr>
            </w:pPr>
            <w:r w:rsidRPr="00D500EB">
              <w:t>1.2</w:t>
            </w:r>
          </w:p>
        </w:tc>
        <w:tc>
          <w:tcPr>
            <w:tcW w:w="4863" w:type="dxa"/>
            <w:tcBorders>
              <w:top w:val="nil"/>
              <w:left w:val="nil"/>
              <w:bottom w:val="nil"/>
              <w:right w:val="nil"/>
            </w:tcBorders>
            <w:tcMar>
              <w:top w:w="0" w:type="dxa"/>
              <w:left w:w="62" w:type="dxa"/>
              <w:bottom w:w="0" w:type="dxa"/>
              <w:right w:w="62" w:type="dxa"/>
            </w:tcMar>
          </w:tcPr>
          <w:p w:rsidR="00000000" w:rsidP="00D500EB">
            <w:pPr>
              <w:pStyle w:val="BodyText"/>
              <w:rPr>
                <w:lang w:val="en-NZ"/>
              </w:rPr>
            </w:pPr>
            <w:r w:rsidRPr="00D500EB">
              <w:t>Maintenance records of equipment related to the reported breakdown are review for possible causes.</w:t>
            </w:r>
          </w:p>
        </w:tc>
      </w:tr>
      <w:tr w:rsidTr="00B66D43">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500EB">
            <w:pPr>
              <w:pStyle w:val="BodyText"/>
              <w:rPr>
                <w:lang w:val="en-NZ"/>
              </w:rPr>
            </w:pPr>
            <w:r w:rsidRPr="00D500EB">
              <w:t>1.3</w:t>
            </w:r>
          </w:p>
        </w:tc>
        <w:tc>
          <w:tcPr>
            <w:tcW w:w="4863" w:type="dxa"/>
            <w:tcBorders>
              <w:top w:val="nil"/>
              <w:left w:val="nil"/>
              <w:bottom w:val="nil"/>
              <w:right w:val="nil"/>
            </w:tcBorders>
            <w:tcMar>
              <w:top w:w="0" w:type="dxa"/>
              <w:left w:w="62" w:type="dxa"/>
              <w:bottom w:w="0" w:type="dxa"/>
              <w:right w:w="62" w:type="dxa"/>
            </w:tcMar>
          </w:tcPr>
          <w:p w:rsidR="00000000" w:rsidP="00D500EB">
            <w:pPr>
              <w:pStyle w:val="BodyText"/>
              <w:rPr>
                <w:lang w:val="en-NZ"/>
              </w:rPr>
            </w:pPr>
            <w:r w:rsidRPr="00D500EB">
              <w:t>Safety to enter the hazardous area is established in accordance with established procedures and relevant clearance to do the work is obtained.</w:t>
            </w:r>
          </w:p>
        </w:tc>
      </w:tr>
      <w:tr w:rsidTr="00B66D43">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500EB">
            <w:pPr>
              <w:pStyle w:val="BodyText"/>
              <w:rPr>
                <w:lang w:val="en-NZ"/>
              </w:rPr>
            </w:pPr>
            <w:r w:rsidRPr="00D500EB">
              <w:t>1.4</w:t>
            </w:r>
          </w:p>
        </w:tc>
        <w:tc>
          <w:tcPr>
            <w:tcW w:w="4863" w:type="dxa"/>
            <w:tcBorders>
              <w:top w:val="nil"/>
              <w:left w:val="nil"/>
              <w:bottom w:val="nil"/>
              <w:right w:val="nil"/>
            </w:tcBorders>
            <w:tcMar>
              <w:top w:w="0" w:type="dxa"/>
              <w:left w:w="62" w:type="dxa"/>
              <w:bottom w:w="0" w:type="dxa"/>
              <w:right w:w="62" w:type="dxa"/>
            </w:tcMar>
          </w:tcPr>
          <w:p w:rsidR="00000000" w:rsidP="00D500EB">
            <w:pPr>
              <w:pStyle w:val="BodyText"/>
              <w:rPr>
                <w:lang w:val="en-NZ"/>
              </w:rPr>
            </w:pPr>
            <w:r w:rsidRPr="00D500EB">
              <w:t>Testing devices and tools, anticipated as being needed for the work, are obtained and checked for cor</w:t>
            </w:r>
            <w:r w:rsidRPr="00D500EB">
              <w:t>rect operation and safety.</w:t>
            </w:r>
          </w:p>
        </w:tc>
      </w:tr>
      <w:tr w:rsidTr="00B66D43">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D500EB">
            <w:pPr>
              <w:pStyle w:val="BodyText"/>
              <w:rPr>
                <w:lang w:val="en-NZ"/>
              </w:rPr>
            </w:pPr>
            <w:r w:rsidRPr="00D500EB">
              <w:t>2</w:t>
            </w:r>
          </w:p>
        </w:tc>
        <w:tc>
          <w:tcPr>
            <w:tcW w:w="2294" w:type="dxa"/>
            <w:vMerge w:val="restart"/>
            <w:tcBorders>
              <w:top w:val="nil"/>
              <w:left w:val="nil"/>
              <w:bottom w:val="nil"/>
              <w:right w:val="nil"/>
            </w:tcBorders>
            <w:tcMar>
              <w:top w:w="0" w:type="dxa"/>
              <w:left w:w="62" w:type="dxa"/>
              <w:bottom w:w="0" w:type="dxa"/>
              <w:right w:w="62" w:type="dxa"/>
            </w:tcMar>
          </w:tcPr>
          <w:p w:rsidR="00000000" w:rsidP="00D500EB">
            <w:pPr>
              <w:pStyle w:val="BodyText"/>
              <w:rPr>
                <w:lang w:val="en-NZ"/>
              </w:rPr>
            </w:pPr>
            <w:r w:rsidRPr="00D500EB">
              <w:t>Evaluate extent of work.</w:t>
            </w:r>
          </w:p>
        </w:tc>
        <w:tc>
          <w:tcPr>
            <w:tcW w:w="900" w:type="dxa"/>
            <w:tcBorders>
              <w:top w:val="nil"/>
              <w:left w:val="nil"/>
              <w:bottom w:val="nil"/>
              <w:right w:val="nil"/>
            </w:tcBorders>
            <w:tcMar>
              <w:top w:w="0" w:type="dxa"/>
              <w:left w:w="62" w:type="dxa"/>
              <w:bottom w:w="0" w:type="dxa"/>
              <w:right w:w="62" w:type="dxa"/>
            </w:tcMar>
          </w:tcPr>
          <w:p w:rsidR="00000000" w:rsidP="00D500EB">
            <w:pPr>
              <w:pStyle w:val="BodyText"/>
              <w:rPr>
                <w:lang w:val="en-NZ"/>
              </w:rPr>
            </w:pPr>
            <w:r w:rsidRPr="00D500EB">
              <w:t>2.1</w:t>
            </w:r>
          </w:p>
        </w:tc>
        <w:tc>
          <w:tcPr>
            <w:tcW w:w="4863" w:type="dxa"/>
            <w:tcBorders>
              <w:top w:val="nil"/>
              <w:left w:val="nil"/>
              <w:bottom w:val="nil"/>
              <w:right w:val="nil"/>
            </w:tcBorders>
            <w:tcMar>
              <w:top w:w="0" w:type="dxa"/>
              <w:left w:w="62" w:type="dxa"/>
              <w:bottom w:w="0" w:type="dxa"/>
              <w:right w:w="62" w:type="dxa"/>
            </w:tcMar>
          </w:tcPr>
          <w:p w:rsidR="00000000" w:rsidP="00D500EB">
            <w:pPr>
              <w:pStyle w:val="BodyText"/>
              <w:rPr>
                <w:lang w:val="en-NZ"/>
              </w:rPr>
            </w:pPr>
            <w:r w:rsidRPr="00D500EB">
              <w:t>OHS policies and procedures for working in a hazardous area are followed.</w:t>
            </w:r>
          </w:p>
        </w:tc>
      </w:tr>
      <w:tr w:rsidTr="00B66D43">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500EB">
            <w:pPr>
              <w:pStyle w:val="BodyText"/>
              <w:rPr>
                <w:lang w:val="en-NZ"/>
              </w:rPr>
            </w:pPr>
            <w:r w:rsidRPr="00D500EB">
              <w:t>2.2</w:t>
            </w:r>
          </w:p>
        </w:tc>
        <w:tc>
          <w:tcPr>
            <w:tcW w:w="4863" w:type="dxa"/>
            <w:tcBorders>
              <w:top w:val="nil"/>
              <w:left w:val="nil"/>
              <w:bottom w:val="nil"/>
              <w:right w:val="nil"/>
            </w:tcBorders>
            <w:tcMar>
              <w:top w:w="0" w:type="dxa"/>
              <w:left w:w="62" w:type="dxa"/>
              <w:bottom w:w="0" w:type="dxa"/>
              <w:right w:w="62" w:type="dxa"/>
            </w:tcMar>
          </w:tcPr>
          <w:p w:rsidR="00000000" w:rsidP="00D500EB">
            <w:pPr>
              <w:pStyle w:val="BodyText"/>
              <w:rPr>
                <w:lang w:val="en-NZ"/>
              </w:rPr>
            </w:pPr>
            <w:r w:rsidRPr="00D500EB">
              <w:t>Extent of breakdown is evaluated and confirmed with appropriate personnel.</w:t>
            </w:r>
          </w:p>
        </w:tc>
      </w:tr>
      <w:tr w:rsidTr="00B66D43">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500EB">
            <w:pPr>
              <w:pStyle w:val="BodyText"/>
              <w:rPr>
                <w:lang w:val="en-NZ"/>
              </w:rPr>
            </w:pPr>
            <w:r w:rsidRPr="00D500EB">
              <w:t>2.3</w:t>
            </w:r>
          </w:p>
        </w:tc>
        <w:tc>
          <w:tcPr>
            <w:tcW w:w="4863" w:type="dxa"/>
            <w:tcBorders>
              <w:top w:val="nil"/>
              <w:left w:val="nil"/>
              <w:bottom w:val="nil"/>
              <w:right w:val="nil"/>
            </w:tcBorders>
            <w:tcMar>
              <w:top w:w="0" w:type="dxa"/>
              <w:left w:w="62" w:type="dxa"/>
              <w:bottom w:w="0" w:type="dxa"/>
              <w:right w:w="62" w:type="dxa"/>
            </w:tcMar>
          </w:tcPr>
          <w:p w:rsidR="00000000" w:rsidP="00D500EB">
            <w:pPr>
              <w:pStyle w:val="BodyText"/>
              <w:rPr>
                <w:lang w:val="en-NZ"/>
              </w:rPr>
            </w:pPr>
            <w:r w:rsidRPr="00D500EB">
              <w:t>Other personnel required to determine cause and rectify breakdown is ascertained from available evidence and arrangements made for their attendance where applicable.</w:t>
            </w:r>
          </w:p>
        </w:tc>
      </w:tr>
      <w:tr w:rsidTr="00B66D43">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500EB">
            <w:pPr>
              <w:pStyle w:val="BodyText"/>
              <w:rPr>
                <w:lang w:val="en-NZ"/>
              </w:rPr>
            </w:pPr>
            <w:r w:rsidRPr="00D500EB">
              <w:t>2.4</w:t>
            </w:r>
          </w:p>
        </w:tc>
        <w:tc>
          <w:tcPr>
            <w:tcW w:w="4863" w:type="dxa"/>
            <w:tcBorders>
              <w:top w:val="nil"/>
              <w:left w:val="nil"/>
              <w:bottom w:val="nil"/>
              <w:right w:val="nil"/>
            </w:tcBorders>
            <w:tcMar>
              <w:top w:w="0" w:type="dxa"/>
              <w:left w:w="62" w:type="dxa"/>
              <w:bottom w:w="0" w:type="dxa"/>
              <w:right w:w="62" w:type="dxa"/>
            </w:tcMar>
          </w:tcPr>
          <w:p w:rsidR="00000000" w:rsidP="00D500EB">
            <w:pPr>
              <w:pStyle w:val="BodyText"/>
              <w:rPr>
                <w:lang w:val="en-NZ"/>
              </w:rPr>
            </w:pPr>
            <w:r w:rsidRPr="00D500EB">
              <w:t>Exte</w:t>
            </w:r>
            <w:r w:rsidRPr="00D500EB">
              <w:t>nt of repair work is ascertained from available evidence and confirmed with appropriate personnel.</w:t>
            </w:r>
          </w:p>
        </w:tc>
      </w:tr>
      <w:tr w:rsidTr="00B66D43">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500EB">
            <w:pPr>
              <w:pStyle w:val="BodyText"/>
              <w:rPr>
                <w:lang w:val="en-NZ"/>
              </w:rPr>
            </w:pPr>
            <w:r w:rsidRPr="00D500EB">
              <w:t>2.5</w:t>
            </w:r>
          </w:p>
        </w:tc>
        <w:tc>
          <w:tcPr>
            <w:tcW w:w="4863" w:type="dxa"/>
            <w:tcBorders>
              <w:top w:val="nil"/>
              <w:left w:val="nil"/>
              <w:bottom w:val="nil"/>
              <w:right w:val="nil"/>
            </w:tcBorders>
            <w:tcMar>
              <w:top w:w="0" w:type="dxa"/>
              <w:left w:w="62" w:type="dxa"/>
              <w:bottom w:w="0" w:type="dxa"/>
              <w:right w:w="62" w:type="dxa"/>
            </w:tcMar>
          </w:tcPr>
          <w:p w:rsidR="00000000" w:rsidP="00D500EB">
            <w:pPr>
              <w:pStyle w:val="BodyText"/>
              <w:rPr>
                <w:lang w:val="en-NZ"/>
              </w:rPr>
            </w:pPr>
            <w:r w:rsidRPr="00D500EB">
              <w:t>Limits of repair work that can be carried out in-situ are established with regards to explosion risk and in accordance with established procedures and</w:t>
            </w:r>
            <w:r w:rsidRPr="00D500EB">
              <w:t xml:space="preserve"> requirements.</w:t>
            </w:r>
          </w:p>
        </w:tc>
      </w:tr>
      <w:tr w:rsidTr="00B66D43">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D500EB">
            <w:pPr>
              <w:pStyle w:val="BodyText"/>
              <w:rPr>
                <w:lang w:val="en-NZ"/>
              </w:rPr>
            </w:pPr>
            <w:r w:rsidRPr="00D500EB">
              <w:t>3</w:t>
            </w:r>
          </w:p>
        </w:tc>
        <w:tc>
          <w:tcPr>
            <w:tcW w:w="2294" w:type="dxa"/>
            <w:vMerge w:val="restart"/>
            <w:tcBorders>
              <w:top w:val="nil"/>
              <w:left w:val="nil"/>
              <w:bottom w:val="nil"/>
              <w:right w:val="nil"/>
            </w:tcBorders>
            <w:tcMar>
              <w:top w:w="0" w:type="dxa"/>
              <w:left w:w="62" w:type="dxa"/>
              <w:bottom w:w="0" w:type="dxa"/>
              <w:right w:w="62" w:type="dxa"/>
            </w:tcMar>
          </w:tcPr>
          <w:p w:rsidR="00000000" w:rsidP="00D500EB">
            <w:pPr>
              <w:pStyle w:val="BodyText"/>
              <w:rPr>
                <w:lang w:val="en-NZ"/>
              </w:rPr>
            </w:pPr>
            <w:r w:rsidRPr="00D500EB">
              <w:t>Arrange repair work.</w:t>
            </w:r>
          </w:p>
        </w:tc>
        <w:tc>
          <w:tcPr>
            <w:tcW w:w="900" w:type="dxa"/>
            <w:tcBorders>
              <w:top w:val="nil"/>
              <w:left w:val="nil"/>
              <w:bottom w:val="nil"/>
              <w:right w:val="nil"/>
            </w:tcBorders>
            <w:tcMar>
              <w:top w:w="0" w:type="dxa"/>
              <w:left w:w="62" w:type="dxa"/>
              <w:bottom w:w="0" w:type="dxa"/>
              <w:right w:w="62" w:type="dxa"/>
            </w:tcMar>
          </w:tcPr>
          <w:p w:rsidR="00000000" w:rsidP="00D500EB">
            <w:pPr>
              <w:pStyle w:val="BodyText"/>
              <w:rPr>
                <w:lang w:val="en-NZ"/>
              </w:rPr>
            </w:pPr>
            <w:r w:rsidRPr="00D500EB">
              <w:t>3.1</w:t>
            </w:r>
          </w:p>
        </w:tc>
        <w:tc>
          <w:tcPr>
            <w:tcW w:w="4863" w:type="dxa"/>
            <w:tcBorders>
              <w:top w:val="nil"/>
              <w:left w:val="nil"/>
              <w:bottom w:val="nil"/>
              <w:right w:val="nil"/>
            </w:tcBorders>
            <w:tcMar>
              <w:top w:w="0" w:type="dxa"/>
              <w:left w:w="62" w:type="dxa"/>
              <w:bottom w:w="0" w:type="dxa"/>
              <w:right w:w="62" w:type="dxa"/>
            </w:tcMar>
          </w:tcPr>
          <w:p w:rsidR="00000000" w:rsidP="00D500EB">
            <w:pPr>
              <w:pStyle w:val="BodyText"/>
              <w:rPr>
                <w:lang w:val="en-NZ"/>
              </w:rPr>
            </w:pPr>
            <w:r w:rsidRPr="00D500EB">
              <w:t>Equipment is isolated in accordance with established procedures.</w:t>
            </w:r>
          </w:p>
        </w:tc>
      </w:tr>
      <w:tr w:rsidTr="00B66D43">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500EB">
            <w:pPr>
              <w:pStyle w:val="BodyText"/>
              <w:rPr>
                <w:lang w:val="en-NZ"/>
              </w:rPr>
            </w:pPr>
            <w:r w:rsidRPr="00D500EB">
              <w:t>3.2</w:t>
            </w:r>
          </w:p>
        </w:tc>
        <w:tc>
          <w:tcPr>
            <w:tcW w:w="4863" w:type="dxa"/>
            <w:tcBorders>
              <w:top w:val="nil"/>
              <w:left w:val="nil"/>
              <w:bottom w:val="nil"/>
              <w:right w:val="nil"/>
            </w:tcBorders>
            <w:tcMar>
              <w:top w:w="0" w:type="dxa"/>
              <w:left w:w="62" w:type="dxa"/>
              <w:bottom w:w="0" w:type="dxa"/>
              <w:right w:w="62" w:type="dxa"/>
            </w:tcMar>
          </w:tcPr>
          <w:p w:rsidR="00000000" w:rsidP="00D500EB">
            <w:pPr>
              <w:pStyle w:val="BodyText"/>
              <w:rPr>
                <w:lang w:val="en-NZ"/>
              </w:rPr>
            </w:pPr>
            <w:r w:rsidRPr="00D500EB">
              <w:t>Circuits of equipment being withdrawn from service are terminated or isolated safely and in manner approved for the classification of the area.</w:t>
            </w:r>
          </w:p>
        </w:tc>
      </w:tr>
      <w:tr w:rsidTr="00B66D43">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500EB">
            <w:pPr>
              <w:pStyle w:val="BodyText"/>
              <w:rPr>
                <w:lang w:val="en-NZ"/>
              </w:rPr>
            </w:pPr>
            <w:r w:rsidRPr="00D500EB">
              <w:t>3.3</w:t>
            </w:r>
          </w:p>
        </w:tc>
        <w:tc>
          <w:tcPr>
            <w:tcW w:w="4863" w:type="dxa"/>
            <w:tcBorders>
              <w:top w:val="nil"/>
              <w:left w:val="nil"/>
              <w:bottom w:val="nil"/>
              <w:right w:val="nil"/>
            </w:tcBorders>
            <w:tcMar>
              <w:top w:w="0" w:type="dxa"/>
              <w:left w:w="62" w:type="dxa"/>
              <w:bottom w:w="0" w:type="dxa"/>
              <w:right w:w="62" w:type="dxa"/>
            </w:tcMar>
          </w:tcPr>
          <w:p w:rsidR="00000000" w:rsidP="00D500EB">
            <w:pPr>
              <w:pStyle w:val="BodyText"/>
              <w:rPr>
                <w:lang w:val="en-NZ"/>
              </w:rPr>
            </w:pPr>
            <w:r w:rsidRPr="00D500EB">
              <w:t xml:space="preserve">Certification documentation for replacement equipment is sighted to ensure that it is identical with the </w:t>
            </w:r>
            <w:r w:rsidRPr="00D500EB">
              <w:t>equipment it replaces and is in accordance with the explosion-protection system design.</w:t>
            </w:r>
          </w:p>
        </w:tc>
      </w:tr>
      <w:tr w:rsidTr="00B66D43">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500EB">
            <w:pPr>
              <w:pStyle w:val="BodyText"/>
              <w:rPr>
                <w:lang w:val="en-NZ"/>
              </w:rPr>
            </w:pPr>
            <w:r w:rsidRPr="00D500EB">
              <w:t>3.4</w:t>
            </w:r>
          </w:p>
        </w:tc>
        <w:tc>
          <w:tcPr>
            <w:tcW w:w="4863" w:type="dxa"/>
            <w:tcBorders>
              <w:top w:val="nil"/>
              <w:left w:val="nil"/>
              <w:bottom w:val="nil"/>
              <w:right w:val="nil"/>
            </w:tcBorders>
            <w:tcMar>
              <w:top w:w="0" w:type="dxa"/>
              <w:left w:w="62" w:type="dxa"/>
              <w:bottom w:w="0" w:type="dxa"/>
              <w:right w:w="62" w:type="dxa"/>
            </w:tcMar>
          </w:tcPr>
          <w:p w:rsidR="00000000" w:rsidP="00D500EB">
            <w:pPr>
              <w:pStyle w:val="BodyText"/>
              <w:rPr>
                <w:lang w:val="en-NZ"/>
              </w:rPr>
            </w:pPr>
            <w:r w:rsidRPr="00D500EB">
              <w:t>Repair work carried out in-situ is done in accordance with established procedures and requirements.</w:t>
            </w:r>
          </w:p>
        </w:tc>
      </w:tr>
      <w:tr w:rsidTr="00B66D43">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D500EB">
            <w:pPr>
              <w:pStyle w:val="BodyText"/>
              <w:rPr>
                <w:lang w:val="en-NZ"/>
              </w:rPr>
            </w:pPr>
            <w:r w:rsidRPr="00D500EB">
              <w:t>4</w:t>
            </w:r>
          </w:p>
        </w:tc>
        <w:tc>
          <w:tcPr>
            <w:tcW w:w="2294" w:type="dxa"/>
            <w:tcBorders>
              <w:top w:val="nil"/>
              <w:left w:val="nil"/>
              <w:bottom w:val="nil"/>
              <w:right w:val="nil"/>
            </w:tcBorders>
            <w:tcMar>
              <w:top w:w="0" w:type="dxa"/>
              <w:left w:w="62" w:type="dxa"/>
              <w:bottom w:w="0" w:type="dxa"/>
              <w:right w:w="62" w:type="dxa"/>
            </w:tcMar>
          </w:tcPr>
          <w:p w:rsidR="00000000" w:rsidP="00D500EB">
            <w:pPr>
              <w:pStyle w:val="BodyText"/>
              <w:rPr>
                <w:lang w:val="en-NZ"/>
              </w:rPr>
            </w:pPr>
            <w:r w:rsidRPr="00D500EB">
              <w:t>Confirm completion of work.</w:t>
            </w:r>
          </w:p>
        </w:tc>
        <w:tc>
          <w:tcPr>
            <w:tcW w:w="900" w:type="dxa"/>
            <w:tcBorders>
              <w:top w:val="nil"/>
              <w:left w:val="nil"/>
              <w:bottom w:val="nil"/>
              <w:right w:val="nil"/>
            </w:tcBorders>
            <w:tcMar>
              <w:top w:w="0" w:type="dxa"/>
              <w:left w:w="62" w:type="dxa"/>
              <w:bottom w:w="0" w:type="dxa"/>
              <w:right w:w="62" w:type="dxa"/>
            </w:tcMar>
          </w:tcPr>
          <w:p w:rsidR="00000000" w:rsidP="00D500EB">
            <w:pPr>
              <w:pStyle w:val="BodyText"/>
              <w:rPr>
                <w:lang w:val="en-NZ"/>
              </w:rPr>
            </w:pPr>
            <w:r w:rsidRPr="00D500EB">
              <w:t>4.1</w:t>
            </w:r>
          </w:p>
        </w:tc>
        <w:tc>
          <w:tcPr>
            <w:tcW w:w="4863" w:type="dxa"/>
            <w:tcBorders>
              <w:top w:val="nil"/>
              <w:left w:val="nil"/>
              <w:bottom w:val="nil"/>
              <w:right w:val="nil"/>
            </w:tcBorders>
            <w:tcMar>
              <w:top w:w="0" w:type="dxa"/>
              <w:left w:w="62" w:type="dxa"/>
              <w:bottom w:w="0" w:type="dxa"/>
              <w:right w:w="62" w:type="dxa"/>
            </w:tcMar>
          </w:tcPr>
          <w:p w:rsidR="00000000" w:rsidP="00D500EB">
            <w:pPr>
              <w:pStyle w:val="BodyText"/>
              <w:rPr>
                <w:lang w:val="en-NZ"/>
              </w:rPr>
            </w:pPr>
            <w:r w:rsidRPr="00D500EB">
              <w:t>Explosion-protected equipment and systems are inspected and tested by appropriately qualified personnel after repairs are completed to ensure the integrity of the system.</w:t>
            </w:r>
          </w:p>
        </w:tc>
      </w:tr>
      <w:tr w:rsidTr="00B66D43">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500EB">
            <w:pPr>
              <w:pStyle w:val="BodyText"/>
              <w:rPr>
                <w:lang w:val="en-NZ"/>
              </w:rPr>
            </w:pPr>
            <w:r w:rsidRPr="00D500EB">
              <w:t>4.2</w:t>
            </w:r>
          </w:p>
        </w:tc>
        <w:tc>
          <w:tcPr>
            <w:tcW w:w="4863" w:type="dxa"/>
            <w:tcBorders>
              <w:top w:val="nil"/>
              <w:left w:val="nil"/>
              <w:bottom w:val="nil"/>
              <w:right w:val="nil"/>
            </w:tcBorders>
            <w:tcMar>
              <w:top w:w="0" w:type="dxa"/>
              <w:left w:w="62" w:type="dxa"/>
              <w:bottom w:w="0" w:type="dxa"/>
              <w:right w:w="62" w:type="dxa"/>
            </w:tcMar>
          </w:tcPr>
          <w:p w:rsidR="00000000" w:rsidRPr="00D500EB" w:rsidP="00D500EB">
            <w:pPr>
              <w:pStyle w:val="BodyText"/>
            </w:pPr>
            <w:r w:rsidRPr="00D500EB">
              <w:t>Appropriate personnel are notified of the completion of the repair work and de</w:t>
            </w:r>
            <w:r w:rsidRPr="00D500EB">
              <w:t>tails are documented in accordance with established procedures and requirements.</w:t>
            </w:r>
          </w:p>
        </w:tc>
      </w:tr>
    </w:tbl>
    <w:p w:rsidR="00B66D43" w:rsidP="00D500EB">
      <w:pPr>
        <w:pStyle w:val="BodyText"/>
      </w:pPr>
    </w:p>
    <w:p w:rsidR="00B66D43" w:rsidP="00D500EB">
      <w:pPr>
        <w:pStyle w:val="BodyText"/>
      </w:pPr>
    </w:p>
    <w:p w:rsidR="00000000" w:rsidRPr="00D500EB" w:rsidP="00D500EB">
      <w:pPr>
        <w:pStyle w:val="Heading1"/>
      </w:pPr>
      <w:bookmarkStart w:id="9" w:name="O_699616"/>
      <w:bookmarkEnd w:id="9"/>
      <w:r w:rsidRPr="00D500EB">
        <w:t>Required Skills and Knowledge</w:t>
      </w:r>
    </w:p>
    <w:tbl>
      <w:tblPr>
        <w:tblW w:w="0" w:type="auto"/>
        <w:tblLayout w:type="fixed"/>
        <w:tblCellMar>
          <w:left w:w="62" w:type="dxa"/>
          <w:right w:w="62" w:type="dxa"/>
        </w:tblCellMar>
        <w:tblLook w:val="0000"/>
      </w:tblPr>
      <w:tblGrid>
        <w:gridCol w:w="1440"/>
        <w:gridCol w:w="7020"/>
      </w:tblGrid>
      <w:tr w:rsidTr="00B66D43">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D500EB">
            <w:pPr>
              <w:pStyle w:val="BodyText"/>
              <w:rPr>
                <w:lang w:val="en-NZ"/>
              </w:rPr>
            </w:pPr>
            <w:r w:rsidRPr="00D500EB">
              <w:rPr>
                <w:rStyle w:val="SpecialBold"/>
              </w:rPr>
              <w:t>REQUIRED SKILLS AND KNOWLEDGE</w:t>
            </w:r>
          </w:p>
        </w:tc>
      </w:tr>
      <w:tr w:rsidTr="00B66D43">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D500EB">
            <w:pPr>
              <w:pStyle w:val="BodyText"/>
              <w:rPr>
                <w:lang w:val="en-NZ"/>
              </w:rPr>
            </w:pPr>
            <w:r w:rsidRPr="00D500EB">
              <w:rPr>
                <w:rStyle w:val="SpecialBold"/>
              </w:rPr>
              <w:t>7)</w:t>
            </w:r>
            <w:r w:rsidRPr="00D500EB">
              <w:t xml:space="preserve"> This describes the essential skills and knowledge and their level, required for this unit.</w:t>
            </w:r>
          </w:p>
        </w:tc>
      </w:tr>
      <w:tr w:rsidTr="00B66D43">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D500EB" w:rsidP="00D500EB">
            <w:pPr>
              <w:pStyle w:val="BodyText"/>
            </w:pPr>
            <w:r w:rsidRPr="00D500EB">
              <w:t>Evidence shall show that knowledge has been acquired of safe working practices and attending to breakdowns in hazardous areas.</w:t>
            </w:r>
          </w:p>
          <w:p w:rsidR="00000000" w:rsidP="00D500EB">
            <w:pPr>
              <w:pStyle w:val="BodyText"/>
              <w:rPr>
                <w:lang w:val="en-NZ"/>
              </w:rPr>
            </w:pPr>
            <w:r w:rsidRPr="00D500EB">
              <w:t>All knowledge and skills detailed in this unit should be contextualised to current industry practices and technologies.</w:t>
            </w:r>
          </w:p>
        </w:tc>
      </w:tr>
      <w:tr w:rsidTr="00B66D43">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rsidRPr="00D500EB" w:rsidP="00D500EB">
            <w:pPr>
              <w:pStyle w:val="BodyText"/>
            </w:pPr>
            <w:r w:rsidRPr="00D500EB">
              <w:rPr>
                <w:rStyle w:val="SpecialBold"/>
              </w:rPr>
              <w:t>KS01</w:t>
            </w:r>
            <w:r w:rsidRPr="00D500EB">
              <w:rPr>
                <w:rStyle w:val="SpecialBold"/>
              </w:rPr>
              <w:t>-EM019A</w:t>
            </w:r>
          </w:p>
        </w:tc>
        <w:tc>
          <w:tcPr>
            <w:tcW w:w="7020" w:type="dxa"/>
            <w:tcBorders>
              <w:top w:val="nil"/>
              <w:left w:val="nil"/>
              <w:bottom w:val="nil"/>
              <w:right w:val="nil"/>
            </w:tcBorders>
            <w:tcMar>
              <w:top w:w="0" w:type="dxa"/>
              <w:left w:w="62" w:type="dxa"/>
              <w:bottom w:w="0" w:type="dxa"/>
              <w:right w:w="62" w:type="dxa"/>
            </w:tcMar>
          </w:tcPr>
          <w:p w:rsidR="00000000" w:rsidP="00D500EB">
            <w:pPr>
              <w:pStyle w:val="BodyText"/>
              <w:rPr>
                <w:lang w:val="en-NZ"/>
              </w:rPr>
            </w:pPr>
            <w:r w:rsidRPr="00D500EB">
              <w:rPr>
                <w:rStyle w:val="SpecialBold"/>
              </w:rPr>
              <w:t>Explosion protection, certification and techniques</w:t>
            </w:r>
          </w:p>
        </w:tc>
      </w:tr>
      <w:tr w:rsidTr="00B66D43">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D500EB">
            <w:pPr>
              <w:pStyle w:val="BodyText"/>
              <w:rPr>
                <w:lang w:val="en-NZ"/>
              </w:rPr>
            </w:pPr>
            <w:r w:rsidRPr="00D500EB">
              <w:t>Evidence shall show an understanding of Ex certification schemes and techniques to accepted Standards to an extent indicated by the following aspects:</w:t>
            </w:r>
          </w:p>
        </w:tc>
      </w:tr>
      <w:tr w:rsidTr="00B66D43">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D500EB" w:rsidP="00D500EB">
            <w:pPr>
              <w:pStyle w:val="BodyText"/>
            </w:pPr>
            <w:r w:rsidRPr="00D500EB">
              <w:t>T1</w:t>
            </w:r>
            <w:r w:rsidRPr="00D500EB">
              <w:tab/>
              <w:t>Explosion-protection equipment —</w:t>
            </w:r>
            <w:r w:rsidRPr="00D500EB">
              <w:t xml:space="preserve"> Ex certification schemes encompassing:</w:t>
            </w:r>
          </w:p>
          <w:p w:rsidR="00000000" w:rsidRPr="00D500EB" w:rsidP="00D500EB">
            <w:pPr>
              <w:pStyle w:val="ListBullet2"/>
            </w:pPr>
            <w:r w:rsidRPr="00D500EB">
              <w:t>Purpose and scope of certification schemes.</w:t>
            </w:r>
          </w:p>
          <w:p w:rsidR="00000000" w:rsidRPr="00D500EB" w:rsidP="00D500EB">
            <w:pPr>
              <w:pStyle w:val="ListBullet2"/>
            </w:pPr>
            <w:r w:rsidRPr="00D500EB">
              <w:t>Schemes accepted in Australia and New Zealand.</w:t>
            </w:r>
          </w:p>
          <w:p w:rsidR="00000000" w:rsidRPr="00D500EB" w:rsidP="00D500EB">
            <w:pPr>
              <w:pStyle w:val="ListBullet2"/>
            </w:pPr>
            <w:r w:rsidRPr="00D500EB">
              <w:t>Schemes commonly used in countries other than Australia and New Zealand.</w:t>
            </w:r>
          </w:p>
          <w:p w:rsidR="00000000" w:rsidP="00D500EB">
            <w:pPr>
              <w:pStyle w:val="ListBullet2"/>
              <w:rPr>
                <w:lang w:val="en-NZ"/>
              </w:rPr>
            </w:pPr>
            <w:r w:rsidRPr="00D500EB">
              <w:t xml:space="preserve">Processes for having equipment certified under the </w:t>
            </w:r>
            <w:r w:rsidRPr="00D500EB">
              <w:t>acceptable Ex schemes — scheme procedures; quality management requirements; conformance testing and assessment; and requirements for ongoing certification.</w:t>
            </w:r>
          </w:p>
        </w:tc>
      </w:tr>
      <w:tr w:rsidTr="00B66D43">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D500EB" w:rsidP="00D500EB">
            <w:pPr>
              <w:pStyle w:val="BodyText"/>
            </w:pPr>
            <w:r w:rsidRPr="00D500EB">
              <w:t>T2</w:t>
            </w:r>
            <w:r w:rsidRPr="00D500EB">
              <w:tab/>
              <w:t>Flameproof (Ex ‘d’) explosion-protection technique encompassing:</w:t>
            </w:r>
          </w:p>
          <w:p w:rsidR="00000000" w:rsidRPr="00D500EB" w:rsidP="00D500EB">
            <w:pPr>
              <w:pStyle w:val="ListBullet2"/>
            </w:pPr>
            <w:r w:rsidRPr="00D500EB">
              <w:t>The purpose and characteristics of the design features of apparatus and circuits protected by the flameproof (Ex ‘d’) technique. (Examples of characteristics and design features are flame paths, integrity under pressure, pressure piling, and enclosure entr</w:t>
            </w:r>
            <w:r w:rsidRPr="00D500EB">
              <w:t>ies).</w:t>
            </w:r>
          </w:p>
          <w:p w:rsidR="00000000" w:rsidRPr="00D500EB" w:rsidP="00D500EB">
            <w:pPr>
              <w:pStyle w:val="ListBullet2"/>
            </w:pPr>
            <w:r w:rsidRPr="00D500EB">
              <w:t>Typical situations where the flameproof explosion-protection technique is used;</w:t>
            </w:r>
          </w:p>
          <w:p w:rsidR="00000000" w:rsidRPr="00D500EB" w:rsidP="00D500EB">
            <w:pPr>
              <w:pStyle w:val="ListBullet2"/>
            </w:pPr>
            <w:r w:rsidRPr="00D500EB">
              <w:t xml:space="preserve">Actions or conditions that would void the protection provided the Flameproof technique; </w:t>
            </w:r>
          </w:p>
          <w:p w:rsidR="00000000" w:rsidP="00D500EB">
            <w:pPr>
              <w:pStyle w:val="ListBullet2"/>
              <w:rPr>
                <w:lang w:val="en-NZ"/>
              </w:rPr>
            </w:pPr>
            <w:r w:rsidRPr="00D500EB">
              <w:t>The use of Standards in determining the requirements to which the installation of</w:t>
            </w:r>
            <w:r w:rsidRPr="00D500EB">
              <w:t xml:space="preserve"> flameproof explosion-protected apparatus shall comply.</w:t>
            </w:r>
          </w:p>
        </w:tc>
      </w:tr>
      <w:tr w:rsidTr="00B66D43">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D500EB" w:rsidP="00D500EB">
            <w:pPr>
              <w:pStyle w:val="BodyText"/>
            </w:pPr>
            <w:r w:rsidRPr="00D500EB">
              <w:t>T3</w:t>
            </w:r>
            <w:r w:rsidRPr="00D500EB">
              <w:tab/>
              <w:t>Increased safety (Ex ‘e’) explosion-protection technique encompassing:</w:t>
            </w:r>
          </w:p>
          <w:p w:rsidR="00000000" w:rsidRPr="00D500EB" w:rsidP="00D500EB">
            <w:pPr>
              <w:pStyle w:val="ListBullet2"/>
            </w:pPr>
            <w:r w:rsidRPr="00D500EB">
              <w:t>The purpose and characteristics of the design features of apparatus and circuits protected by the Increased safety (Ex ‘e’)</w:t>
            </w:r>
            <w:r w:rsidRPr="00D500EB">
              <w:t xml:space="preserve"> technique (Examples of characteristics and design features are temperature rise, maximum power dissipation, protection devices, certified components, creepage and clearance distances, absence of sparking contacts and enclosure entries).</w:t>
            </w:r>
          </w:p>
          <w:p w:rsidR="00000000" w:rsidRPr="00D500EB" w:rsidP="00D500EB">
            <w:pPr>
              <w:pStyle w:val="ListBullet2"/>
            </w:pPr>
            <w:r w:rsidRPr="00D500EB">
              <w:t>Typical situations</w:t>
            </w:r>
            <w:r w:rsidRPr="00D500EB">
              <w:t xml:space="preserve"> where the Increased safety explosion-protection technique is used;</w:t>
            </w:r>
          </w:p>
          <w:p w:rsidR="00000000" w:rsidRPr="00D500EB" w:rsidP="00D500EB">
            <w:pPr>
              <w:pStyle w:val="ListBullet2"/>
            </w:pPr>
            <w:r w:rsidRPr="00D500EB">
              <w:t xml:space="preserve">Actions or conditions that would void the protection provided the Increased safety technique; </w:t>
            </w:r>
          </w:p>
          <w:p w:rsidR="00000000" w:rsidP="00D500EB">
            <w:pPr>
              <w:pStyle w:val="ListBullet2"/>
              <w:rPr>
                <w:lang w:val="en-NZ"/>
              </w:rPr>
            </w:pPr>
            <w:r w:rsidRPr="00D500EB">
              <w:t>The use of Standards in determining the requirements to which the installation of Increased s</w:t>
            </w:r>
            <w:r w:rsidRPr="00D500EB">
              <w:t>afety explosion-protected apparatus shall comply.</w:t>
            </w:r>
          </w:p>
        </w:tc>
      </w:tr>
      <w:tr w:rsidTr="00B66D43">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D500EB" w:rsidP="00D500EB">
            <w:pPr>
              <w:pStyle w:val="BodyText"/>
            </w:pPr>
            <w:r w:rsidRPr="00D500EB">
              <w:t>T4</w:t>
            </w:r>
            <w:r w:rsidRPr="00D500EB">
              <w:tab/>
              <w:t>Non-sparking (Ex ‘n’) explosion-protection technique encompassing:</w:t>
            </w:r>
          </w:p>
          <w:p w:rsidR="00000000" w:rsidRPr="00D500EB" w:rsidP="00D500EB">
            <w:pPr>
              <w:pStyle w:val="ListBullet2"/>
            </w:pPr>
            <w:r w:rsidRPr="00D500EB">
              <w:t>The purpose and characteristics of the design features of apparatus and circuits protected by the Non-sparking (Ex ‘n’</w:t>
            </w:r>
            <w:r w:rsidRPr="00D500EB">
              <w:t>) technique (Examples of characteristics and design features are creepage and clearance distances and restricted breathing).</w:t>
            </w:r>
          </w:p>
          <w:p w:rsidR="00000000" w:rsidRPr="00D500EB" w:rsidP="00D500EB">
            <w:pPr>
              <w:pStyle w:val="ListBullet2"/>
            </w:pPr>
            <w:r w:rsidRPr="00D500EB">
              <w:t>Typical situations where the Non-sparking explosion-protection technique is used;</w:t>
            </w:r>
          </w:p>
          <w:p w:rsidR="00000000" w:rsidRPr="00D500EB" w:rsidP="00D500EB">
            <w:pPr>
              <w:pStyle w:val="ListBullet2"/>
            </w:pPr>
            <w:r w:rsidRPr="00D500EB">
              <w:t>Actions or conditions that would void the protect</w:t>
            </w:r>
            <w:r w:rsidRPr="00D500EB">
              <w:t>ion provided the Non-sparking technique; and</w:t>
            </w:r>
          </w:p>
          <w:p w:rsidR="00000000" w:rsidP="00D500EB">
            <w:pPr>
              <w:pStyle w:val="ListBullet2"/>
              <w:rPr>
                <w:lang w:val="en-NZ"/>
              </w:rPr>
            </w:pPr>
            <w:r w:rsidRPr="00D500EB">
              <w:t>The use of Standards in determining the requirements to which the installation of Non-sparking explosion-protected apparatus shall comply.</w:t>
            </w:r>
          </w:p>
        </w:tc>
      </w:tr>
      <w:tr w:rsidTr="00B66D43">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D500EB" w:rsidP="00D500EB">
            <w:pPr>
              <w:pStyle w:val="BodyText"/>
            </w:pPr>
            <w:r w:rsidRPr="00D500EB">
              <w:t>T5</w:t>
            </w:r>
            <w:r w:rsidRPr="00D500EB">
              <w:tab/>
              <w:t>Intrinsic safety (Ex ‘i’) explosion-protection technique encompassi</w:t>
            </w:r>
            <w:r w:rsidRPr="00D500EB">
              <w:t>ng:</w:t>
            </w:r>
          </w:p>
          <w:p w:rsidR="00000000" w:rsidRPr="00D500EB" w:rsidP="00D500EB">
            <w:pPr>
              <w:pStyle w:val="ListBullet2"/>
            </w:pPr>
            <w:r w:rsidRPr="00D500EB">
              <w:t>The purpose and characteristics of the design features of apparatus and circuits protected by the Intrinsic safety (Ex ‘i’) technique (Examples of characteristics and design features are field devices, cables, safe area devices, earthing, entity versu</w:t>
            </w:r>
            <w:r w:rsidRPr="00D500EB">
              <w:t>s integrated system concept, simple devices and interface devices and their parameters, segregation, infallible components, current and voltage limiting, creepage and clearance distances).</w:t>
            </w:r>
          </w:p>
          <w:p w:rsidR="00000000" w:rsidRPr="00D500EB" w:rsidP="00D500EB">
            <w:pPr>
              <w:pStyle w:val="ListBullet2"/>
            </w:pPr>
            <w:r w:rsidRPr="00D500EB">
              <w:t xml:space="preserve">Typical situations where the Intrinsic safety explosion-protection </w:t>
            </w:r>
            <w:r w:rsidRPr="00D500EB">
              <w:t>technique is used;</w:t>
            </w:r>
          </w:p>
          <w:p w:rsidR="00000000" w:rsidRPr="00D500EB" w:rsidP="00D500EB">
            <w:pPr>
              <w:pStyle w:val="ListBullet2"/>
            </w:pPr>
            <w:r w:rsidRPr="00D500EB">
              <w:t xml:space="preserve">Actions or conditions that would void the protection provided the Intrinsic safety; </w:t>
            </w:r>
          </w:p>
          <w:p w:rsidR="00000000" w:rsidP="00D500EB">
            <w:pPr>
              <w:pStyle w:val="ListBullet2"/>
              <w:rPr>
                <w:lang w:val="en-NZ"/>
              </w:rPr>
            </w:pPr>
            <w:r w:rsidRPr="00D500EB">
              <w:t>The use of Standards in determining the requirements to which the installation of Intrinsic safety explosion-protected apparatus shall comply.</w:t>
            </w:r>
          </w:p>
        </w:tc>
      </w:tr>
      <w:tr w:rsidTr="00B66D43">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D500EB" w:rsidP="00D500EB">
            <w:pPr>
              <w:pStyle w:val="BodyText"/>
            </w:pPr>
            <w:r w:rsidRPr="00D500EB">
              <w:t>T6</w:t>
            </w:r>
            <w:r w:rsidRPr="00D500EB">
              <w:tab/>
            </w:r>
            <w:r w:rsidRPr="00D500EB">
              <w:t>Pressurization (Ex ‘p’) explosion-protection technique encompassing:</w:t>
            </w:r>
          </w:p>
          <w:p w:rsidR="00000000" w:rsidRPr="00D500EB" w:rsidP="00D500EB">
            <w:pPr>
              <w:pStyle w:val="ListBullet2"/>
            </w:pPr>
            <w:r w:rsidRPr="00D500EB">
              <w:t>The purpose and characteristics of the design features of apparatus and circuits protected by the Pressurization (Ex ‘p’) technique (Examples of characteristics and design features are e</w:t>
            </w:r>
            <w:r w:rsidRPr="00D500EB">
              <w:t>xclusion and dilution; purge periods, controlled shut down, monitoring and sources of internal release).</w:t>
            </w:r>
          </w:p>
          <w:p w:rsidR="00000000" w:rsidRPr="00D500EB" w:rsidP="00D500EB">
            <w:pPr>
              <w:pStyle w:val="ListBullet2"/>
            </w:pPr>
            <w:r w:rsidRPr="00D500EB">
              <w:t>Typical situations where the pressurization explosion-protection technique is used;</w:t>
            </w:r>
          </w:p>
          <w:p w:rsidR="00000000" w:rsidRPr="00D500EB" w:rsidP="00D500EB">
            <w:pPr>
              <w:pStyle w:val="ListBullet2"/>
            </w:pPr>
            <w:r w:rsidRPr="00D500EB">
              <w:t>Actions or conditions that would void the protection provided the p</w:t>
            </w:r>
            <w:r w:rsidRPr="00D500EB">
              <w:t>ressurization technique;</w:t>
            </w:r>
          </w:p>
          <w:p w:rsidR="00000000" w:rsidP="00D500EB">
            <w:pPr>
              <w:pStyle w:val="ListBullet2"/>
              <w:rPr>
                <w:lang w:val="en-NZ"/>
              </w:rPr>
            </w:pPr>
            <w:r w:rsidRPr="00D500EB">
              <w:t>The use of Standards in determining the requirements to which the installation of pressurization explosion-protected apparatus shall comply.</w:t>
            </w:r>
          </w:p>
        </w:tc>
      </w:tr>
      <w:tr w:rsidTr="00B66D43">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D500EB" w:rsidP="00D500EB">
            <w:pPr>
              <w:pStyle w:val="BodyText"/>
            </w:pPr>
            <w:r w:rsidRPr="00D500EB">
              <w:t>T7</w:t>
            </w:r>
            <w:r w:rsidRPr="00D500EB">
              <w:tab/>
              <w:t>Enclosures for dusts (Ex ‘tD’) - explosion-protection technique encompassing:</w:t>
            </w:r>
          </w:p>
          <w:p w:rsidR="00000000" w:rsidRPr="00D500EB" w:rsidP="00D500EB">
            <w:pPr>
              <w:pStyle w:val="ListBullet2"/>
            </w:pPr>
            <w:r w:rsidRPr="00D500EB">
              <w:t>The pu</w:t>
            </w:r>
            <w:r w:rsidRPr="00D500EB">
              <w:t>rpose and characteristics of the design features of apparatus and circuits protected by the techniques for dusts (Examples of characteristics and design features are for enclosures; pressurization; encapsulation; and intrinsic safety).</w:t>
            </w:r>
          </w:p>
          <w:p w:rsidR="00000000" w:rsidRPr="00D500EB" w:rsidP="00D500EB">
            <w:pPr>
              <w:pStyle w:val="ListBullet2"/>
            </w:pPr>
            <w:r w:rsidRPr="00D500EB">
              <w:t>Typical situations w</w:t>
            </w:r>
            <w:r w:rsidRPr="00D500EB">
              <w:t>here the each dust explosion-protection technique is used;</w:t>
            </w:r>
          </w:p>
          <w:p w:rsidR="00000000" w:rsidRPr="00D500EB" w:rsidP="00D500EB">
            <w:pPr>
              <w:pStyle w:val="ListBullet2"/>
            </w:pPr>
            <w:r w:rsidRPr="00D500EB">
              <w:t xml:space="preserve">Actions or conditions that would void the protection provided the each dust technique; </w:t>
            </w:r>
          </w:p>
          <w:p w:rsidR="00000000" w:rsidP="00D500EB">
            <w:pPr>
              <w:pStyle w:val="ListBullet2"/>
              <w:rPr>
                <w:lang w:val="en-NZ"/>
              </w:rPr>
            </w:pPr>
            <w:r w:rsidRPr="00D500EB">
              <w:t>The use of Standards in determining the requirements to which the installation of dust explosion-protected ap</w:t>
            </w:r>
            <w:r w:rsidRPr="00D500EB">
              <w:t>paratus shall comply.</w:t>
            </w:r>
          </w:p>
        </w:tc>
      </w:tr>
      <w:tr w:rsidTr="00B66D43">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D500EB" w:rsidP="00D500EB">
            <w:pPr>
              <w:pStyle w:val="BodyText"/>
            </w:pPr>
            <w:r w:rsidRPr="00D500EB">
              <w:t>T8</w:t>
            </w:r>
            <w:r w:rsidRPr="00D500EB">
              <w:tab/>
              <w:t>Common characteristics of explosion-protection techniques encompassing:</w:t>
            </w:r>
          </w:p>
          <w:p w:rsidR="00000000" w:rsidRPr="00D500EB" w:rsidP="00D500EB">
            <w:pPr>
              <w:pStyle w:val="ListBullet2"/>
            </w:pPr>
            <w:r w:rsidRPr="00D500EB">
              <w:t>The purposes of ‘temperature classification’ and ‘gas grouping/apparatus grouping’.</w:t>
            </w:r>
          </w:p>
          <w:p w:rsidR="00000000" w:rsidRPr="00D500EB" w:rsidP="00D500EB">
            <w:pPr>
              <w:pStyle w:val="ListBullet2"/>
            </w:pPr>
            <w:r w:rsidRPr="00D500EB">
              <w:t>Compliance plate markings.</w:t>
            </w:r>
          </w:p>
          <w:p w:rsidR="00000000" w:rsidRPr="00D500EB" w:rsidP="00D500EB">
            <w:pPr>
              <w:pStyle w:val="ListBullet2"/>
            </w:pPr>
            <w:r w:rsidRPr="00D500EB">
              <w:t>Limitations of non-metallic or specific alloy enclosures.</w:t>
            </w:r>
          </w:p>
          <w:p w:rsidR="00000000" w:rsidRPr="00D500EB" w:rsidP="00D500EB">
            <w:pPr>
              <w:pStyle w:val="ListBullet2"/>
            </w:pPr>
            <w:r w:rsidRPr="00D500EB">
              <w:t>The purpose of conformity and certification/approval for equipment used in hazardous areas.</w:t>
            </w:r>
          </w:p>
          <w:p w:rsidR="00000000" w:rsidRPr="00D500EB" w:rsidP="00D500EB">
            <w:pPr>
              <w:pStyle w:val="ListBullet2"/>
            </w:pPr>
            <w:r w:rsidRPr="00D500EB">
              <w:t>Environmental conditions that may impact on explosion-protection techniques.</w:t>
            </w:r>
          </w:p>
          <w:p w:rsidR="00000000" w:rsidRPr="00D500EB" w:rsidP="00D500EB">
            <w:pPr>
              <w:pStyle w:val="ListBullet2"/>
            </w:pPr>
            <w:r w:rsidRPr="00D500EB">
              <w:t>The principles and applicatio</w:t>
            </w:r>
            <w:r w:rsidRPr="00D500EB">
              <w:t>ns of other and mixed explosion-protection techniques (Other techniques include encapsulation Ex ‘m’; oil-immersion Ex ‘o’; powder-filling Ex ‘q’, ventilation Ex ‘v’ and special protection Ex ‘s’).</w:t>
            </w:r>
          </w:p>
          <w:p w:rsidR="00000000" w:rsidRPr="00D500EB" w:rsidP="00D500EB">
            <w:pPr>
              <w:pStyle w:val="ListBullet2"/>
            </w:pPr>
            <w:r w:rsidRPr="00D500EB">
              <w:t>Features and purpose of conduit seals and cable terminatio</w:t>
            </w:r>
            <w:r w:rsidRPr="00D500EB">
              <w:t>n devices designed for use in hazardous areas (These include conduit seals and barrier and compression glands for cables with or without armouring, screening and/or drain wires).</w:t>
            </w:r>
          </w:p>
        </w:tc>
      </w:tr>
    </w:tbl>
    <w:p w:rsidR="00000000" w:rsidRPr="00D500EB" w:rsidP="00D500EB">
      <w:pPr>
        <w:pStyle w:val="BodyText"/>
      </w:pPr>
    </w:p>
    <w:p w:rsidR="00000000" w:rsidRPr="00D500EB" w:rsidP="00D500EB">
      <w:pPr>
        <w:pStyle w:val="AllowPageBreak"/>
      </w:pPr>
    </w:p>
    <w:p w:rsidR="00000000" w:rsidRPr="00D500EB" w:rsidP="00D500EB">
      <w:pPr>
        <w:pStyle w:val="Heading1"/>
      </w:pPr>
      <w:bookmarkStart w:id="10" w:name="O_699615"/>
      <w:bookmarkEnd w:id="10"/>
      <w:r w:rsidRPr="00D500EB">
        <w:t>Evidence Guide</w:t>
      </w:r>
    </w:p>
    <w:tbl>
      <w:tblPr>
        <w:tblW w:w="0" w:type="auto"/>
        <w:tblLayout w:type="fixed"/>
        <w:tblCellMar>
          <w:left w:w="62" w:type="dxa"/>
          <w:right w:w="62" w:type="dxa"/>
        </w:tblCellMar>
        <w:tblLook w:val="0000"/>
      </w:tblPr>
      <w:tblGrid>
        <w:gridCol w:w="2157"/>
        <w:gridCol w:w="720"/>
        <w:gridCol w:w="540"/>
        <w:gridCol w:w="5043"/>
      </w:tblGrid>
      <w:tr w:rsidTr="00B66D43">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D500EB">
            <w:pPr>
              <w:pStyle w:val="BodyText"/>
              <w:rPr>
                <w:lang w:val="en-NZ"/>
              </w:rPr>
            </w:pPr>
            <w:r w:rsidRPr="00D500EB">
              <w:rPr>
                <w:rStyle w:val="SpecialBold"/>
              </w:rPr>
              <w:t>EVIDENCE GUIDE</w:t>
            </w:r>
          </w:p>
        </w:tc>
      </w:tr>
      <w:tr w:rsidTr="00B66D43">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D500EB" w:rsidP="00D500EB">
            <w:pPr>
              <w:pStyle w:val="BodyText"/>
            </w:pPr>
            <w:r w:rsidRPr="00D500EB">
              <w:rPr>
                <w:rStyle w:val="SpecialBold"/>
              </w:rPr>
              <w:t>9</w:t>
            </w:r>
            <w:r w:rsidRPr="00D500EB">
              <w:t>) This provides essential advice for assessment of the unit and must be read in conjunction with the performance criteria and the range statement of the unit and the Training Package Assessment Guidelines.</w:t>
            </w:r>
          </w:p>
          <w:p w:rsidR="00000000" w:rsidP="00D500EB">
            <w:pPr>
              <w:pStyle w:val="BodyText"/>
              <w:rPr>
                <w:lang w:val="en-NZ"/>
              </w:rPr>
            </w:pPr>
            <w:r w:rsidRPr="00D500EB">
              <w:t xml:space="preserve">The Evidence Guide forms an integral part of this </w:t>
            </w:r>
            <w:r w:rsidRPr="00D500EB">
              <w:t>unit. It must be used in conjunction with all components parts of this unit and performed in accordance with the Assessment Guidelines of this Training Package.</w:t>
            </w:r>
          </w:p>
        </w:tc>
      </w:tr>
      <w:tr w:rsidTr="00B66D43">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RPr="00D500EB" w:rsidP="00D500EB">
            <w:pPr>
              <w:pStyle w:val="BodyText"/>
            </w:pPr>
            <w:r w:rsidRPr="00D500EB">
              <w:rPr>
                <w:rStyle w:val="SpecialBold"/>
              </w:rPr>
              <w:t>Overview of Assessment</w:t>
            </w:r>
          </w:p>
        </w:tc>
        <w:tc>
          <w:tcPr>
            <w:tcW w:w="6303" w:type="dxa"/>
            <w:gridSpan w:val="3"/>
            <w:tcBorders>
              <w:top w:val="nil"/>
              <w:left w:val="nil"/>
              <w:bottom w:val="nil"/>
              <w:right w:val="nil"/>
            </w:tcBorders>
            <w:tcMar>
              <w:top w:w="0" w:type="dxa"/>
              <w:left w:w="62" w:type="dxa"/>
              <w:bottom w:w="0" w:type="dxa"/>
              <w:right w:w="62" w:type="dxa"/>
            </w:tcMar>
          </w:tcPr>
          <w:p w:rsidR="00000000" w:rsidRPr="00D500EB" w:rsidP="00D500EB">
            <w:pPr>
              <w:pStyle w:val="BodyText"/>
            </w:pPr>
            <w:r w:rsidRPr="00D500EB">
              <w:rPr>
                <w:rStyle w:val="SpecialBold"/>
              </w:rPr>
              <w:t>9</w:t>
            </w:r>
            <w:r w:rsidRPr="00D500EB">
              <w:t>.</w:t>
            </w:r>
            <w:r w:rsidRPr="00D500EB">
              <w:rPr>
                <w:rStyle w:val="SpecialBold"/>
              </w:rPr>
              <w:t>1</w:t>
            </w:r>
            <w:r w:rsidRPr="00D500EB">
              <w:t xml:space="preserve">) </w:t>
            </w:r>
          </w:p>
          <w:p w:rsidR="00000000" w:rsidRPr="00D500EB" w:rsidP="00D500EB">
            <w:pPr>
              <w:pStyle w:val="BodyText"/>
            </w:pPr>
            <w:r w:rsidRPr="00D500EB">
              <w:t>Longitudinal competency development approaches to assessmen</w:t>
            </w:r>
            <w:r w:rsidRPr="00D500EB">
              <w:t>t, such as Profiling, require data to be reliably gathered in a form that can be consistently interpreted over time. This approach is best utilised in Apprenticeship programs and reduces assessment intervention. It is the industry-preferred model for appre</w:t>
            </w:r>
            <w:r w:rsidRPr="00D500EB">
              <w:t>nticeships. However, where summative (or final) assessment is used it is to include the application of the competency in the normal work environment or, at a minimum, the application of the competency in a realistically simulated work environment. It is re</w:t>
            </w:r>
            <w:r w:rsidRPr="00D500EB">
              <w:t>cognised that, in some circumstances, assessment in part or full can occur outside the workplace. However, it must be in accord with industry and regulatory policy.</w:t>
            </w:r>
          </w:p>
          <w:p w:rsidR="00000000" w:rsidRPr="00D500EB" w:rsidP="00D500EB">
            <w:pPr>
              <w:pStyle w:val="BodyText"/>
            </w:pPr>
            <w:r w:rsidRPr="00D500EB">
              <w:t>Methods chosen for a particular assessment will be influenced by various factors. These inc</w:t>
            </w:r>
            <w:r w:rsidRPr="00D500EB">
              <w:t>lude the extent of the assessment, the most effective locations for the assessment activities to take place, access to physical resources, additional safety measures that may be required and the critical nature of the competencies being assessed.</w:t>
            </w:r>
          </w:p>
          <w:p w:rsidR="00000000" w:rsidRPr="00D500EB" w:rsidP="00D500EB">
            <w:pPr>
              <w:pStyle w:val="BodyText"/>
            </w:pPr>
            <w:r w:rsidRPr="00D500EB">
              <w:t>The criti</w:t>
            </w:r>
            <w:r w:rsidRPr="00D500EB">
              <w:t>cal safety nature of working with electricity, electrical equipment, gas or any other hazardous substance/material carries risk in deeming a person competent. Sources of evidence need to be 'rich' in nature to minimise error in judgment.</w:t>
            </w:r>
          </w:p>
          <w:p w:rsidR="00000000" w:rsidP="00D500EB">
            <w:pPr>
              <w:pStyle w:val="BodyText"/>
              <w:rPr>
                <w:lang w:val="en-NZ"/>
              </w:rPr>
            </w:pPr>
            <w:r w:rsidRPr="00D500EB">
              <w:t>Activities associa</w:t>
            </w:r>
            <w:r w:rsidRPr="00D500EB">
              <w:t>ted with normal everyday work influence decisions about how/how much the data gathered will contribute to its 'richness'. Some skills are more critical to safety and operational requirements while the same skills may be more or less frequently practised. T</w:t>
            </w:r>
            <w:r w:rsidRPr="00D500EB">
              <w:t>hese points are raised for the assessors to consider when choosing an assessment method and developing assessment instruments. Sample assessment instruments are included for Assessors in the Assessment Guidelines of this Training Package.</w:t>
            </w:r>
          </w:p>
        </w:tc>
      </w:tr>
      <w:tr w:rsidTr="00B66D43">
        <w:tblPrEx>
          <w:tblW w:w="0" w:type="auto"/>
          <w:tblLayout w:type="fixed"/>
          <w:tblCellMar>
            <w:left w:w="62" w:type="dxa"/>
            <w:right w:w="62" w:type="dxa"/>
          </w:tblCellMar>
          <w:tblLook w:val="0000"/>
        </w:tblPrEx>
        <w:tc>
          <w:tcPr>
            <w:tcW w:w="2157" w:type="dxa"/>
            <w:vMerge w:val="restart"/>
            <w:tcBorders>
              <w:top w:val="nil"/>
              <w:left w:val="nil"/>
              <w:bottom w:val="nil"/>
              <w:right w:val="nil"/>
            </w:tcBorders>
            <w:tcMar>
              <w:top w:w="0" w:type="dxa"/>
              <w:left w:w="62" w:type="dxa"/>
              <w:bottom w:w="0" w:type="dxa"/>
              <w:right w:w="62" w:type="dxa"/>
            </w:tcMar>
          </w:tcPr>
          <w:p w:rsidR="00000000" w:rsidRPr="00D500EB" w:rsidP="00D500EB">
            <w:pPr>
              <w:pStyle w:val="BodyText"/>
            </w:pPr>
            <w:r w:rsidRPr="00D500EB">
              <w:rPr>
                <w:rStyle w:val="SpecialBold"/>
              </w:rPr>
              <w:t>Critical aspec</w:t>
            </w:r>
            <w:r w:rsidRPr="00D500EB">
              <w:rPr>
                <w:rStyle w:val="SpecialBold"/>
              </w:rPr>
              <w:t>ts of evidence required to demonstrate competency in this unit</w:t>
            </w:r>
          </w:p>
        </w:tc>
        <w:tc>
          <w:tcPr>
            <w:tcW w:w="6303" w:type="dxa"/>
            <w:gridSpan w:val="3"/>
            <w:tcBorders>
              <w:top w:val="nil"/>
              <w:left w:val="nil"/>
              <w:bottom w:val="nil"/>
              <w:right w:val="nil"/>
            </w:tcBorders>
            <w:tcMar>
              <w:top w:w="0" w:type="dxa"/>
              <w:left w:w="62" w:type="dxa"/>
              <w:bottom w:w="0" w:type="dxa"/>
              <w:right w:w="62" w:type="dxa"/>
            </w:tcMar>
          </w:tcPr>
          <w:p w:rsidR="00000000" w:rsidRPr="00D500EB" w:rsidP="00D500EB">
            <w:pPr>
              <w:pStyle w:val="BodyText"/>
            </w:pPr>
            <w:r w:rsidRPr="00D500EB">
              <w:rPr>
                <w:rStyle w:val="SpecialBold"/>
              </w:rPr>
              <w:t>9</w:t>
            </w:r>
            <w:r w:rsidRPr="00D500EB">
              <w:t>.</w:t>
            </w:r>
            <w:r w:rsidRPr="00D500EB">
              <w:rPr>
                <w:rStyle w:val="SpecialBold"/>
              </w:rPr>
              <w:t>2</w:t>
            </w:r>
            <w:r w:rsidRPr="00D500EB">
              <w:t xml:space="preserve">) </w:t>
            </w:r>
          </w:p>
          <w:p w:rsidR="00000000" w:rsidP="00D500EB">
            <w:pPr>
              <w:pStyle w:val="BodyText"/>
              <w:rPr>
                <w:lang w:val="en-NZ"/>
              </w:rPr>
            </w:pPr>
            <w:r w:rsidRPr="00D500EB">
              <w:t>Before the critical aspects of evidence are considered all prerequisites shall be met.</w:t>
            </w:r>
          </w:p>
        </w:tc>
      </w:tr>
      <w:tr w:rsidTr="00B66D43">
        <w:tblPrEx>
          <w:tblW w:w="0" w:type="auto"/>
          <w:tblLayout w:type="fixed"/>
          <w:tblCellMar>
            <w:left w:w="62" w:type="dxa"/>
            <w:right w:w="62" w:type="dxa"/>
          </w:tblCellMar>
          <w:tblLook w:val="0000"/>
        </w:tblPrEx>
        <w:tc>
          <w:tcPr>
            <w:tcW w:w="215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RPr="00D500EB" w:rsidP="00D500EB">
            <w:pPr>
              <w:pStyle w:val="BodyText"/>
            </w:pPr>
            <w:r w:rsidRPr="00D500EB">
              <w:t>Evidence for competence in this unit shall be considered holistically.  Each element and associa</w:t>
            </w:r>
            <w:r w:rsidRPr="00D500EB">
              <w:t>ted performance criteria must be demonstrated on at least two occasions in accordance with the 'Assessment Guidelines - UEE07'.  Evidence shall also comprise:</w:t>
            </w:r>
          </w:p>
          <w:p w:rsidR="00000000" w:rsidP="00D500EB">
            <w:pPr>
              <w:pStyle w:val="ListBullet"/>
              <w:rPr>
                <w:lang w:val="en-NZ"/>
              </w:rPr>
            </w:pPr>
            <w:r w:rsidRPr="00D500EB">
              <w:t xml:space="preserve">A representative body of work performance demonstrated within the timeframes typically </w:t>
            </w:r>
            <w:r w:rsidRPr="00D500EB">
              <w:t>expected of the discipline, work function and industrial environment. In particular this shall incorporate evidence that shows a candidate is able to:</w:t>
            </w:r>
          </w:p>
        </w:tc>
      </w:tr>
      <w:tr w:rsidTr="00B66D43">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P="00D500EB">
            <w:pPr>
              <w:pStyle w:val="BodyText"/>
              <w:rPr>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RPr="00D500EB" w:rsidP="00D500EB">
            <w:pPr>
              <w:pStyle w:val="ListBullet2"/>
            </w:pPr>
            <w:r w:rsidRPr="00D500EB">
              <w:t>Implement Occupational Health and Safety workplace procedures and practices, including the use of ri</w:t>
            </w:r>
            <w:r w:rsidRPr="00D500EB">
              <w:t xml:space="preserve">sk control measures as specified in the performance criteria and range statement </w:t>
            </w:r>
          </w:p>
          <w:p w:rsidR="00000000" w:rsidRPr="00D500EB" w:rsidP="00D500EB">
            <w:pPr>
              <w:pStyle w:val="ListBullet2"/>
            </w:pPr>
            <w:r w:rsidRPr="00D500EB">
              <w:t xml:space="preserve">Apply sustainable energy principles and practices as specified in the performance criteria and range statement </w:t>
            </w:r>
          </w:p>
          <w:p w:rsidR="00000000" w:rsidRPr="00D500EB" w:rsidP="00D500EB">
            <w:pPr>
              <w:pStyle w:val="ListBullet2"/>
            </w:pPr>
            <w:r w:rsidRPr="00D500EB">
              <w:t>Demonstrate an understanding of the essential knowledge and associated skills as described in this unit.  It may be required by some jurisdictions that RTOs provide a percentile graded result for the purpose of regulatory or licensing requirements.</w:t>
            </w:r>
          </w:p>
          <w:p w:rsidR="00000000" w:rsidRPr="00D500EB" w:rsidP="00D500EB">
            <w:pPr>
              <w:pStyle w:val="ListBullet2"/>
            </w:pPr>
            <w:r w:rsidRPr="00D500EB">
              <w:t>Demonst</w:t>
            </w:r>
            <w:r w:rsidRPr="00D500EB">
              <w:t>rate an appropriate level of skills enabling employment</w:t>
            </w:r>
          </w:p>
          <w:p w:rsidR="00000000" w:rsidP="00D500EB">
            <w:pPr>
              <w:pStyle w:val="ListBullet2"/>
              <w:rPr>
                <w:lang w:val="en-NZ"/>
              </w:rPr>
            </w:pPr>
            <w:r w:rsidRPr="00D500EB">
              <w:t>Conduct work observing the relevant Anti Discrimination legislation, regulations, polices and workplace procedures</w:t>
            </w:r>
          </w:p>
        </w:tc>
      </w:tr>
      <w:tr w:rsidTr="00B66D43">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P="00D500EB">
            <w:pPr>
              <w:pStyle w:val="BodyText"/>
              <w:rPr>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P="00D500EB">
            <w:pPr>
              <w:pStyle w:val="ListBullet"/>
              <w:rPr>
                <w:lang w:val="en-NZ"/>
              </w:rPr>
            </w:pPr>
            <w:r w:rsidRPr="00D500EB">
              <w:t>Demonstrated consistent performance across a representative range of contexts fr</w:t>
            </w:r>
            <w:r w:rsidRPr="00D500EB">
              <w:t>om the prescribed items below:</w:t>
            </w:r>
          </w:p>
        </w:tc>
      </w:tr>
      <w:tr w:rsidTr="00B66D43">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P="00D500EB">
            <w:pPr>
              <w:pStyle w:val="BodyText"/>
              <w:rPr>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P="00D500EB">
            <w:pPr>
              <w:pStyle w:val="ListBullet2"/>
              <w:rPr>
                <w:lang w:val="en-NZ"/>
              </w:rPr>
            </w:pPr>
            <w:r w:rsidRPr="00D500EB">
              <w:t>Attend to breakdowns in hazardous areas as described in 8) and including:</w:t>
            </w:r>
          </w:p>
        </w:tc>
      </w:tr>
      <w:tr w:rsidTr="00B66D43">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500EB">
            <w:pPr>
              <w:pStyle w:val="BodyText"/>
              <w:rPr>
                <w:lang w:val="en-NZ"/>
              </w:rPr>
            </w:pPr>
            <w:r w:rsidRPr="00D500EB">
              <w:t>A</w:t>
            </w:r>
          </w:p>
        </w:tc>
        <w:tc>
          <w:tcPr>
            <w:tcW w:w="5043" w:type="dxa"/>
            <w:tcBorders>
              <w:top w:val="nil"/>
              <w:left w:val="nil"/>
              <w:bottom w:val="nil"/>
              <w:right w:val="nil"/>
            </w:tcBorders>
            <w:tcMar>
              <w:top w:w="0" w:type="dxa"/>
              <w:left w:w="62" w:type="dxa"/>
              <w:bottom w:w="0" w:type="dxa"/>
              <w:right w:w="62" w:type="dxa"/>
            </w:tcMar>
          </w:tcPr>
          <w:p w:rsidR="00000000" w:rsidP="00D500EB">
            <w:pPr>
              <w:pStyle w:val="BodyText"/>
              <w:rPr>
                <w:lang w:val="en-NZ"/>
              </w:rPr>
            </w:pPr>
            <w:r w:rsidRPr="00D500EB">
              <w:t>Following work permits and clearance procedures</w:t>
            </w:r>
          </w:p>
        </w:tc>
      </w:tr>
      <w:tr w:rsidTr="00B66D43">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500EB">
            <w:pPr>
              <w:pStyle w:val="BodyText"/>
              <w:rPr>
                <w:lang w:val="en-NZ"/>
              </w:rPr>
            </w:pPr>
            <w:r w:rsidRPr="00D500EB">
              <w:t>B</w:t>
            </w:r>
          </w:p>
        </w:tc>
        <w:tc>
          <w:tcPr>
            <w:tcW w:w="5043" w:type="dxa"/>
            <w:tcBorders>
              <w:top w:val="nil"/>
              <w:left w:val="nil"/>
              <w:bottom w:val="nil"/>
              <w:right w:val="nil"/>
            </w:tcBorders>
            <w:tcMar>
              <w:top w:w="0" w:type="dxa"/>
              <w:left w:w="62" w:type="dxa"/>
              <w:bottom w:w="0" w:type="dxa"/>
              <w:right w:w="62" w:type="dxa"/>
            </w:tcMar>
          </w:tcPr>
          <w:p w:rsidR="00000000" w:rsidP="00D500EB">
            <w:pPr>
              <w:pStyle w:val="BodyText"/>
              <w:rPr>
                <w:lang w:val="en-NZ"/>
              </w:rPr>
            </w:pPr>
            <w:r w:rsidRPr="00D500EB">
              <w:t>Monitoring hazards and following evacuation procedures</w:t>
            </w:r>
          </w:p>
        </w:tc>
      </w:tr>
      <w:tr w:rsidTr="00B66D43">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500EB">
            <w:pPr>
              <w:pStyle w:val="BodyText"/>
              <w:rPr>
                <w:lang w:val="en-NZ"/>
              </w:rPr>
            </w:pPr>
            <w:r w:rsidRPr="00D500EB">
              <w:t>C</w:t>
            </w:r>
          </w:p>
        </w:tc>
        <w:tc>
          <w:tcPr>
            <w:tcW w:w="5043" w:type="dxa"/>
            <w:tcBorders>
              <w:top w:val="nil"/>
              <w:left w:val="nil"/>
              <w:bottom w:val="nil"/>
              <w:right w:val="nil"/>
            </w:tcBorders>
            <w:tcMar>
              <w:top w:w="0" w:type="dxa"/>
              <w:left w:w="62" w:type="dxa"/>
              <w:bottom w:w="0" w:type="dxa"/>
              <w:right w:w="62" w:type="dxa"/>
            </w:tcMar>
          </w:tcPr>
          <w:p w:rsidR="00000000" w:rsidP="00D500EB">
            <w:pPr>
              <w:pStyle w:val="BodyText"/>
              <w:rPr>
                <w:lang w:val="en-NZ"/>
              </w:rPr>
            </w:pPr>
            <w:r w:rsidRPr="00D500EB">
              <w:t>Following plant and electrical isolation procedures</w:t>
            </w:r>
          </w:p>
        </w:tc>
      </w:tr>
      <w:tr w:rsidTr="00B66D43">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500EB">
            <w:pPr>
              <w:pStyle w:val="BodyText"/>
              <w:rPr>
                <w:lang w:val="en-NZ"/>
              </w:rPr>
            </w:pPr>
            <w:r w:rsidRPr="00D500EB">
              <w:t>D</w:t>
            </w:r>
          </w:p>
        </w:tc>
        <w:tc>
          <w:tcPr>
            <w:tcW w:w="5043" w:type="dxa"/>
            <w:tcBorders>
              <w:top w:val="nil"/>
              <w:left w:val="nil"/>
              <w:bottom w:val="nil"/>
              <w:right w:val="nil"/>
            </w:tcBorders>
            <w:tcMar>
              <w:top w:w="0" w:type="dxa"/>
              <w:left w:w="62" w:type="dxa"/>
              <w:bottom w:w="0" w:type="dxa"/>
              <w:right w:w="62" w:type="dxa"/>
            </w:tcMar>
          </w:tcPr>
          <w:p w:rsidR="00000000" w:rsidP="00D500EB">
            <w:pPr>
              <w:pStyle w:val="BodyText"/>
              <w:rPr>
                <w:lang w:val="en-NZ"/>
              </w:rPr>
            </w:pPr>
            <w:r w:rsidRPr="00D500EB">
              <w:t>Correctly evaluating extent of breakdowns</w:t>
            </w:r>
          </w:p>
        </w:tc>
      </w:tr>
      <w:tr w:rsidTr="00B66D43">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500EB">
            <w:pPr>
              <w:pStyle w:val="BodyText"/>
              <w:rPr>
                <w:lang w:val="en-NZ"/>
              </w:rPr>
            </w:pPr>
            <w:r w:rsidRPr="00D500EB">
              <w:t>E</w:t>
            </w:r>
          </w:p>
        </w:tc>
        <w:tc>
          <w:tcPr>
            <w:tcW w:w="5043" w:type="dxa"/>
            <w:tcBorders>
              <w:top w:val="nil"/>
              <w:left w:val="nil"/>
              <w:bottom w:val="nil"/>
              <w:right w:val="nil"/>
            </w:tcBorders>
            <w:tcMar>
              <w:top w:w="0" w:type="dxa"/>
              <w:left w:w="62" w:type="dxa"/>
              <w:bottom w:w="0" w:type="dxa"/>
              <w:right w:w="62" w:type="dxa"/>
            </w:tcMar>
          </w:tcPr>
          <w:p w:rsidR="00000000" w:rsidP="00D500EB">
            <w:pPr>
              <w:pStyle w:val="BodyText"/>
              <w:rPr>
                <w:lang w:val="en-NZ"/>
              </w:rPr>
            </w:pPr>
            <w:r w:rsidRPr="00D500EB">
              <w:t>Interpreting certification documentation in relation to repair and replacement</w:t>
            </w:r>
          </w:p>
        </w:tc>
      </w:tr>
      <w:tr w:rsidTr="00B66D43">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500EB">
            <w:pPr>
              <w:pStyle w:val="BodyText"/>
              <w:rPr>
                <w:lang w:val="en-NZ"/>
              </w:rPr>
            </w:pPr>
            <w:r w:rsidRPr="00D500EB">
              <w:t>F</w:t>
            </w:r>
          </w:p>
        </w:tc>
        <w:tc>
          <w:tcPr>
            <w:tcW w:w="5043" w:type="dxa"/>
            <w:tcBorders>
              <w:top w:val="nil"/>
              <w:left w:val="nil"/>
              <w:bottom w:val="nil"/>
              <w:right w:val="nil"/>
            </w:tcBorders>
            <w:tcMar>
              <w:top w:w="0" w:type="dxa"/>
              <w:left w:w="62" w:type="dxa"/>
              <w:bottom w:w="0" w:type="dxa"/>
              <w:right w:w="62" w:type="dxa"/>
            </w:tcMar>
          </w:tcPr>
          <w:p w:rsidR="00000000" w:rsidP="00D500EB">
            <w:pPr>
              <w:pStyle w:val="BodyText"/>
              <w:rPr>
                <w:lang w:val="en-NZ"/>
              </w:rPr>
            </w:pPr>
            <w:r w:rsidRPr="00D500EB">
              <w:t>Following established breakdown procedures</w:t>
            </w:r>
          </w:p>
        </w:tc>
      </w:tr>
      <w:tr w:rsidTr="00B66D43">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500EB">
            <w:pPr>
              <w:pStyle w:val="BodyText"/>
              <w:rPr>
                <w:lang w:val="en-NZ"/>
              </w:rPr>
            </w:pPr>
            <w:r w:rsidRPr="00D500EB">
              <w:t>G</w:t>
            </w:r>
          </w:p>
        </w:tc>
        <w:tc>
          <w:tcPr>
            <w:tcW w:w="5043" w:type="dxa"/>
            <w:tcBorders>
              <w:top w:val="nil"/>
              <w:left w:val="nil"/>
              <w:bottom w:val="nil"/>
              <w:right w:val="nil"/>
            </w:tcBorders>
            <w:tcMar>
              <w:top w:w="0" w:type="dxa"/>
              <w:left w:w="62" w:type="dxa"/>
              <w:bottom w:w="0" w:type="dxa"/>
              <w:right w:w="62" w:type="dxa"/>
            </w:tcMar>
          </w:tcPr>
          <w:p w:rsidR="00000000" w:rsidP="00D500EB">
            <w:pPr>
              <w:pStyle w:val="BodyText"/>
              <w:rPr>
                <w:lang w:val="en-NZ"/>
              </w:rPr>
            </w:pPr>
            <w:r w:rsidRPr="00D500EB">
              <w:t>Applying relevant contingency management skills.</w:t>
            </w:r>
          </w:p>
        </w:tc>
      </w:tr>
      <w:tr w:rsidTr="00B66D43">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RPr="00D500EB" w:rsidP="00D500EB">
            <w:pPr>
              <w:pStyle w:val="BodyText"/>
            </w:pPr>
            <w:r w:rsidRPr="00D500EB">
              <w:rPr>
                <w:rStyle w:val="SpecialBold"/>
              </w:rPr>
              <w:t>Context of and specific resources for assessment</w:t>
            </w:r>
          </w:p>
        </w:tc>
        <w:tc>
          <w:tcPr>
            <w:tcW w:w="6303" w:type="dxa"/>
            <w:gridSpan w:val="3"/>
            <w:tcBorders>
              <w:top w:val="nil"/>
              <w:left w:val="nil"/>
              <w:bottom w:val="nil"/>
              <w:right w:val="nil"/>
            </w:tcBorders>
            <w:tcMar>
              <w:top w:w="0" w:type="dxa"/>
              <w:left w:w="62" w:type="dxa"/>
              <w:bottom w:w="0" w:type="dxa"/>
              <w:right w:w="62" w:type="dxa"/>
            </w:tcMar>
          </w:tcPr>
          <w:p w:rsidR="00000000" w:rsidRPr="00D500EB" w:rsidP="00D500EB">
            <w:pPr>
              <w:pStyle w:val="BodyText"/>
            </w:pPr>
            <w:r w:rsidRPr="00D500EB">
              <w:rPr>
                <w:rStyle w:val="SpecialBold"/>
              </w:rPr>
              <w:t>9</w:t>
            </w:r>
            <w:r w:rsidRPr="00D500EB">
              <w:t>.</w:t>
            </w:r>
            <w:r w:rsidRPr="00D500EB">
              <w:rPr>
                <w:rStyle w:val="SpecialBold"/>
              </w:rPr>
              <w:t>3</w:t>
            </w:r>
            <w:r w:rsidRPr="00D500EB">
              <w:t xml:space="preserve">) </w:t>
            </w:r>
          </w:p>
          <w:p w:rsidR="00000000" w:rsidRPr="00D500EB" w:rsidP="00D500EB">
            <w:pPr>
              <w:pStyle w:val="BodyText"/>
            </w:pPr>
            <w:r w:rsidRPr="00D500EB">
              <w:t>This unit should be assessed as it relates to normal work practice using procedures, information and resources typical of a workplace. This should incl</w:t>
            </w:r>
            <w:r w:rsidRPr="00D500EB">
              <w:t>ude:</w:t>
            </w:r>
          </w:p>
          <w:p w:rsidR="00000000" w:rsidRPr="00D500EB" w:rsidP="00D500EB">
            <w:pPr>
              <w:pStyle w:val="ListBullet"/>
            </w:pPr>
            <w:r w:rsidRPr="00D500EB">
              <w:t>OHS policy and work procedures and instructions.</w:t>
            </w:r>
          </w:p>
          <w:p w:rsidR="00000000" w:rsidRPr="00D500EB" w:rsidP="00D500EB">
            <w:pPr>
              <w:pStyle w:val="ListBullet"/>
            </w:pPr>
            <w:r w:rsidRPr="00D500EB">
              <w:t>Suitable work environment, facilities, equipment and materials to undertake actual work as prescribed by this unit.</w:t>
            </w:r>
          </w:p>
          <w:p w:rsidR="00000000" w:rsidRPr="00D500EB" w:rsidP="00D500EB">
            <w:pPr>
              <w:pStyle w:val="BodyText"/>
            </w:pPr>
            <w:r w:rsidRPr="00D500EB">
              <w:t>These should also be part of the formal learning/assessment environment.</w:t>
            </w:r>
          </w:p>
          <w:p w:rsidR="00000000" w:rsidRPr="00D500EB" w:rsidP="00D500EB">
            <w:pPr>
              <w:pStyle w:val="BodyText"/>
            </w:pPr>
            <w:r w:rsidRPr="00D500EB">
              <w:t>Note:</w:t>
            </w:r>
          </w:p>
          <w:p w:rsidR="00000000" w:rsidP="00D500EB">
            <w:pPr>
              <w:pStyle w:val="BodyText"/>
              <w:rPr>
                <w:lang w:val="en-NZ"/>
              </w:rPr>
            </w:pPr>
            <w:r w:rsidRPr="00D500EB">
              <w:t>Where simulation is considered a suitable strategy for assessment, conditions must be authentic and as far as possible reproduce and replicate the workplace and be consistent with the approved industry simulation policy.</w:t>
            </w:r>
          </w:p>
        </w:tc>
      </w:tr>
      <w:tr w:rsidTr="00B66D43">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P="00D500EB">
            <w:pPr>
              <w:pStyle w:val="BodyText"/>
              <w:rPr>
                <w:lang w:val="en-NZ"/>
              </w:rPr>
            </w:pPr>
            <w:r w:rsidRPr="00D500EB">
              <w:t>The resources used for assessme</w:t>
            </w:r>
            <w:r w:rsidRPr="00D500EB">
              <w:t>nt should reflect current industry practices in relation to attending to breakdowns in hazardous areas.</w:t>
            </w:r>
          </w:p>
        </w:tc>
      </w:tr>
      <w:tr w:rsidTr="00B66D43">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RPr="00D500EB" w:rsidP="00D500EB">
            <w:pPr>
              <w:pStyle w:val="BodyText"/>
            </w:pPr>
            <w:r w:rsidRPr="00D500EB">
              <w:rPr>
                <w:rStyle w:val="SpecialBold"/>
              </w:rPr>
              <w:t>Method of assessment</w:t>
            </w:r>
          </w:p>
        </w:tc>
        <w:tc>
          <w:tcPr>
            <w:tcW w:w="6303" w:type="dxa"/>
            <w:gridSpan w:val="3"/>
            <w:tcBorders>
              <w:top w:val="nil"/>
              <w:left w:val="nil"/>
              <w:bottom w:val="nil"/>
              <w:right w:val="nil"/>
            </w:tcBorders>
            <w:tcMar>
              <w:top w:w="0" w:type="dxa"/>
              <w:left w:w="62" w:type="dxa"/>
              <w:bottom w:w="0" w:type="dxa"/>
              <w:right w:w="62" w:type="dxa"/>
            </w:tcMar>
          </w:tcPr>
          <w:p w:rsidR="00000000" w:rsidRPr="00D500EB" w:rsidP="00D500EB">
            <w:pPr>
              <w:pStyle w:val="BodyText"/>
            </w:pPr>
            <w:r w:rsidRPr="00D500EB">
              <w:rPr>
                <w:rStyle w:val="SpecialBold"/>
              </w:rPr>
              <w:t>9</w:t>
            </w:r>
            <w:r w:rsidRPr="00D500EB">
              <w:t>.</w:t>
            </w:r>
            <w:r w:rsidRPr="00D500EB">
              <w:rPr>
                <w:rStyle w:val="SpecialBold"/>
              </w:rPr>
              <w:t>4</w:t>
            </w:r>
            <w:r w:rsidRPr="00D500EB">
              <w:t xml:space="preserve">) </w:t>
            </w:r>
          </w:p>
          <w:p w:rsidR="00000000" w:rsidRPr="00D500EB" w:rsidP="00D500EB">
            <w:pPr>
              <w:pStyle w:val="BodyText"/>
            </w:pPr>
            <w:r w:rsidRPr="00D500EB">
              <w:t>This unit shall be assessed by methods given in Volume 1, Part 3 'Assessment Guidelines'.</w:t>
            </w:r>
          </w:p>
          <w:p w:rsidR="00000000" w:rsidRPr="00D500EB" w:rsidP="00D500EB">
            <w:pPr>
              <w:pStyle w:val="BodyText"/>
            </w:pPr>
            <w:r w:rsidRPr="00D500EB">
              <w:t xml:space="preserve">Note: </w:t>
            </w:r>
          </w:p>
          <w:p w:rsidR="00000000" w:rsidP="00D500EB">
            <w:pPr>
              <w:pStyle w:val="BodyText"/>
              <w:rPr>
                <w:lang w:val="en-NZ"/>
              </w:rPr>
            </w:pPr>
            <w:r w:rsidRPr="00D500EB">
              <w:t>Competent performance wit</w:t>
            </w:r>
            <w:r w:rsidRPr="00D500EB">
              <w:t>h inherent safe working practices is expected in the Industry to which this unit applies. This requires assessment in a structured environment primarily intended for learning/assessment which incorporates all necessary equipment and facilities for learners</w:t>
            </w:r>
            <w:r w:rsidRPr="00D500EB">
              <w:t xml:space="preserve"> to develop and demonstrate the essential knowledge and skills described in this unit.</w:t>
            </w:r>
          </w:p>
        </w:tc>
      </w:tr>
      <w:tr w:rsidTr="00B66D43">
        <w:tblPrEx>
          <w:tblW w:w="0" w:type="auto"/>
          <w:tblLayout w:type="fixed"/>
          <w:tblCellMar>
            <w:left w:w="62" w:type="dxa"/>
            <w:right w:w="62" w:type="dxa"/>
          </w:tblCellMar>
          <w:tblLook w:val="0000"/>
        </w:tblPrEx>
        <w:tc>
          <w:tcPr>
            <w:tcW w:w="2157" w:type="dxa"/>
            <w:vMerge w:val="restart"/>
            <w:tcBorders>
              <w:top w:val="nil"/>
              <w:left w:val="nil"/>
              <w:bottom w:val="nil"/>
              <w:right w:val="nil"/>
            </w:tcBorders>
            <w:tcMar>
              <w:top w:w="0" w:type="dxa"/>
              <w:left w:w="62" w:type="dxa"/>
              <w:bottom w:w="0" w:type="dxa"/>
              <w:right w:w="62" w:type="dxa"/>
            </w:tcMar>
          </w:tcPr>
          <w:p w:rsidR="00000000" w:rsidRPr="00D500EB" w:rsidP="00D500EB">
            <w:pPr>
              <w:pStyle w:val="BodyText"/>
            </w:pPr>
            <w:r w:rsidRPr="00D500EB">
              <w:rPr>
                <w:rStyle w:val="SpecialBold"/>
              </w:rPr>
              <w:t>Concurrent assessment and relationship with other units</w:t>
            </w:r>
          </w:p>
        </w:tc>
        <w:tc>
          <w:tcPr>
            <w:tcW w:w="6303" w:type="dxa"/>
            <w:gridSpan w:val="3"/>
            <w:tcBorders>
              <w:top w:val="nil"/>
              <w:left w:val="nil"/>
              <w:bottom w:val="nil"/>
              <w:right w:val="nil"/>
            </w:tcBorders>
            <w:tcMar>
              <w:top w:w="0" w:type="dxa"/>
              <w:left w:w="62" w:type="dxa"/>
              <w:bottom w:w="0" w:type="dxa"/>
              <w:right w:w="62" w:type="dxa"/>
            </w:tcMar>
          </w:tcPr>
          <w:p w:rsidR="00000000" w:rsidP="00D500EB">
            <w:pPr>
              <w:pStyle w:val="BodyText"/>
              <w:rPr>
                <w:lang w:val="en-NZ"/>
              </w:rPr>
            </w:pPr>
            <w:r w:rsidRPr="00D500EB">
              <w:rPr>
                <w:rStyle w:val="SpecialBold"/>
              </w:rPr>
              <w:t>9</w:t>
            </w:r>
            <w:r w:rsidRPr="00D500EB">
              <w:t>.</w:t>
            </w:r>
            <w:r w:rsidRPr="00D500EB">
              <w:rPr>
                <w:rStyle w:val="SpecialBold"/>
              </w:rPr>
              <w:t>5</w:t>
            </w:r>
            <w:r w:rsidRPr="00D500EB">
              <w:t>)</w:t>
            </w:r>
          </w:p>
        </w:tc>
      </w:tr>
      <w:tr w:rsidTr="00B66D43">
        <w:tblPrEx>
          <w:tblW w:w="0" w:type="auto"/>
          <w:tblLayout w:type="fixed"/>
          <w:tblCellMar>
            <w:left w:w="62" w:type="dxa"/>
            <w:right w:w="62" w:type="dxa"/>
          </w:tblCellMar>
          <w:tblLook w:val="0000"/>
        </w:tblPrEx>
        <w:tc>
          <w:tcPr>
            <w:tcW w:w="215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RPr="00D500EB" w:rsidP="00D500EB">
            <w:pPr>
              <w:pStyle w:val="BodyText"/>
            </w:pPr>
            <w:r w:rsidRPr="00D500EB">
              <w:t>For optimisation of training and assessment effort, competency development in this unit may be arranged concurrently with unit:</w:t>
            </w:r>
          </w:p>
          <w:p w:rsidR="00000000" w:rsidP="00D500EB">
            <w:pPr>
              <w:pStyle w:val="BodyText"/>
              <w:rPr>
                <w:lang w:val="en-NZ"/>
              </w:rPr>
            </w:pPr>
            <w:r w:rsidRPr="00D500EB">
              <w:t>UEENEEM080A</w:t>
            </w:r>
            <w:r w:rsidRPr="00D500EB">
              <w:tab/>
              <w:t>Report on the integrity of explosion-protected equipment in a hazardous area</w:t>
            </w:r>
          </w:p>
        </w:tc>
      </w:tr>
      <w:tr w:rsidTr="00B66D43">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RPr="00D500EB" w:rsidP="00D500EB">
            <w:pPr>
              <w:pStyle w:val="BodyText"/>
            </w:pPr>
            <w:r w:rsidRPr="00D500EB">
              <w:t>Competency unit in attending to bre</w:t>
            </w:r>
            <w:r w:rsidRPr="00D500EB">
              <w:t xml:space="preserve">akdowns in general electrical or instrumentation equipment mechanical plant/equipment service and maintenance at least at AQF 3 or equivalent chosen as a prerequisite. </w:t>
            </w:r>
          </w:p>
        </w:tc>
      </w:tr>
    </w:tbl>
    <w:p w:rsidR="00B66D43" w:rsidP="00D500EB">
      <w:pPr>
        <w:pStyle w:val="BodyText"/>
      </w:pPr>
    </w:p>
    <w:p w:rsidR="00B66D43" w:rsidP="00D500EB">
      <w:pPr>
        <w:pStyle w:val="BodyText"/>
      </w:pPr>
    </w:p>
    <w:p w:rsidR="00000000" w:rsidRPr="00D500EB" w:rsidP="00D500EB">
      <w:pPr>
        <w:pStyle w:val="Heading1"/>
      </w:pPr>
      <w:bookmarkStart w:id="11" w:name="O_699614"/>
      <w:bookmarkEnd w:id="11"/>
      <w:r w:rsidRPr="00D500EB">
        <w:t>Range Statement</w:t>
      </w:r>
    </w:p>
    <w:tbl>
      <w:tblPr>
        <w:tblW w:w="0" w:type="auto"/>
        <w:tblLayout w:type="fixed"/>
        <w:tblCellMar>
          <w:left w:w="62" w:type="dxa"/>
          <w:right w:w="62" w:type="dxa"/>
        </w:tblCellMar>
        <w:tblLook w:val="0000"/>
      </w:tblPr>
      <w:tblGrid>
        <w:gridCol w:w="2157"/>
        <w:gridCol w:w="6303"/>
      </w:tblGrid>
      <w:tr w:rsidTr="00B66D43">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D500EB">
            <w:pPr>
              <w:pStyle w:val="BodyText"/>
              <w:rPr>
                <w:lang w:val="en-NZ"/>
              </w:rPr>
            </w:pPr>
            <w:r w:rsidRPr="00D500EB">
              <w:rPr>
                <w:rStyle w:val="SpecialBold"/>
              </w:rPr>
              <w:t>RANGE STATEMENT</w:t>
            </w:r>
          </w:p>
        </w:tc>
      </w:tr>
      <w:tr w:rsidTr="00B66D43">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D500EB">
            <w:pPr>
              <w:pStyle w:val="BodyText"/>
              <w:rPr>
                <w:lang w:val="en-NZ"/>
              </w:rPr>
            </w:pPr>
            <w:r w:rsidRPr="00D500EB">
              <w:rPr>
                <w:rStyle w:val="SpecialBold"/>
              </w:rPr>
              <w:t>8</w:t>
            </w:r>
            <w:r w:rsidRPr="00D500EB">
              <w:t>) This relates to the unit as a whole providing the range of contexts and conditions to which the performance criteria apply. It allows for different work environments and situations that will affect performance.</w:t>
            </w:r>
          </w:p>
        </w:tc>
      </w:tr>
      <w:tr w:rsidTr="00B66D43">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D500EB">
            <w:pPr>
              <w:pStyle w:val="BodyText"/>
              <w:rPr>
                <w:lang w:val="en-NZ"/>
              </w:rPr>
            </w:pPr>
            <w:r w:rsidRPr="00D500EB">
              <w:t>This unit shall be demonstrated in relation to any hazardous area of coal mining and all the following explosion-protection techniques:</w:t>
            </w:r>
          </w:p>
        </w:tc>
      </w:tr>
      <w:tr w:rsidTr="00B66D43">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P="00D500EB">
            <w:pPr>
              <w:pStyle w:val="BodyText"/>
              <w:rPr>
                <w:lang w:val="en-NZ"/>
              </w:rPr>
            </w:pPr>
          </w:p>
        </w:tc>
        <w:tc>
          <w:tcPr>
            <w:tcW w:w="6303" w:type="dxa"/>
            <w:tcBorders>
              <w:top w:val="nil"/>
              <w:left w:val="nil"/>
              <w:bottom w:val="nil"/>
              <w:right w:val="nil"/>
            </w:tcBorders>
            <w:tcMar>
              <w:top w:w="0" w:type="dxa"/>
              <w:left w:w="62" w:type="dxa"/>
              <w:bottom w:w="0" w:type="dxa"/>
              <w:right w:w="62" w:type="dxa"/>
            </w:tcMar>
          </w:tcPr>
          <w:p w:rsidR="00000000" w:rsidRPr="00D500EB" w:rsidP="00D500EB">
            <w:pPr>
              <w:pStyle w:val="ListBullet"/>
            </w:pPr>
            <w:r w:rsidRPr="00D500EB">
              <w:t>Flameproof ( enclosures only ) , (Ex 'dI')</w:t>
            </w:r>
          </w:p>
          <w:p w:rsidR="00000000" w:rsidRPr="00D500EB" w:rsidP="00D500EB">
            <w:pPr>
              <w:pStyle w:val="ListBullet"/>
            </w:pPr>
            <w:r w:rsidRPr="00D500EB">
              <w:t>Increased safety, (Ex 'eI')</w:t>
            </w:r>
          </w:p>
          <w:p w:rsidR="00000000" w:rsidRPr="00D500EB" w:rsidP="00D500EB">
            <w:pPr>
              <w:pStyle w:val="ListBullet"/>
            </w:pPr>
            <w:r w:rsidRPr="00D500EB">
              <w:t>Intrinsic safety, (Ex 'iI')</w:t>
            </w:r>
          </w:p>
          <w:p w:rsidR="00000000" w:rsidRPr="00D500EB" w:rsidP="00D500EB">
            <w:pPr>
              <w:pStyle w:val="ListBullet"/>
            </w:pPr>
            <w:r w:rsidRPr="00D500EB">
              <w:t>Pressurization, (</w:t>
            </w:r>
            <w:r w:rsidRPr="00D500EB">
              <w:t>Ex 'p')</w:t>
            </w:r>
          </w:p>
          <w:p w:rsidR="00000000" w:rsidRPr="00D500EB" w:rsidP="00D500EB">
            <w:pPr>
              <w:pStyle w:val="ListBullet"/>
            </w:pPr>
            <w:r w:rsidRPr="00D500EB">
              <w:t xml:space="preserve">Protection by enclosure-dusts, (Ex 't') </w:t>
            </w:r>
          </w:p>
          <w:p w:rsidR="00000000" w:rsidP="00D500EB">
            <w:pPr>
              <w:pStyle w:val="BodyText"/>
              <w:rPr>
                <w:lang w:val="en-NZ"/>
              </w:rPr>
            </w:pPr>
            <w:r w:rsidRPr="00D500EB">
              <w:t>Note: 'I' signifies Group I equipment</w:t>
            </w:r>
          </w:p>
        </w:tc>
      </w:tr>
      <w:tr w:rsidTr="00B66D43">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D500EB" w:rsidP="00D500EB">
            <w:pPr>
              <w:pStyle w:val="BodyText"/>
            </w:pPr>
            <w:r w:rsidRPr="00D500EB">
              <w:t>The following constants and variables included in the element/performance criteria in this unit are fully described in the Volume 2, Part 2.1.</w:t>
            </w:r>
          </w:p>
        </w:tc>
      </w:tr>
    </w:tbl>
    <w:p w:rsidR="00B66D43" w:rsidP="00D500EB">
      <w:pPr>
        <w:pStyle w:val="BodyText"/>
      </w:pPr>
    </w:p>
    <w:p w:rsidR="00B66D43" w:rsidP="00D500EB">
      <w:pPr>
        <w:pStyle w:val="BodyText"/>
      </w:pPr>
    </w:p>
    <w:p w:rsidR="00000000" w:rsidRPr="00D500EB" w:rsidP="00D500EB">
      <w:pPr>
        <w:pStyle w:val="Heading1"/>
      </w:pPr>
      <w:bookmarkStart w:id="12" w:name="O_699613"/>
      <w:bookmarkEnd w:id="12"/>
      <w:r w:rsidRPr="00D500EB">
        <w:t>Unit Sector(s)</w:t>
      </w:r>
    </w:p>
    <w:p w:rsidR="00000000" w:rsidRPr="00D500EB" w:rsidP="00D500EB">
      <w:pPr>
        <w:pStyle w:val="BodyText"/>
      </w:pPr>
      <w:r w:rsidRPr="00D500EB">
        <w:t>Not Applicable</w:t>
      </w:r>
    </w:p>
    <w:p w:rsidR="00000000" w:rsidRPr="00D500EB" w:rsidP="00D500EB">
      <w:pPr>
        <w:pStyle w:val="AllowPageBreak"/>
      </w:pPr>
    </w:p>
    <w:p w:rsidR="00000000" w:rsidRPr="00D500EB" w:rsidP="00D500EB">
      <w:pPr>
        <w:pStyle w:val="Heading1"/>
      </w:pPr>
      <w:bookmarkStart w:id="13" w:name="O_699612"/>
      <w:bookmarkEnd w:id="13"/>
      <w:r w:rsidRPr="00D500EB">
        <w:t>Competency Field</w:t>
      </w:r>
    </w:p>
    <w:tbl>
      <w:tblPr>
        <w:tblW w:w="0" w:type="auto"/>
        <w:tblLayout w:type="fixed"/>
        <w:tblCellMar>
          <w:left w:w="62" w:type="dxa"/>
          <w:right w:w="62" w:type="dxa"/>
        </w:tblCellMar>
        <w:tblLook w:val="0000"/>
      </w:tblPr>
      <w:tblGrid>
        <w:gridCol w:w="1452"/>
        <w:gridCol w:w="1182"/>
        <w:gridCol w:w="1738"/>
        <w:gridCol w:w="1182"/>
        <w:gridCol w:w="1720"/>
        <w:gridCol w:w="1186"/>
      </w:tblGrid>
      <w:tr w:rsidTr="00B66D43">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D500EB" w:rsidP="00D500EB">
            <w:pPr>
              <w:pStyle w:val="BodyText"/>
            </w:pPr>
            <w:r w:rsidRPr="00D500EB">
              <w:rPr>
                <w:rStyle w:val="SpecialBold"/>
              </w:rPr>
              <w:t>2</w:t>
            </w:r>
            <w:r w:rsidRPr="00D500EB">
              <w:t>.</w:t>
            </w:r>
            <w:r w:rsidRPr="00D500EB">
              <w:rPr>
                <w:rStyle w:val="SpecialBold"/>
              </w:rPr>
              <w:t>2</w:t>
            </w:r>
            <w:r w:rsidRPr="00D500EB">
              <w:t xml:space="preserve">) </w:t>
            </w:r>
            <w:r w:rsidRPr="00D500EB">
              <w:rPr>
                <w:rStyle w:val="SpecialBold"/>
              </w:rPr>
              <w:t>Literacy and numeracy skills</w:t>
            </w:r>
          </w:p>
          <w:p w:rsidR="00000000" w:rsidP="00D500EB">
            <w:pPr>
              <w:pStyle w:val="BodyText"/>
              <w:rPr>
                <w:lang w:val="en-NZ"/>
              </w:rPr>
            </w:pPr>
            <w:r w:rsidRPr="00D500EB">
              <w:t>Participants are best equipped to achieve competency in this unit if they have reading, writing and numeracy skills indicated by the following scales. Description of each scale is given in Volume 2, Part 3 'Literacy and Numeracy'</w:t>
            </w:r>
          </w:p>
        </w:tc>
      </w:tr>
      <w:tr w:rsidTr="00B66D43">
        <w:tblPrEx>
          <w:tblW w:w="0" w:type="auto"/>
          <w:tblLayout w:type="fixed"/>
          <w:tblCellMar>
            <w:left w:w="62" w:type="dxa"/>
            <w:right w:w="62" w:type="dxa"/>
          </w:tblCellMar>
          <w:tblLook w:val="0000"/>
        </w:tblPrEx>
        <w:tc>
          <w:tcPr>
            <w:tcW w:w="1452" w:type="dxa"/>
            <w:tcBorders>
              <w:top w:val="nil"/>
              <w:left w:val="nil"/>
              <w:bottom w:val="nil"/>
              <w:right w:val="nil"/>
            </w:tcBorders>
            <w:tcMar>
              <w:top w:w="0" w:type="dxa"/>
              <w:left w:w="62" w:type="dxa"/>
              <w:bottom w:w="0" w:type="dxa"/>
              <w:right w:w="62" w:type="dxa"/>
            </w:tcMar>
          </w:tcPr>
          <w:p w:rsidR="00000000" w:rsidP="00D500EB">
            <w:pPr>
              <w:pStyle w:val="BodyText"/>
              <w:rPr>
                <w:lang w:val="en-NZ"/>
              </w:rPr>
            </w:pPr>
            <w:r w:rsidRPr="00D500EB">
              <w:t>Reading</w:t>
            </w:r>
          </w:p>
        </w:tc>
        <w:tc>
          <w:tcPr>
            <w:tcW w:w="1182" w:type="dxa"/>
            <w:tcBorders>
              <w:top w:val="nil"/>
              <w:left w:val="nil"/>
              <w:bottom w:val="nil"/>
              <w:right w:val="nil"/>
            </w:tcBorders>
            <w:tcMar>
              <w:top w:w="0" w:type="dxa"/>
              <w:left w:w="62" w:type="dxa"/>
              <w:bottom w:w="0" w:type="dxa"/>
              <w:right w:w="62" w:type="dxa"/>
            </w:tcMar>
          </w:tcPr>
          <w:p w:rsidR="00000000" w:rsidP="00D500EB">
            <w:pPr>
              <w:pStyle w:val="BodyText"/>
              <w:rPr>
                <w:lang w:val="en-NZ"/>
              </w:rPr>
            </w:pPr>
            <w:r w:rsidRPr="00D500EB">
              <w:t>3</w:t>
            </w:r>
          </w:p>
        </w:tc>
        <w:tc>
          <w:tcPr>
            <w:tcW w:w="1738" w:type="dxa"/>
            <w:tcBorders>
              <w:top w:val="nil"/>
              <w:left w:val="nil"/>
              <w:bottom w:val="nil"/>
              <w:right w:val="nil"/>
            </w:tcBorders>
            <w:tcMar>
              <w:top w:w="0" w:type="dxa"/>
              <w:left w:w="62" w:type="dxa"/>
              <w:bottom w:w="0" w:type="dxa"/>
              <w:right w:w="62" w:type="dxa"/>
            </w:tcMar>
          </w:tcPr>
          <w:p w:rsidR="00000000" w:rsidP="00D500EB">
            <w:pPr>
              <w:pStyle w:val="BodyText"/>
              <w:rPr>
                <w:lang w:val="en-NZ"/>
              </w:rPr>
            </w:pPr>
            <w:r w:rsidRPr="00D500EB">
              <w:t>Writing</w:t>
            </w:r>
          </w:p>
        </w:tc>
        <w:tc>
          <w:tcPr>
            <w:tcW w:w="1182" w:type="dxa"/>
            <w:tcBorders>
              <w:top w:val="nil"/>
              <w:left w:val="nil"/>
              <w:bottom w:val="nil"/>
              <w:right w:val="nil"/>
            </w:tcBorders>
            <w:tcMar>
              <w:top w:w="0" w:type="dxa"/>
              <w:left w:w="62" w:type="dxa"/>
              <w:bottom w:w="0" w:type="dxa"/>
              <w:right w:w="62" w:type="dxa"/>
            </w:tcMar>
          </w:tcPr>
          <w:p w:rsidR="00000000" w:rsidP="00D500EB">
            <w:pPr>
              <w:pStyle w:val="BodyText"/>
              <w:rPr>
                <w:lang w:val="en-NZ"/>
              </w:rPr>
            </w:pPr>
            <w:r w:rsidRPr="00D500EB">
              <w:t>3</w:t>
            </w:r>
          </w:p>
        </w:tc>
        <w:tc>
          <w:tcPr>
            <w:tcW w:w="1720" w:type="dxa"/>
            <w:tcBorders>
              <w:top w:val="nil"/>
              <w:left w:val="nil"/>
              <w:bottom w:val="nil"/>
              <w:right w:val="nil"/>
            </w:tcBorders>
            <w:tcMar>
              <w:top w:w="0" w:type="dxa"/>
              <w:left w:w="62" w:type="dxa"/>
              <w:bottom w:w="0" w:type="dxa"/>
              <w:right w:w="62" w:type="dxa"/>
            </w:tcMar>
          </w:tcPr>
          <w:p w:rsidR="00000000" w:rsidP="00D500EB">
            <w:pPr>
              <w:pStyle w:val="BodyText"/>
              <w:rPr>
                <w:lang w:val="en-NZ"/>
              </w:rPr>
            </w:pPr>
            <w:r w:rsidRPr="00D500EB">
              <w:t>Numeracy</w:t>
            </w:r>
          </w:p>
        </w:tc>
        <w:tc>
          <w:tcPr>
            <w:tcW w:w="1186" w:type="dxa"/>
            <w:tcBorders>
              <w:top w:val="nil"/>
              <w:left w:val="nil"/>
              <w:bottom w:val="nil"/>
              <w:right w:val="nil"/>
            </w:tcBorders>
            <w:tcMar>
              <w:top w:w="0" w:type="dxa"/>
              <w:left w:w="62" w:type="dxa"/>
              <w:bottom w:w="0" w:type="dxa"/>
              <w:right w:w="62" w:type="dxa"/>
            </w:tcMar>
          </w:tcPr>
          <w:p w:rsidR="00000000" w:rsidRPr="00D500EB" w:rsidP="00D500EB">
            <w:pPr>
              <w:pStyle w:val="BodyText"/>
            </w:pPr>
            <w:r w:rsidRPr="00D500EB">
              <w:t>3</w:t>
            </w:r>
          </w:p>
        </w:tc>
      </w:tr>
    </w:tbl>
    <w:p w:rsidR="00B66D43" w:rsidP="00D500EB">
      <w:pPr>
        <w:pStyle w:val="BodyText"/>
      </w:pPr>
    </w:p>
    <w:p w:rsidR="00B66D43" w:rsidP="00D500EB">
      <w:pPr>
        <w:pStyle w:val="BodyText"/>
      </w:pPr>
    </w:p>
    <w:p w:rsidR="00000000" w:rsidRPr="00D500EB" w:rsidP="00D500EB">
      <w:pPr>
        <w:pStyle w:val="Heading1"/>
      </w:pPr>
      <w:bookmarkStart w:id="14" w:name="O_699611"/>
      <w:bookmarkEnd w:id="14"/>
      <w:r w:rsidRPr="00D500EB">
        <w:t>Custom Content Section</w:t>
      </w:r>
    </w:p>
    <w:tbl>
      <w:tblPr>
        <w:tblW w:w="0" w:type="auto"/>
        <w:tblLayout w:type="fixed"/>
        <w:tblCellMar>
          <w:left w:w="62" w:type="dxa"/>
          <w:right w:w="62" w:type="dxa"/>
        </w:tblCellMar>
        <w:tblLook w:val="0000"/>
      </w:tblPr>
      <w:tblGrid>
        <w:gridCol w:w="2697"/>
        <w:gridCol w:w="5763"/>
      </w:tblGrid>
      <w:tr w:rsidTr="00B66D43">
        <w:tblPrEx>
          <w:tblW w:w="0" w:type="auto"/>
          <w:tblLayout w:type="fixed"/>
          <w:tblCellMar>
            <w:left w:w="62" w:type="dxa"/>
            <w:right w:w="62" w:type="dxa"/>
          </w:tblCellMar>
          <w:tblLook w:val="0000"/>
        </w:tblPrEx>
        <w:trPr>
          <w:tblHeader/>
        </w:trPr>
        <w:tc>
          <w:tcPr>
            <w:tcW w:w="2697" w:type="dxa"/>
            <w:tcBorders>
              <w:top w:val="nil"/>
              <w:left w:val="nil"/>
              <w:bottom w:val="nil"/>
              <w:right w:val="nil"/>
            </w:tcBorders>
            <w:tcMar>
              <w:top w:w="0" w:type="dxa"/>
              <w:left w:w="62" w:type="dxa"/>
              <w:bottom w:w="0" w:type="dxa"/>
              <w:right w:w="62" w:type="dxa"/>
            </w:tcMar>
          </w:tcPr>
          <w:p w:rsidR="00000000" w:rsidRPr="00D500EB" w:rsidP="00D500EB">
            <w:pPr>
              <w:pStyle w:val="BodyText"/>
            </w:pPr>
            <w:r w:rsidRPr="00D500EB">
              <w:rPr>
                <w:rStyle w:val="SpecialBold"/>
              </w:rPr>
              <w:t>Competency Field</w:t>
            </w:r>
          </w:p>
        </w:tc>
        <w:tc>
          <w:tcPr>
            <w:tcW w:w="5763" w:type="dxa"/>
            <w:tcBorders>
              <w:top w:val="nil"/>
              <w:left w:val="nil"/>
              <w:bottom w:val="nil"/>
              <w:right w:val="nil"/>
            </w:tcBorders>
            <w:tcMar>
              <w:top w:w="0" w:type="dxa"/>
              <w:left w:w="62" w:type="dxa"/>
              <w:bottom w:w="0" w:type="dxa"/>
              <w:right w:w="62" w:type="dxa"/>
            </w:tcMar>
          </w:tcPr>
          <w:p w:rsidR="00000000" w:rsidP="00D500EB">
            <w:pPr>
              <w:pStyle w:val="BodyText"/>
              <w:rPr>
                <w:lang w:val="en-NZ"/>
              </w:rPr>
            </w:pPr>
            <w:r w:rsidRPr="00D500EB">
              <w:rPr>
                <w:rStyle w:val="SpecialBold"/>
              </w:rPr>
              <w:t>5</w:t>
            </w:r>
            <w:r w:rsidRPr="00D500EB">
              <w:t>)</w:t>
            </w:r>
          </w:p>
        </w:tc>
      </w:tr>
      <w:tr w:rsidTr="00B66D43">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3" w:type="dxa"/>
            <w:tcBorders>
              <w:top w:val="nil"/>
              <w:left w:val="nil"/>
              <w:bottom w:val="nil"/>
              <w:right w:val="nil"/>
            </w:tcBorders>
            <w:tcMar>
              <w:top w:w="0" w:type="dxa"/>
              <w:left w:w="62" w:type="dxa"/>
              <w:bottom w:w="0" w:type="dxa"/>
              <w:right w:w="62" w:type="dxa"/>
            </w:tcMar>
          </w:tcPr>
          <w:p w:rsidR="00000000" w:rsidRPr="00D500EB" w:rsidP="00D500EB">
            <w:pPr>
              <w:pStyle w:val="BodyText"/>
            </w:pPr>
            <w:r w:rsidRPr="00D500EB">
              <w:t>Hazards</w:t>
            </w:r>
          </w:p>
        </w:tc>
      </w:tr>
    </w:tbl>
    <w:p w:rsidR="00B66D43" w:rsidP="00D500EB">
      <w:pPr>
        <w:pStyle w:val="BodyText"/>
      </w:pPr>
    </w:p>
    <w:p w:rsidR="00B66D43" w:rsidP="00D500EB">
      <w:pPr>
        <w:pStyle w:val="BodyText"/>
      </w:pPr>
    </w:p>
    <w:p w:rsidR="00000000" w:rsidRPr="00D500EB" w:rsidP="00D500EB"/>
    <w:sectPr w:rsidSect="00D500E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0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0EB" w:rsidRPr="00B66D43" w:rsidP="00B66D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0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D43" w:rsidP="00D500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15</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B66D43" w:rsidP="00D500EB">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B66D43" w:rsidP="00D500E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0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0EB" w:rsidRPr="00B66D43" w:rsidP="00B66D4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0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D43" w:rsidRPr="002D2AF8" w:rsidP="00D500EB">
    <w:pPr>
      <w:pStyle w:val="Header"/>
      <w:framePr w:wrap="around"/>
    </w:pPr>
    <w:r>
      <w:fldChar w:fldCharType="begin"/>
    </w:r>
    <w:r>
      <w:instrText xml:space="preserve"> TITLE   \* MERGEFORMAT </w:instrText>
    </w:r>
    <w:r>
      <w:fldChar w:fldCharType="separate"/>
    </w:r>
    <w:r>
      <w:t>UEENEEM019A Attend to breakdowns in hazardous areas - coal mining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2014</w:t>
    </w:r>
    <w:r>
      <w:fldChar w:fldCharType="end"/>
    </w:r>
  </w:p>
  <w:p w:rsidR="00B66D43" w:rsidP="00D500E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C7C36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28657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652F4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00E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500EB"/>
    <w:pPr>
      <w:spacing w:before="360" w:after="60"/>
      <w:outlineLvl w:val="0"/>
    </w:pPr>
    <w:rPr>
      <w:sz w:val="32"/>
    </w:rPr>
  </w:style>
  <w:style w:type="paragraph" w:styleId="Heading2">
    <w:name w:val="heading 2"/>
    <w:basedOn w:val="HeadingBase"/>
    <w:next w:val="BodyText"/>
    <w:link w:val="Heading2Char"/>
    <w:qFormat/>
    <w:rsid w:val="00D500EB"/>
    <w:pPr>
      <w:keepLines/>
      <w:spacing w:before="240" w:after="120"/>
      <w:outlineLvl w:val="1"/>
    </w:pPr>
    <w:rPr>
      <w:sz w:val="28"/>
      <w:szCs w:val="40"/>
    </w:rPr>
  </w:style>
  <w:style w:type="paragraph" w:styleId="Heading3">
    <w:name w:val="heading 3"/>
    <w:basedOn w:val="HeadingBase"/>
    <w:next w:val="BodyText"/>
    <w:link w:val="Heading3Char"/>
    <w:qFormat/>
    <w:rsid w:val="00D500EB"/>
    <w:pPr>
      <w:spacing w:before="180" w:after="120"/>
      <w:outlineLvl w:val="2"/>
    </w:pPr>
    <w:rPr>
      <w:spacing w:val="-10"/>
      <w:kern w:val="32"/>
    </w:rPr>
  </w:style>
  <w:style w:type="paragraph" w:styleId="Heading4">
    <w:name w:val="heading 4"/>
    <w:basedOn w:val="HeadingBase"/>
    <w:next w:val="BodyText"/>
    <w:link w:val="Heading4Char"/>
    <w:qFormat/>
    <w:rsid w:val="00D500EB"/>
    <w:pPr>
      <w:spacing w:before="160" w:after="120"/>
      <w:outlineLvl w:val="3"/>
    </w:pPr>
    <w:rPr>
      <w:sz w:val="22"/>
    </w:rPr>
  </w:style>
  <w:style w:type="paragraph" w:styleId="Heading5">
    <w:name w:val="heading 5"/>
    <w:basedOn w:val="HeadingBase"/>
    <w:next w:val="Normal"/>
    <w:link w:val="Heading5Char"/>
    <w:qFormat/>
    <w:rsid w:val="00D500EB"/>
    <w:pPr>
      <w:spacing w:before="80"/>
      <w:outlineLvl w:val="4"/>
    </w:pPr>
    <w:rPr>
      <w:color w:val="918585"/>
      <w:sz w:val="20"/>
    </w:rPr>
  </w:style>
  <w:style w:type="paragraph" w:styleId="Heading6">
    <w:name w:val="heading 6"/>
    <w:basedOn w:val="HeadingBase"/>
    <w:next w:val="Normal"/>
    <w:link w:val="Heading6Char"/>
    <w:qFormat/>
    <w:rsid w:val="00D500EB"/>
    <w:pPr>
      <w:spacing w:before="60"/>
      <w:outlineLvl w:val="5"/>
    </w:pPr>
    <w:rPr>
      <w:color w:val="918585"/>
      <w:sz w:val="20"/>
    </w:rPr>
  </w:style>
  <w:style w:type="paragraph" w:styleId="Heading7">
    <w:name w:val="heading 7"/>
    <w:basedOn w:val="Normal"/>
    <w:next w:val="Normal"/>
    <w:link w:val="Heading7Char"/>
    <w:qFormat/>
    <w:rsid w:val="00D500EB"/>
    <w:pPr>
      <w:ind w:left="720"/>
      <w:outlineLvl w:val="6"/>
    </w:pPr>
    <w:rPr>
      <w:i/>
    </w:rPr>
  </w:style>
  <w:style w:type="paragraph" w:styleId="Heading8">
    <w:name w:val="heading 8"/>
    <w:basedOn w:val="Normal"/>
    <w:next w:val="Normal"/>
    <w:link w:val="Heading8Char"/>
    <w:qFormat/>
    <w:rsid w:val="00D500EB"/>
    <w:pPr>
      <w:ind w:left="720"/>
      <w:outlineLvl w:val="7"/>
    </w:pPr>
    <w:rPr>
      <w:i/>
    </w:rPr>
  </w:style>
  <w:style w:type="paragraph" w:styleId="Heading9">
    <w:name w:val="heading 9"/>
    <w:basedOn w:val="Normal"/>
    <w:next w:val="Normal"/>
    <w:link w:val="Heading9Char"/>
    <w:qFormat/>
    <w:rsid w:val="00D500EB"/>
    <w:pPr>
      <w:ind w:left="720"/>
      <w:outlineLvl w:val="8"/>
    </w:pPr>
    <w:rPr>
      <w:i/>
    </w:rPr>
  </w:style>
  <w:style w:type="character" w:default="1" w:styleId="DefaultParagraphFont">
    <w:name w:val="Default Paragraph Font"/>
    <w:uiPriority w:val="1"/>
    <w:unhideWhenUsed/>
    <w:rsid w:val="00D500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00EB"/>
  </w:style>
  <w:style w:type="character" w:customStyle="1" w:styleId="Heading1Char">
    <w:name w:val="Heading 1 Char"/>
    <w:basedOn w:val="DefaultParagraphFont"/>
    <w:link w:val="Heading1"/>
    <w:rsid w:val="00D500EB"/>
    <w:rPr>
      <w:rFonts w:ascii="Times New Roman" w:eastAsia="Times New Roman" w:hAnsi="Times New Roman" w:cs="Times New Roman"/>
      <w:b/>
      <w:sz w:val="32"/>
      <w:szCs w:val="20"/>
      <w:lang w:eastAsia="en-US"/>
    </w:rPr>
  </w:style>
  <w:style w:type="paragraph" w:styleId="BodyText">
    <w:name w:val="Body Text"/>
    <w:basedOn w:val="Normal"/>
    <w:link w:val="BodyTextChar"/>
    <w:rsid w:val="00D500E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500EB"/>
    <w:rPr>
      <w:rFonts w:ascii="Times New Roman" w:eastAsia="Times New Roman" w:hAnsi="Times New Roman" w:cs="Times New Roman"/>
      <w:sz w:val="24"/>
      <w:lang w:eastAsia="en-US"/>
    </w:rPr>
  </w:style>
  <w:style w:type="paragraph" w:styleId="ListBullet">
    <w:name w:val="List Bullet"/>
    <w:basedOn w:val="List"/>
    <w:rsid w:val="00D500EB"/>
    <w:pPr>
      <w:numPr>
        <w:numId w:val="13"/>
      </w:numPr>
      <w:tabs>
        <w:tab w:val="clear" w:pos="340"/>
      </w:tabs>
      <w:spacing w:before="40" w:after="40"/>
    </w:pPr>
  </w:style>
  <w:style w:type="character" w:customStyle="1" w:styleId="SpecialBold">
    <w:name w:val="Special Bold"/>
    <w:basedOn w:val="DefaultParagraphFont"/>
    <w:rsid w:val="00D500EB"/>
    <w:rPr>
      <w:b/>
      <w:spacing w:val="0"/>
    </w:rPr>
  </w:style>
  <w:style w:type="paragraph" w:styleId="ListBullet2">
    <w:name w:val="List Bullet 2"/>
    <w:basedOn w:val="List2"/>
    <w:rsid w:val="00D500EB"/>
    <w:pPr>
      <w:numPr>
        <w:numId w:val="14"/>
      </w:numPr>
      <w:tabs>
        <w:tab w:val="clear" w:pos="680"/>
      </w:tabs>
    </w:pPr>
  </w:style>
  <w:style w:type="character" w:styleId="Emphasis">
    <w:name w:val="Emphasis"/>
    <w:basedOn w:val="DefaultParagraphFont"/>
    <w:qFormat/>
    <w:rsid w:val="00D500EB"/>
    <w:rPr>
      <w:i/>
    </w:rPr>
  </w:style>
  <w:style w:type="paragraph" w:customStyle="1" w:styleId="SuperHeading">
    <w:name w:val="SuperHeading"/>
    <w:basedOn w:val="Normal"/>
    <w:rsid w:val="00D500EB"/>
    <w:pPr>
      <w:spacing w:before="240" w:after="120"/>
      <w:outlineLvl w:val="0"/>
    </w:pPr>
    <w:rPr>
      <w:rFonts w:ascii="Times New Roman" w:hAnsi="Times New Roman"/>
      <w:b/>
      <w:sz w:val="32"/>
    </w:rPr>
  </w:style>
  <w:style w:type="paragraph" w:customStyle="1" w:styleId="AllowPageBreak">
    <w:name w:val="AllowPageBreak"/>
    <w:rsid w:val="00D500E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500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00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00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00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00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00E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500E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500EB"/>
    <w:rPr>
      <w:rFonts w:ascii="Courier New" w:eastAsia="Times New Roman" w:hAnsi="Courier New" w:cs="Times New Roman"/>
      <w:i/>
      <w:szCs w:val="20"/>
      <w:lang w:eastAsia="en-US"/>
    </w:rPr>
  </w:style>
  <w:style w:type="paragraph" w:customStyle="1" w:styleId="HeadingBase">
    <w:name w:val="Heading Base"/>
    <w:rsid w:val="00D500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00EB"/>
    <w:pPr>
      <w:tabs>
        <w:tab w:val="right" w:leader="dot" w:pos="9072"/>
      </w:tabs>
      <w:ind w:left="567"/>
    </w:pPr>
    <w:rPr>
      <w:szCs w:val="22"/>
    </w:rPr>
  </w:style>
  <w:style w:type="paragraph" w:customStyle="1" w:styleId="TOCBase">
    <w:name w:val="TOC Base"/>
    <w:rsid w:val="00D500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00EB"/>
    <w:pPr>
      <w:tabs>
        <w:tab w:val="right" w:leader="dot" w:pos="9072"/>
      </w:tabs>
      <w:spacing w:before="40" w:after="40"/>
      <w:ind w:left="284"/>
    </w:pPr>
    <w:rPr>
      <w:rFonts w:ascii="Times New Roman" w:hAnsi="Times New Roman"/>
    </w:rPr>
  </w:style>
  <w:style w:type="paragraph" w:styleId="TOC1">
    <w:name w:val="toc 1"/>
    <w:basedOn w:val="TOCBase"/>
    <w:next w:val="Normal"/>
    <w:rsid w:val="00D500E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500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00EB"/>
    <w:rPr>
      <w:rFonts w:ascii="Times New Roman" w:eastAsia="Times New Roman" w:hAnsi="Times New Roman" w:cs="Times New Roman"/>
      <w:sz w:val="16"/>
      <w:lang w:eastAsia="en-US"/>
    </w:rPr>
  </w:style>
  <w:style w:type="paragraph" w:styleId="Title">
    <w:name w:val="Title"/>
    <w:basedOn w:val="HeadingBase"/>
    <w:link w:val="TitleChar"/>
    <w:qFormat/>
    <w:rsid w:val="00D500EB"/>
    <w:pPr>
      <w:spacing w:before="5040"/>
      <w:jc w:val="center"/>
    </w:pPr>
    <w:rPr>
      <w:sz w:val="48"/>
      <w:szCs w:val="72"/>
      <w:lang w:val="en-US"/>
    </w:rPr>
  </w:style>
  <w:style w:type="character" w:customStyle="1" w:styleId="TitleChar">
    <w:name w:val="Title Char"/>
    <w:basedOn w:val="DefaultParagraphFont"/>
    <w:link w:val="Title"/>
    <w:rsid w:val="00D500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00EB"/>
    <w:pPr>
      <w:tabs>
        <w:tab w:val="left" w:pos="3600"/>
        <w:tab w:val="left" w:pos="3958"/>
      </w:tabs>
    </w:pPr>
  </w:style>
  <w:style w:type="paragraph" w:styleId="List">
    <w:name w:val="List"/>
    <w:basedOn w:val="BodyText"/>
    <w:next w:val="BodyText"/>
    <w:rsid w:val="00D500EB"/>
    <w:pPr>
      <w:tabs>
        <w:tab w:val="left" w:pos="340"/>
      </w:tabs>
      <w:spacing w:before="60" w:after="60"/>
      <w:ind w:left="340" w:hanging="340"/>
    </w:pPr>
  </w:style>
  <w:style w:type="paragraph" w:customStyle="1" w:styleId="Note">
    <w:name w:val="Note"/>
    <w:basedOn w:val="BodyText"/>
    <w:rsid w:val="00D500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500EB"/>
    <w:pPr>
      <w:framePr w:wrap="auto" w:hAnchor="text" w:y="6049"/>
    </w:pPr>
    <w:rPr>
      <w:color w:val="000000"/>
      <w:sz w:val="40"/>
    </w:rPr>
  </w:style>
  <w:style w:type="paragraph" w:customStyle="1" w:styleId="TOCTitle">
    <w:name w:val="TOCTitle"/>
    <w:basedOn w:val="Heading1"/>
    <w:rsid w:val="00D500EB"/>
    <w:pPr>
      <w:spacing w:after="240"/>
      <w:jc w:val="center"/>
      <w:outlineLvl w:val="9"/>
    </w:pPr>
    <w:rPr>
      <w:caps/>
    </w:rPr>
  </w:style>
  <w:style w:type="paragraph" w:customStyle="1" w:styleId="Version">
    <w:name w:val="Version"/>
    <w:rsid w:val="00D500E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500EB"/>
    <w:pPr>
      <w:keepNext w:val="0"/>
      <w:tabs>
        <w:tab w:val="right" w:pos="4176"/>
      </w:tabs>
      <w:ind w:left="198" w:hanging="198"/>
    </w:pPr>
    <w:rPr>
      <w:rFonts w:ascii="Garamond" w:hAnsi="Garamond"/>
    </w:rPr>
  </w:style>
  <w:style w:type="paragraph" w:styleId="IndexHeading">
    <w:name w:val="index heading"/>
    <w:basedOn w:val="Normal"/>
    <w:next w:val="Index1"/>
    <w:semiHidden/>
    <w:rsid w:val="00D500EB"/>
    <w:pPr>
      <w:spacing w:before="120" w:after="120"/>
    </w:pPr>
    <w:rPr>
      <w:rFonts w:ascii="Arial" w:hAnsi="Arial"/>
      <w:b/>
      <w:color w:val="918585"/>
      <w:sz w:val="24"/>
    </w:rPr>
  </w:style>
  <w:style w:type="paragraph" w:styleId="Header">
    <w:name w:val="header"/>
    <w:basedOn w:val="Normal"/>
    <w:link w:val="HeaderChar"/>
    <w:rsid w:val="00D500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00EB"/>
    <w:rPr>
      <w:rFonts w:ascii="Times New Roman" w:eastAsia="Times New Roman" w:hAnsi="Times New Roman" w:cs="Times New Roman"/>
      <w:sz w:val="16"/>
      <w:szCs w:val="20"/>
      <w:lang w:val="en-GB" w:eastAsia="en-US"/>
    </w:rPr>
  </w:style>
  <w:style w:type="paragraph" w:customStyle="1" w:styleId="Chapter">
    <w:name w:val="Chapter"/>
    <w:basedOn w:val="Normal"/>
    <w:rsid w:val="00D500EB"/>
    <w:pPr>
      <w:spacing w:before="240"/>
    </w:pPr>
    <w:rPr>
      <w:rFonts w:ascii="Times New Roman" w:hAnsi="Times New Roman"/>
      <w:smallCaps/>
      <w:spacing w:val="80"/>
      <w:sz w:val="28"/>
    </w:rPr>
  </w:style>
  <w:style w:type="paragraph" w:customStyle="1" w:styleId="InChapter">
    <w:name w:val="InChapter"/>
    <w:basedOn w:val="Heading3"/>
    <w:rsid w:val="00D500EB"/>
    <w:pPr>
      <w:spacing w:after="240"/>
      <w:outlineLvl w:val="9"/>
    </w:pPr>
    <w:rPr>
      <w:noProof/>
    </w:rPr>
  </w:style>
  <w:style w:type="paragraph" w:styleId="Index2">
    <w:name w:val="index 2"/>
    <w:basedOn w:val="Normal"/>
    <w:next w:val="Normal"/>
    <w:semiHidden/>
    <w:rsid w:val="00D500EB"/>
    <w:pPr>
      <w:tabs>
        <w:tab w:val="right" w:pos="4176"/>
      </w:tabs>
      <w:ind w:left="568" w:hanging="284"/>
    </w:pPr>
    <w:rPr>
      <w:rFonts w:ascii="Garamond" w:hAnsi="Garamond"/>
    </w:rPr>
  </w:style>
  <w:style w:type="paragraph" w:customStyle="1" w:styleId="Byline">
    <w:name w:val="Byline"/>
    <w:rsid w:val="00D500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00EB"/>
    <w:pPr>
      <w:tabs>
        <w:tab w:val="clear" w:pos="3600"/>
        <w:tab w:val="clear" w:pos="3958"/>
      </w:tabs>
      <w:jc w:val="right"/>
    </w:pPr>
  </w:style>
  <w:style w:type="paragraph" w:styleId="Caption">
    <w:name w:val="caption"/>
    <w:basedOn w:val="BodyText"/>
    <w:next w:val="Normal"/>
    <w:qFormat/>
    <w:rsid w:val="00D500EB"/>
    <w:pPr>
      <w:framePr w:w="2268" w:hSpace="181" w:vSpace="181" w:wrap="around" w:vAnchor="text" w:hAnchor="page" w:x="1135" w:y="285" w:anchorLock="1"/>
    </w:pPr>
    <w:rPr>
      <w:i/>
    </w:rPr>
  </w:style>
  <w:style w:type="paragraph" w:customStyle="1" w:styleId="MiniTOCTitle">
    <w:name w:val="MiniTOCTitle"/>
    <w:basedOn w:val="Heading4"/>
    <w:rsid w:val="00D500EB"/>
    <w:pPr>
      <w:spacing w:before="240"/>
      <w:outlineLvl w:val="9"/>
    </w:pPr>
    <w:rPr>
      <w:noProof/>
      <w:sz w:val="24"/>
    </w:rPr>
  </w:style>
  <w:style w:type="paragraph" w:customStyle="1" w:styleId="MiniTOCItem">
    <w:name w:val="MiniTOCItem"/>
    <w:basedOn w:val="ListBullet"/>
    <w:rsid w:val="00D500EB"/>
    <w:pPr>
      <w:numPr>
        <w:numId w:val="0"/>
      </w:numPr>
      <w:tabs>
        <w:tab w:val="right" w:leader="dot" w:pos="6521"/>
      </w:tabs>
      <w:spacing w:before="0" w:after="0"/>
    </w:pPr>
  </w:style>
  <w:style w:type="paragraph" w:customStyle="1" w:styleId="TOFTitle">
    <w:name w:val="TOFTitle"/>
    <w:basedOn w:val="TOCTitle"/>
    <w:rsid w:val="00D500EB"/>
  </w:style>
  <w:style w:type="paragraph" w:styleId="TableofFigures">
    <w:name w:val="table of figures"/>
    <w:basedOn w:val="Normal"/>
    <w:next w:val="Normal"/>
    <w:semiHidden/>
    <w:rsid w:val="00D500EB"/>
    <w:pPr>
      <w:tabs>
        <w:tab w:val="right" w:leader="dot" w:pos="9072"/>
      </w:tabs>
      <w:ind w:left="970" w:hanging="403"/>
    </w:pPr>
    <w:rPr>
      <w:rFonts w:ascii="Times New Roman" w:hAnsi="Times New Roman"/>
      <w:b/>
    </w:rPr>
  </w:style>
  <w:style w:type="paragraph" w:styleId="ListNumber">
    <w:name w:val="List Number"/>
    <w:basedOn w:val="List"/>
    <w:rsid w:val="00D500EB"/>
    <w:pPr>
      <w:numPr>
        <w:numId w:val="11"/>
      </w:numPr>
    </w:pPr>
  </w:style>
  <w:style w:type="character" w:customStyle="1" w:styleId="WingdingSymbols">
    <w:name w:val="Wingding Symbols"/>
    <w:rsid w:val="00D500EB"/>
    <w:rPr>
      <w:rFonts w:ascii="Wingdings" w:hAnsi="Wingdings"/>
    </w:rPr>
  </w:style>
  <w:style w:type="paragraph" w:customStyle="1" w:styleId="TableHeading">
    <w:name w:val="Table Heading"/>
    <w:basedOn w:val="HeadingBase"/>
    <w:rsid w:val="00D500EB"/>
    <w:pPr>
      <w:keepLines/>
      <w:pBdr>
        <w:bottom w:val="single" w:sz="6" w:space="1" w:color="918585"/>
      </w:pBdr>
      <w:spacing w:before="240"/>
    </w:pPr>
  </w:style>
  <w:style w:type="character" w:customStyle="1" w:styleId="HotSpot">
    <w:name w:val="HotSpot"/>
    <w:rsid w:val="00D500EB"/>
    <w:rPr>
      <w:color w:val="0033CC"/>
      <w:u w:val="none"/>
    </w:rPr>
  </w:style>
  <w:style w:type="paragraph" w:customStyle="1" w:styleId="BodyTextRight">
    <w:name w:val="Body Text Right"/>
    <w:basedOn w:val="BodyText"/>
    <w:rsid w:val="00D500EB"/>
    <w:pPr>
      <w:spacing w:before="0" w:after="0"/>
      <w:jc w:val="right"/>
    </w:pPr>
  </w:style>
  <w:style w:type="paragraph" w:styleId="Index3">
    <w:name w:val="index 3"/>
    <w:basedOn w:val="ListNumber2"/>
    <w:next w:val="Normal"/>
    <w:semiHidden/>
    <w:rsid w:val="00D500EB"/>
    <w:pPr>
      <w:numPr>
        <w:numId w:val="0"/>
      </w:numPr>
      <w:tabs>
        <w:tab w:val="right" w:leader="dot" w:pos="4176"/>
      </w:tabs>
    </w:pPr>
  </w:style>
  <w:style w:type="paragraph" w:styleId="ListNumber2">
    <w:name w:val="List Number 2"/>
    <w:basedOn w:val="List2"/>
    <w:rsid w:val="00D500EB"/>
    <w:pPr>
      <w:numPr>
        <w:numId w:val="10"/>
      </w:numPr>
      <w:tabs>
        <w:tab w:val="clear" w:pos="1060"/>
      </w:tabs>
    </w:pPr>
  </w:style>
  <w:style w:type="paragraph" w:customStyle="1" w:styleId="MarginNote">
    <w:name w:val="Margin Note"/>
    <w:basedOn w:val="BodyText"/>
    <w:rsid w:val="00D500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00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00E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500EB"/>
    <w:rPr>
      <w:sz w:val="32"/>
    </w:rPr>
  </w:style>
  <w:style w:type="paragraph" w:customStyle="1" w:styleId="HeadingProcedure">
    <w:name w:val="Heading Procedure"/>
    <w:basedOn w:val="HeadingBase"/>
    <w:next w:val="Normal"/>
    <w:rsid w:val="00D500EB"/>
    <w:pPr>
      <w:tabs>
        <w:tab w:val="left" w:pos="0"/>
      </w:tabs>
      <w:spacing w:before="120" w:after="60"/>
    </w:pPr>
    <w:rPr>
      <w:i/>
      <w:color w:val="918585"/>
      <w:sz w:val="22"/>
    </w:rPr>
  </w:style>
  <w:style w:type="paragraph" w:customStyle="1" w:styleId="TableBodyText">
    <w:name w:val="Table Body Text"/>
    <w:basedOn w:val="BodyText"/>
    <w:rsid w:val="00D500EB"/>
    <w:pPr>
      <w:spacing w:before="60" w:after="60"/>
    </w:pPr>
  </w:style>
  <w:style w:type="paragraph" w:styleId="ListContinue">
    <w:name w:val="List Continue"/>
    <w:basedOn w:val="List"/>
    <w:rsid w:val="00D500EB"/>
    <w:pPr>
      <w:ind w:firstLine="0"/>
    </w:pPr>
  </w:style>
  <w:style w:type="paragraph" w:customStyle="1" w:styleId="ListNote">
    <w:name w:val="List Note"/>
    <w:basedOn w:val="List"/>
    <w:rsid w:val="00D500EB"/>
    <w:pPr>
      <w:pBdr>
        <w:top w:val="single" w:sz="6" w:space="2" w:color="918585"/>
        <w:bottom w:val="single" w:sz="6" w:space="2" w:color="918585"/>
      </w:pBdr>
      <w:tabs>
        <w:tab w:val="left" w:pos="1021"/>
      </w:tabs>
      <w:ind w:firstLine="0"/>
    </w:pPr>
  </w:style>
  <w:style w:type="paragraph" w:customStyle="1" w:styleId="Warning">
    <w:name w:val="Warning"/>
    <w:basedOn w:val="BodyText"/>
    <w:rsid w:val="00D500EB"/>
    <w:pPr>
      <w:shd w:val="clear" w:color="auto" w:fill="D9D9D9"/>
      <w:tabs>
        <w:tab w:val="left" w:pos="992"/>
      </w:tabs>
      <w:ind w:left="119" w:right="119"/>
    </w:pPr>
    <w:rPr>
      <w:sz w:val="20"/>
    </w:rPr>
  </w:style>
  <w:style w:type="paragraph" w:customStyle="1" w:styleId="MarginIcons">
    <w:name w:val="Margin Icons"/>
    <w:basedOn w:val="BodyText"/>
    <w:rsid w:val="00D500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00EB"/>
    <w:rPr>
      <w:rFonts w:ascii="Courier New" w:hAnsi="Courier New"/>
    </w:rPr>
  </w:style>
  <w:style w:type="paragraph" w:customStyle="1" w:styleId="NoteBullet">
    <w:name w:val="Note Bullet"/>
    <w:basedOn w:val="Note"/>
    <w:rsid w:val="00D500EB"/>
    <w:pPr>
      <w:tabs>
        <w:tab w:val="clear" w:pos="680"/>
      </w:tabs>
      <w:spacing w:before="60" w:after="60"/>
    </w:pPr>
  </w:style>
  <w:style w:type="paragraph" w:customStyle="1" w:styleId="SubHeading2">
    <w:name w:val="SubHeading2"/>
    <w:basedOn w:val="HeadingBase"/>
    <w:rsid w:val="00D500EB"/>
    <w:pPr>
      <w:spacing w:before="240" w:after="60"/>
    </w:pPr>
    <w:rPr>
      <w:sz w:val="20"/>
    </w:rPr>
  </w:style>
  <w:style w:type="paragraph" w:customStyle="1" w:styleId="SubHeading1">
    <w:name w:val="SubHeading1"/>
    <w:basedOn w:val="HeadingBase"/>
    <w:rsid w:val="00D500EB"/>
    <w:pPr>
      <w:spacing w:before="240" w:after="60"/>
    </w:pPr>
    <w:rPr>
      <w:color w:val="918585"/>
      <w:sz w:val="22"/>
    </w:rPr>
  </w:style>
  <w:style w:type="paragraph" w:customStyle="1" w:styleId="SideHeading">
    <w:name w:val="Side Heading"/>
    <w:basedOn w:val="HeadingBase"/>
    <w:rsid w:val="00D500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00EB"/>
    <w:pPr>
      <w:numPr>
        <w:numId w:val="12"/>
      </w:numPr>
    </w:pPr>
  </w:style>
  <w:style w:type="paragraph" w:styleId="PlainText">
    <w:name w:val="Plain Text"/>
    <w:basedOn w:val="Normal"/>
    <w:link w:val="PlainTextChar"/>
    <w:rsid w:val="00D500EB"/>
    <w:rPr>
      <w:sz w:val="20"/>
    </w:rPr>
  </w:style>
  <w:style w:type="character" w:customStyle="1" w:styleId="PlainTextChar">
    <w:name w:val="Plain Text Char"/>
    <w:basedOn w:val="DefaultParagraphFont"/>
    <w:link w:val="PlainText"/>
    <w:rsid w:val="00D500EB"/>
    <w:rPr>
      <w:rFonts w:ascii="Courier New" w:eastAsia="Times New Roman" w:hAnsi="Courier New" w:cs="Times New Roman"/>
      <w:sz w:val="20"/>
      <w:szCs w:val="20"/>
      <w:lang w:eastAsia="en-US"/>
    </w:rPr>
  </w:style>
  <w:style w:type="character" w:customStyle="1" w:styleId="MenuOption">
    <w:name w:val="Menu Option"/>
    <w:basedOn w:val="DefaultParagraphFont"/>
    <w:rsid w:val="00D500EB"/>
    <w:rPr>
      <w:b/>
      <w:smallCaps/>
    </w:rPr>
  </w:style>
  <w:style w:type="paragraph" w:customStyle="1" w:styleId="TableListNumber">
    <w:name w:val="Table List Number"/>
    <w:basedOn w:val="ListNumber"/>
    <w:rsid w:val="00D500EB"/>
    <w:pPr>
      <w:numPr>
        <w:numId w:val="0"/>
      </w:numPr>
    </w:pPr>
  </w:style>
  <w:style w:type="paragraph" w:styleId="TOC4">
    <w:name w:val="toc 4"/>
    <w:basedOn w:val="TOCBase"/>
    <w:next w:val="Normal"/>
    <w:semiHidden/>
    <w:rsid w:val="00D500EB"/>
    <w:pPr>
      <w:tabs>
        <w:tab w:val="right" w:leader="dot" w:pos="9071"/>
      </w:tabs>
      <w:ind w:left="1701"/>
    </w:pPr>
  </w:style>
  <w:style w:type="paragraph" w:customStyle="1" w:styleId="ListAlpha">
    <w:name w:val="List Alpha"/>
    <w:basedOn w:val="List"/>
    <w:rsid w:val="00D500EB"/>
    <w:pPr>
      <w:numPr>
        <w:numId w:val="9"/>
      </w:numPr>
    </w:pPr>
  </w:style>
  <w:style w:type="paragraph" w:customStyle="1" w:styleId="ListAlpha2">
    <w:name w:val="List Alpha 2"/>
    <w:basedOn w:val="List2"/>
    <w:rsid w:val="00D500EB"/>
    <w:pPr>
      <w:numPr>
        <w:numId w:val="8"/>
      </w:numPr>
    </w:pPr>
  </w:style>
  <w:style w:type="paragraph" w:styleId="List2">
    <w:name w:val="List 2"/>
    <w:basedOn w:val="BodyText"/>
    <w:rsid w:val="00D500EB"/>
    <w:pPr>
      <w:tabs>
        <w:tab w:val="left" w:pos="680"/>
      </w:tabs>
      <w:spacing w:before="60" w:after="60"/>
      <w:ind w:left="680" w:hanging="340"/>
    </w:pPr>
  </w:style>
  <w:style w:type="paragraph" w:styleId="List3">
    <w:name w:val="List 3"/>
    <w:basedOn w:val="BodyText"/>
    <w:rsid w:val="00D500EB"/>
    <w:pPr>
      <w:tabs>
        <w:tab w:val="left" w:pos="1021"/>
      </w:tabs>
      <w:spacing w:before="60" w:after="60"/>
      <w:ind w:left="1020" w:hanging="340"/>
    </w:pPr>
  </w:style>
  <w:style w:type="paragraph" w:styleId="List4">
    <w:name w:val="List 4"/>
    <w:basedOn w:val="BodyText"/>
    <w:rsid w:val="00D500EB"/>
    <w:pPr>
      <w:tabs>
        <w:tab w:val="left" w:pos="1361"/>
      </w:tabs>
      <w:spacing w:before="60" w:after="60"/>
      <w:ind w:left="1361" w:hanging="340"/>
    </w:pPr>
  </w:style>
  <w:style w:type="paragraph" w:styleId="List5">
    <w:name w:val="List 5"/>
    <w:basedOn w:val="BodyText"/>
    <w:rsid w:val="00D500EB"/>
    <w:pPr>
      <w:tabs>
        <w:tab w:val="left" w:pos="1701"/>
      </w:tabs>
      <w:spacing w:before="60" w:after="60"/>
      <w:ind w:left="1701" w:hanging="340"/>
    </w:pPr>
  </w:style>
  <w:style w:type="paragraph" w:styleId="ListBullet3">
    <w:name w:val="List Bullet 3"/>
    <w:basedOn w:val="List3"/>
    <w:rsid w:val="00D500EB"/>
    <w:pPr>
      <w:numPr>
        <w:numId w:val="15"/>
      </w:numPr>
      <w:tabs>
        <w:tab w:val="clear" w:pos="1021"/>
      </w:tabs>
      <w:ind w:left="1037" w:hanging="357"/>
    </w:pPr>
  </w:style>
  <w:style w:type="paragraph" w:styleId="ListBullet4">
    <w:name w:val="List Bullet 4"/>
    <w:basedOn w:val="List4"/>
    <w:rsid w:val="00D500EB"/>
    <w:pPr>
      <w:numPr>
        <w:numId w:val="3"/>
      </w:numPr>
      <w:tabs>
        <w:tab w:val="clear" w:pos="1361"/>
      </w:tabs>
    </w:pPr>
  </w:style>
  <w:style w:type="paragraph" w:styleId="ListBullet5">
    <w:name w:val="List Bullet 5"/>
    <w:basedOn w:val="List5"/>
    <w:rsid w:val="00D500EB"/>
    <w:pPr>
      <w:numPr>
        <w:numId w:val="4"/>
      </w:numPr>
    </w:pPr>
  </w:style>
  <w:style w:type="paragraph" w:styleId="ListContinue2">
    <w:name w:val="List Continue 2"/>
    <w:basedOn w:val="List2"/>
    <w:rsid w:val="00D500EB"/>
    <w:pPr>
      <w:ind w:firstLine="0"/>
    </w:pPr>
  </w:style>
  <w:style w:type="paragraph" w:styleId="ListContinue3">
    <w:name w:val="List Continue 3"/>
    <w:basedOn w:val="List3"/>
    <w:rsid w:val="00D500EB"/>
    <w:pPr>
      <w:ind w:left="1021" w:firstLine="0"/>
    </w:pPr>
  </w:style>
  <w:style w:type="paragraph" w:styleId="ListContinue4">
    <w:name w:val="List Continue 4"/>
    <w:basedOn w:val="List4"/>
    <w:rsid w:val="00D500EB"/>
    <w:pPr>
      <w:ind w:firstLine="0"/>
    </w:pPr>
  </w:style>
  <w:style w:type="paragraph" w:styleId="ListContinue5">
    <w:name w:val="List Continue 5"/>
    <w:basedOn w:val="List5"/>
    <w:rsid w:val="00D500EB"/>
    <w:pPr>
      <w:ind w:firstLine="0"/>
    </w:pPr>
  </w:style>
  <w:style w:type="paragraph" w:styleId="ListNumber3">
    <w:name w:val="List Number 3"/>
    <w:basedOn w:val="List3"/>
    <w:rsid w:val="00D500EB"/>
    <w:pPr>
      <w:numPr>
        <w:numId w:val="5"/>
      </w:numPr>
    </w:pPr>
  </w:style>
  <w:style w:type="paragraph" w:styleId="ListNumber4">
    <w:name w:val="List Number 4"/>
    <w:basedOn w:val="List4"/>
    <w:rsid w:val="00D500EB"/>
    <w:pPr>
      <w:numPr>
        <w:numId w:val="6"/>
      </w:numPr>
    </w:pPr>
  </w:style>
  <w:style w:type="paragraph" w:styleId="ListNumber5">
    <w:name w:val="List Number 5"/>
    <w:basedOn w:val="List5"/>
    <w:rsid w:val="00D500EB"/>
    <w:pPr>
      <w:numPr>
        <w:numId w:val="7"/>
      </w:numPr>
    </w:pPr>
  </w:style>
  <w:style w:type="paragraph" w:styleId="BlockText">
    <w:name w:val="Block Text"/>
    <w:basedOn w:val="Normal"/>
    <w:rsid w:val="00D500EB"/>
    <w:pPr>
      <w:spacing w:after="120"/>
      <w:ind w:left="1440" w:right="1440"/>
    </w:pPr>
  </w:style>
  <w:style w:type="character" w:customStyle="1" w:styleId="Subscript">
    <w:name w:val="Subscript"/>
    <w:basedOn w:val="DefaultParagraphFont"/>
    <w:rsid w:val="00D500EB"/>
    <w:rPr>
      <w:sz w:val="16"/>
      <w:vertAlign w:val="subscript"/>
    </w:rPr>
  </w:style>
  <w:style w:type="character" w:customStyle="1" w:styleId="Superscript">
    <w:name w:val="Superscript"/>
    <w:basedOn w:val="DefaultParagraphFont"/>
    <w:rsid w:val="00D500EB"/>
    <w:rPr>
      <w:sz w:val="16"/>
      <w:vertAlign w:val="superscript"/>
    </w:rPr>
  </w:style>
  <w:style w:type="character" w:customStyle="1" w:styleId="Symbols">
    <w:name w:val="Symbols"/>
    <w:basedOn w:val="DefaultParagraphFont"/>
    <w:rsid w:val="00D500EB"/>
    <w:rPr>
      <w:rFonts w:ascii="Symbol" w:hAnsi="Symbol"/>
    </w:rPr>
  </w:style>
  <w:style w:type="character" w:customStyle="1" w:styleId="MenuOptions">
    <w:name w:val="Menu Options"/>
    <w:basedOn w:val="DefaultParagraphFont"/>
    <w:rsid w:val="00D500EB"/>
    <w:rPr>
      <w:rFonts w:ascii="Arial Narrow" w:hAnsi="Arial Narrow"/>
      <w:smallCaps/>
    </w:rPr>
  </w:style>
  <w:style w:type="character" w:customStyle="1" w:styleId="Buttons">
    <w:name w:val="Buttons"/>
    <w:basedOn w:val="DefaultParagraphFont"/>
    <w:rsid w:val="00D500EB"/>
    <w:rPr>
      <w:b/>
    </w:rPr>
  </w:style>
  <w:style w:type="character" w:customStyle="1" w:styleId="Underlined">
    <w:name w:val="Underlined"/>
    <w:basedOn w:val="DefaultParagraphFont"/>
    <w:rsid w:val="00D500EB"/>
    <w:rPr>
      <w:u w:val="single"/>
    </w:rPr>
  </w:style>
  <w:style w:type="paragraph" w:customStyle="1" w:styleId="TableBodyTextRight">
    <w:name w:val="Table Body Text Right"/>
    <w:basedOn w:val="TableBodyText"/>
    <w:rsid w:val="00D500EB"/>
    <w:pPr>
      <w:widowControl w:val="0"/>
      <w:autoSpaceDE w:val="0"/>
      <w:autoSpaceDN w:val="0"/>
      <w:adjustRightInd w:val="0"/>
      <w:jc w:val="right"/>
    </w:pPr>
    <w:rPr>
      <w:rFonts w:cs="Arial"/>
      <w:szCs w:val="18"/>
    </w:rPr>
  </w:style>
  <w:style w:type="paragraph" w:customStyle="1" w:styleId="CopyrightText">
    <w:name w:val="Copyright Text"/>
    <w:basedOn w:val="BodyText"/>
    <w:rsid w:val="00D500EB"/>
    <w:rPr>
      <w:sz w:val="18"/>
    </w:rPr>
  </w:style>
  <w:style w:type="paragraph" w:customStyle="1" w:styleId="BodySmallRight">
    <w:name w:val="Body Small Right"/>
    <w:basedOn w:val="BodyTextRight"/>
    <w:rsid w:val="00D500EB"/>
    <w:rPr>
      <w:sz w:val="18"/>
      <w:szCs w:val="18"/>
    </w:rPr>
  </w:style>
  <w:style w:type="paragraph" w:customStyle="1" w:styleId="MarginEdition">
    <w:name w:val="Margin Edition"/>
    <w:basedOn w:val="MarginNote"/>
    <w:rsid w:val="00D500EB"/>
    <w:pPr>
      <w:spacing w:before="0" w:after="0"/>
    </w:pPr>
    <w:rPr>
      <w:rFonts w:ascii="Times New Roman" w:hAnsi="Times New Roman"/>
      <w:color w:val="999999"/>
    </w:rPr>
  </w:style>
  <w:style w:type="paragraph" w:customStyle="1" w:styleId="Spacer">
    <w:name w:val="Spacer"/>
    <w:basedOn w:val="Normal"/>
    <w:rsid w:val="00D500EB"/>
    <w:rPr>
      <w:sz w:val="2"/>
      <w:szCs w:val="2"/>
    </w:rPr>
  </w:style>
  <w:style w:type="character" w:customStyle="1" w:styleId="Small">
    <w:name w:val="Small"/>
    <w:basedOn w:val="DefaultParagraphFont"/>
    <w:rsid w:val="00D500EB"/>
    <w:rPr>
      <w:sz w:val="16"/>
    </w:rPr>
  </w:style>
  <w:style w:type="paragraph" w:customStyle="1" w:styleId="WideTable">
    <w:name w:val="Wide Table"/>
    <w:basedOn w:val="Normal"/>
    <w:rsid w:val="00D500EB"/>
    <w:pPr>
      <w:ind w:left="-1418"/>
    </w:pPr>
    <w:rPr>
      <w:sz w:val="2"/>
      <w:szCs w:val="2"/>
    </w:rPr>
  </w:style>
  <w:style w:type="character" w:styleId="PageNumber">
    <w:name w:val="page number"/>
    <w:basedOn w:val="DefaultParagraphFont"/>
    <w:rsid w:val="00D500EB"/>
  </w:style>
  <w:style w:type="paragraph" w:styleId="Quote">
    <w:name w:val="Quote"/>
    <w:basedOn w:val="Heading1"/>
    <w:link w:val="QuoteChar"/>
    <w:qFormat/>
    <w:rsid w:val="00D500EB"/>
    <w:rPr>
      <w:b w:val="0"/>
      <w:sz w:val="72"/>
      <w:szCs w:val="72"/>
      <w:lang w:val="en-NZ"/>
    </w:rPr>
  </w:style>
  <w:style w:type="character" w:customStyle="1" w:styleId="QuoteChar">
    <w:name w:val="Quote Char"/>
    <w:basedOn w:val="DefaultParagraphFont"/>
    <w:link w:val="Quote"/>
    <w:rsid w:val="00D500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00EB"/>
    <w:pPr>
      <w:pageBreakBefore/>
    </w:pPr>
  </w:style>
  <w:style w:type="paragraph" w:customStyle="1" w:styleId="Border">
    <w:name w:val="Border"/>
    <w:basedOn w:val="Normal"/>
    <w:qFormat/>
    <w:rsid w:val="00D500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00EB"/>
    <w:rPr>
      <w:b/>
      <w:bCs/>
      <w:i/>
      <w:iCs/>
      <w:color w:val="auto"/>
    </w:rPr>
  </w:style>
  <w:style w:type="paragraph" w:styleId="IntenseQuote">
    <w:name w:val="Intense Quote"/>
    <w:basedOn w:val="Normal"/>
    <w:next w:val="Normal"/>
    <w:link w:val="IntenseQuoteChar"/>
    <w:uiPriority w:val="30"/>
    <w:qFormat/>
    <w:rsid w:val="00D500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00E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500EB"/>
    <w:rPr>
      <w:smallCaps/>
      <w:color w:val="auto"/>
      <w:u w:val="single"/>
    </w:rPr>
  </w:style>
  <w:style w:type="character" w:styleId="IntenseReference">
    <w:name w:val="Intense Reference"/>
    <w:basedOn w:val="DefaultParagraphFont"/>
    <w:uiPriority w:val="32"/>
    <w:qFormat/>
    <w:rsid w:val="00D500EB"/>
    <w:rPr>
      <w:b/>
      <w:bCs/>
      <w:smallCaps/>
      <w:color w:val="auto"/>
      <w:spacing w:val="5"/>
      <w:u w:val="single"/>
    </w:rPr>
  </w:style>
  <w:style w:type="paragraph" w:customStyle="1" w:styleId="2ColumnHeading">
    <w:name w:val="2Column Heading"/>
    <w:basedOn w:val="BodyText"/>
    <w:qFormat/>
    <w:rsid w:val="00D500EB"/>
    <w:pPr>
      <w:spacing w:after="60"/>
      <w:ind w:left="-2268"/>
    </w:pPr>
    <w:rPr>
      <w:b/>
    </w:rPr>
  </w:style>
  <w:style w:type="paragraph" w:customStyle="1" w:styleId="Heading1TOC">
    <w:name w:val="Heading1 TOC"/>
    <w:basedOn w:val="Normal"/>
    <w:qFormat/>
    <w:rsid w:val="00D500EB"/>
    <w:pPr>
      <w:spacing w:before="240" w:after="120"/>
    </w:pPr>
    <w:rPr>
      <w:rFonts w:ascii="Times New Roman" w:hAnsi="Times New Roman"/>
      <w:b/>
      <w:sz w:val="32"/>
    </w:rPr>
  </w:style>
  <w:style w:type="paragraph" w:customStyle="1" w:styleId="Heading2TOC">
    <w:name w:val="Heading2 TOC"/>
    <w:basedOn w:val="Normal"/>
    <w:qFormat/>
    <w:rsid w:val="00D500EB"/>
    <w:pPr>
      <w:spacing w:before="240" w:after="60"/>
    </w:pPr>
    <w:rPr>
      <w:rFonts w:ascii="Times New Roman" w:hAnsi="Times New Roman"/>
      <w:b/>
      <w:sz w:val="28"/>
    </w:rPr>
  </w:style>
  <w:style w:type="character" w:customStyle="1" w:styleId="Underline">
    <w:name w:val="Underline"/>
    <w:basedOn w:val="DefaultParagraphFont"/>
    <w:qFormat/>
    <w:rsid w:val="00D500EB"/>
    <w:rPr>
      <w:u w:val="single"/>
    </w:rPr>
  </w:style>
  <w:style w:type="character" w:customStyle="1" w:styleId="BoldandItalics">
    <w:name w:val="Bold and Italics"/>
    <w:qFormat/>
    <w:rsid w:val="00D500EB"/>
    <w:rPr>
      <w:b/>
      <w:i/>
      <w:u w:val="none"/>
    </w:rPr>
  </w:style>
  <w:style w:type="paragraph" w:styleId="BalloonText">
    <w:name w:val="Balloon Text"/>
    <w:basedOn w:val="Normal"/>
    <w:link w:val="BalloonTextChar"/>
    <w:rsid w:val="00D500EB"/>
    <w:rPr>
      <w:rFonts w:ascii="Tahoma" w:hAnsi="Tahoma" w:cs="Tahoma"/>
      <w:sz w:val="16"/>
      <w:szCs w:val="16"/>
    </w:rPr>
  </w:style>
  <w:style w:type="character" w:customStyle="1" w:styleId="BalloonTextChar">
    <w:name w:val="Balloon Text Char"/>
    <w:basedOn w:val="DefaultParagraphFont"/>
    <w:link w:val="BalloonText"/>
    <w:rsid w:val="00D500E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500E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500E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500EB"/>
    <w:rPr>
      <w:b/>
      <w:color w:val="660033"/>
      <w:spacing w:val="0"/>
    </w:rPr>
  </w:style>
  <w:style w:type="paragraph" w:customStyle="1" w:styleId="Nameditemlist">
    <w:name w:val="Named item list"/>
    <w:basedOn w:val="BodyText"/>
    <w:qFormat/>
    <w:rsid w:val="00D500E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2614</Words>
  <Characters>16320</Characters>
  <Application>Microsoft Office Word</Application>
  <DocSecurity>0</DocSecurity>
  <Lines>554</Lines>
  <Paragraphs>229</Paragraphs>
  <ScaleCrop>false</ScaleCrop>
  <Company>Author-it Software Corporation Ltd.</Company>
  <LinksUpToDate>false</LinksUpToDate>
  <CharactersWithSpaces>18780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UEENEEM019A Attend to breakdowns in hazardous areas - coal mining</dc:title>
  <dc:subject>Approved</dc:subject>
  <dc:creator>E-OZ Training Standards</dc:creator>
  <cp:keywords>Release 4</cp:keywords>
  <dc:description>Review Date: 12 April 2008</dc:description>
  <cp:lastModifiedBy>TPCMS</cp:lastModifiedBy>
  <cp:revision>3</cp:revision>
  <dcterms:created xsi:type="dcterms:W3CDTF">2014-12-16T11:51:24Z</dcterms:created>
  <dcterms:modified xsi:type="dcterms:W3CDTF">2014-12-16T00:18:00Z</dcterms:modified>
</cp:coreProperties>
</file>