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07076" w:rsidP="00307076">
      <w:pPr>
        <w:pStyle w:val="Title"/>
      </w:pPr>
      <w:r>
        <w:fldChar w:fldCharType="begin"/>
      </w:r>
      <w:r>
        <w:instrText xml:space="preserve"> TITLE   \* MERGEFORMAT </w:instrText>
      </w:r>
      <w:r>
        <w:fldChar w:fldCharType="separate"/>
      </w:r>
      <w:r>
        <w:t>UEENEEK042A Participate in environmentally sustainable work practices</w:t>
      </w:r>
      <w:r>
        <w:fldChar w:fldCharType="end"/>
      </w:r>
    </w:p>
    <w:p w:rsidR="00307076" w:rsidP="00307076">
      <w:pPr>
        <w:pStyle w:val="Version"/>
        <w:sectPr w:rsidSect="00D84AE1">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84AE1" w:rsidP="00D84AE1">
      <w:pPr>
        <w:pStyle w:val="SuperHeading"/>
      </w:pPr>
      <w:r w:rsidRPr="00D84AE1">
        <w:t>UEENEEK042A Participate in environmentally sustainable work practices</w:t>
      </w:r>
    </w:p>
    <w:p w:rsidR="00000000" w:rsidRPr="00D84AE1" w:rsidP="00D84AE1">
      <w:pPr>
        <w:pStyle w:val="Heading1"/>
      </w:pPr>
      <w:bookmarkStart w:id="1" w:name="O_274959"/>
      <w:bookmarkEnd w:id="1"/>
      <w:r w:rsidRPr="00D84AE1">
        <w:t>Modification History</w:t>
      </w:r>
    </w:p>
    <w:p w:rsidR="00000000" w:rsidRPr="00D84AE1" w:rsidP="00D84AE1">
      <w:pPr>
        <w:pStyle w:val="BodyText"/>
      </w:pPr>
      <w:r w:rsidRPr="00D84AE1">
        <w:t>Not Applicable</w:t>
      </w:r>
    </w:p>
    <w:p w:rsidR="00000000" w:rsidRPr="00D84AE1" w:rsidP="00D84AE1">
      <w:pPr>
        <w:pStyle w:val="AllowPageBreak"/>
      </w:pPr>
    </w:p>
    <w:p w:rsidR="00000000" w:rsidRPr="00D84AE1" w:rsidP="00D84AE1">
      <w:pPr>
        <w:pStyle w:val="Heading1"/>
      </w:pPr>
      <w:bookmarkStart w:id="2" w:name="O_228466"/>
      <w:bookmarkEnd w:id="2"/>
      <w:r w:rsidRPr="00D84AE1">
        <w:t>Unit Descriptor</w:t>
      </w:r>
    </w:p>
    <w:tbl>
      <w:tblPr>
        <w:tblW w:w="0" w:type="auto"/>
        <w:tblLayout w:type="fixed"/>
        <w:tblCellMar>
          <w:left w:w="62" w:type="dxa"/>
          <w:right w:w="62" w:type="dxa"/>
        </w:tblCellMar>
        <w:tblLook w:val="0000"/>
      </w:tblPr>
      <w:tblGrid>
        <w:gridCol w:w="2700"/>
        <w:gridCol w:w="5760"/>
      </w:tblGrid>
      <w:tr w:rsidTr="00307076">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D84AE1" w:rsidP="00D84AE1">
            <w:pPr>
              <w:pStyle w:val="BodyText"/>
            </w:pPr>
            <w:r w:rsidRPr="00D84AE1">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RPr="00D84AE1" w:rsidP="00D84AE1">
            <w:pPr>
              <w:pStyle w:val="BodyText"/>
            </w:pPr>
            <w:r w:rsidRPr="00D84AE1">
              <w:rPr>
                <w:rStyle w:val="SpecialBold"/>
              </w:rPr>
              <w:t>1</w:t>
            </w:r>
            <w:r w:rsidRPr="00D84AE1">
              <w:t xml:space="preserve">) </w:t>
            </w:r>
          </w:p>
          <w:p w:rsidR="00000000" w:rsidP="00D84AE1">
            <w:pPr>
              <w:pStyle w:val="BodyText"/>
              <w:rPr>
                <w:lang w:val="en-NZ"/>
              </w:rPr>
            </w:pPr>
            <w:r w:rsidRPr="00D84AE1">
              <w:rPr>
                <w:rStyle w:val="SpecialBold"/>
              </w:rPr>
              <w:t>1</w:t>
            </w:r>
            <w:r w:rsidRPr="00D84AE1">
              <w:t>.</w:t>
            </w:r>
            <w:r w:rsidRPr="00D84AE1">
              <w:rPr>
                <w:rStyle w:val="SpecialBold"/>
              </w:rPr>
              <w:t>1</w:t>
            </w:r>
            <w:r w:rsidRPr="00D84AE1">
              <w:t xml:space="preserve">) </w:t>
            </w:r>
            <w:r w:rsidRPr="00D84AE1">
              <w:rPr>
                <w:rStyle w:val="SpecialBold"/>
              </w:rPr>
              <w:t>Descriptor</w:t>
            </w:r>
          </w:p>
        </w:tc>
      </w:tr>
      <w:tr w:rsidTr="00307076">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D84AE1" w:rsidP="00D84AE1">
            <w:pPr>
              <w:pStyle w:val="BodyText"/>
            </w:pPr>
            <w:r w:rsidRPr="00D84AE1">
              <w:t>This competency standard unit requires the worker to undertake methods of work practice that minimises energy and material usage and to seek energy reduction strategies in the workplace. The unit seeks to minimise negative impacts on the environment.</w:t>
            </w:r>
          </w:p>
        </w:tc>
      </w:tr>
    </w:tbl>
    <w:p w:rsidR="00307076" w:rsidP="00D84AE1">
      <w:pPr>
        <w:pStyle w:val="BodyText"/>
      </w:pPr>
    </w:p>
    <w:p w:rsidR="00307076" w:rsidP="00D84AE1">
      <w:pPr>
        <w:pStyle w:val="BodyText"/>
      </w:pPr>
    </w:p>
    <w:p w:rsidR="00000000" w:rsidRPr="00D84AE1" w:rsidP="00D84AE1">
      <w:pPr>
        <w:pStyle w:val="Heading1"/>
      </w:pPr>
      <w:bookmarkStart w:id="3" w:name="O_228471"/>
      <w:bookmarkEnd w:id="3"/>
      <w:r w:rsidRPr="00D84AE1">
        <w:t>Application of the Unit</w:t>
      </w:r>
    </w:p>
    <w:tbl>
      <w:tblPr>
        <w:tblW w:w="0" w:type="auto"/>
        <w:tblLayout w:type="fixed"/>
        <w:tblCellMar>
          <w:left w:w="62" w:type="dxa"/>
          <w:right w:w="62" w:type="dxa"/>
        </w:tblCellMar>
        <w:tblLook w:val="0000"/>
      </w:tblPr>
      <w:tblGrid>
        <w:gridCol w:w="2700"/>
        <w:gridCol w:w="5760"/>
      </w:tblGrid>
      <w:tr w:rsidTr="00307076">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D84AE1" w:rsidP="00D84AE1">
            <w:pPr>
              <w:pStyle w:val="BodyText"/>
            </w:pPr>
            <w:r w:rsidRPr="00D84AE1">
              <w:rPr>
                <w:rStyle w:val="SpecialBold"/>
              </w:rPr>
              <w:t>Application of the Unit</w:t>
            </w:r>
          </w:p>
        </w:tc>
        <w:tc>
          <w:tcPr>
            <w:tcW w:w="5760" w:type="dxa"/>
            <w:tcBorders>
              <w:top w:val="nil"/>
              <w:left w:val="nil"/>
              <w:bottom w:val="nil"/>
              <w:right w:val="nil"/>
            </w:tcBorders>
            <w:tcMar>
              <w:top w:w="0" w:type="dxa"/>
              <w:left w:w="62" w:type="dxa"/>
              <w:bottom w:w="0" w:type="dxa"/>
              <w:right w:w="62" w:type="dxa"/>
            </w:tcMar>
          </w:tcPr>
          <w:p w:rsidR="00000000" w:rsidP="00D84AE1">
            <w:pPr>
              <w:pStyle w:val="BodyText"/>
              <w:rPr>
                <w:lang w:val="en-NZ"/>
              </w:rPr>
            </w:pPr>
            <w:r w:rsidRPr="00D84AE1">
              <w:rPr>
                <w:rStyle w:val="SpecialBold"/>
              </w:rPr>
              <w:t>4</w:t>
            </w:r>
            <w:r w:rsidRPr="00D84AE1">
              <w:t>)</w:t>
            </w:r>
          </w:p>
        </w:tc>
      </w:tr>
      <w:tr w:rsidTr="00307076">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D84AE1" w:rsidP="00D84AE1">
            <w:pPr>
              <w:pStyle w:val="BodyText"/>
            </w:pPr>
            <w:r w:rsidRPr="00D84AE1">
              <w:t>This competency standards unit shall apply to persons entering work in electrotechnology and may be used in school based vocational programs.</w:t>
            </w:r>
          </w:p>
        </w:tc>
      </w:tr>
    </w:tbl>
    <w:p w:rsidR="00307076" w:rsidP="00D84AE1">
      <w:pPr>
        <w:pStyle w:val="BodyText"/>
      </w:pPr>
    </w:p>
    <w:p w:rsidR="00307076" w:rsidP="00D84AE1">
      <w:pPr>
        <w:pStyle w:val="BodyText"/>
      </w:pPr>
    </w:p>
    <w:p w:rsidR="00000000" w:rsidRPr="00D84AE1" w:rsidP="00D84AE1">
      <w:pPr>
        <w:pStyle w:val="Heading1"/>
      </w:pPr>
      <w:bookmarkStart w:id="4" w:name="O_228467"/>
      <w:bookmarkEnd w:id="4"/>
      <w:r w:rsidRPr="00D84AE1">
        <w:t>Licensing/Regulatory Information</w:t>
      </w:r>
    </w:p>
    <w:tbl>
      <w:tblPr>
        <w:tblW w:w="0" w:type="auto"/>
        <w:tblLayout w:type="fixed"/>
        <w:tblCellMar>
          <w:left w:w="62" w:type="dxa"/>
          <w:right w:w="62" w:type="dxa"/>
        </w:tblCellMar>
        <w:tblLook w:val="0000"/>
      </w:tblPr>
      <w:tblGrid>
        <w:gridCol w:w="8460"/>
      </w:tblGrid>
      <w:tr w:rsidTr="00307076">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D84AE1">
            <w:pPr>
              <w:pStyle w:val="BodyText"/>
              <w:rPr>
                <w:lang w:val="en-NZ"/>
              </w:rPr>
            </w:pPr>
            <w:r w:rsidRPr="00D84AE1">
              <w:rPr>
                <w:rStyle w:val="SpecialBold"/>
              </w:rPr>
              <w:t>1</w:t>
            </w:r>
            <w:r w:rsidRPr="00D84AE1">
              <w:t>.</w:t>
            </w:r>
            <w:r w:rsidRPr="00D84AE1">
              <w:rPr>
                <w:rStyle w:val="SpecialBold"/>
              </w:rPr>
              <w:t>2</w:t>
            </w:r>
            <w:r w:rsidRPr="00D84AE1">
              <w:t xml:space="preserve">) </w:t>
            </w:r>
            <w:r w:rsidRPr="00D84AE1">
              <w:rPr>
                <w:rStyle w:val="SpecialBold"/>
              </w:rPr>
              <w:t>License to practice</w:t>
            </w:r>
          </w:p>
        </w:tc>
      </w:tr>
      <w:tr w:rsidTr="00307076">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D84AE1" w:rsidP="00D84AE1">
            <w:pPr>
              <w:pStyle w:val="BodyText"/>
            </w:pPr>
            <w:r w:rsidRPr="00D84AE1">
              <w:t>The skills and knowledge described in this unit do not require a licence to practice in the work place. However practice in this unit is subject to regulations directly related to occupational heal</w:t>
            </w:r>
            <w:r w:rsidRPr="00D84AE1">
              <w:t>th and safe and contracts of training such as new apprenticeships and the like.</w:t>
            </w:r>
          </w:p>
          <w:p w:rsidR="00000000" w:rsidRPr="00D84AE1" w:rsidP="00D84AE1">
            <w:pPr>
              <w:pStyle w:val="BodyText"/>
            </w:pPr>
            <w:r w:rsidRPr="00D84AE1">
              <w:t xml:space="preserve">Note: </w:t>
            </w:r>
            <w:r w:rsidRPr="00D84AE1">
              <w:br/>
              <w:t>1. Compliance with permits may be required in various jurisdictions and typically relates to the operation of plant, machinery and equipment such as elevating work platf</w:t>
            </w:r>
            <w:r w:rsidRPr="00D84AE1">
              <w:t>orms, powder operated fixing tools, power operated tools, vehicles, road signage and traffic control, lifting equipment and the like. Permits may also be required for some work environments such as confined spaces, working aloft, near live electrical appar</w:t>
            </w:r>
            <w:r w:rsidRPr="00D84AE1">
              <w:t>atus, site rehabilitation and the like.</w:t>
            </w:r>
            <w:r w:rsidRPr="00D84AE1">
              <w:br/>
              <w:t>2. Compliance may be required in various jurisdictions relating to currency in first aid, confined space, lifting, risk safety measure and the like</w:t>
            </w:r>
          </w:p>
        </w:tc>
      </w:tr>
    </w:tbl>
    <w:p w:rsidR="00307076" w:rsidP="00D84AE1">
      <w:pPr>
        <w:pStyle w:val="BodyText"/>
      </w:pPr>
    </w:p>
    <w:p w:rsidR="00307076" w:rsidP="00D84AE1">
      <w:pPr>
        <w:pStyle w:val="BodyText"/>
      </w:pPr>
    </w:p>
    <w:p w:rsidR="00000000" w:rsidRPr="00D84AE1" w:rsidP="00D84AE1">
      <w:pPr>
        <w:pStyle w:val="Heading1"/>
      </w:pPr>
      <w:bookmarkStart w:id="5" w:name="O_228468"/>
      <w:bookmarkEnd w:id="5"/>
      <w:r w:rsidRPr="00D84AE1">
        <w:t>Pre-Requisites</w:t>
      </w:r>
    </w:p>
    <w:tbl>
      <w:tblPr>
        <w:tblW w:w="0" w:type="auto"/>
        <w:tblLayout w:type="fixed"/>
        <w:tblCellMar>
          <w:left w:w="62" w:type="dxa"/>
          <w:right w:w="62" w:type="dxa"/>
        </w:tblCellMar>
        <w:tblLook w:val="0000"/>
      </w:tblPr>
      <w:tblGrid>
        <w:gridCol w:w="2700"/>
        <w:gridCol w:w="5760"/>
      </w:tblGrid>
      <w:tr w:rsidTr="00307076">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D84AE1" w:rsidP="00D84AE1">
            <w:pPr>
              <w:pStyle w:val="BodyText"/>
            </w:pPr>
            <w:r w:rsidRPr="00D84AE1">
              <w:rPr>
                <w:rStyle w:val="SpecialBold"/>
              </w:rPr>
              <w:t>Prerequisite Unit</w:t>
            </w:r>
            <w:r w:rsidRPr="00D84AE1">
              <w:t>(</w:t>
            </w:r>
            <w:r w:rsidRPr="00D84AE1">
              <w:rPr>
                <w:rStyle w:val="SpecialBold"/>
              </w:rPr>
              <w:t>s</w:t>
            </w:r>
            <w:r w:rsidRPr="00D84AE1">
              <w:t>)</w:t>
            </w:r>
          </w:p>
        </w:tc>
        <w:tc>
          <w:tcPr>
            <w:tcW w:w="5760" w:type="dxa"/>
            <w:tcBorders>
              <w:top w:val="nil"/>
              <w:left w:val="nil"/>
              <w:bottom w:val="nil"/>
              <w:right w:val="nil"/>
            </w:tcBorders>
            <w:tcMar>
              <w:top w:w="0" w:type="dxa"/>
              <w:left w:w="62" w:type="dxa"/>
              <w:bottom w:w="0" w:type="dxa"/>
              <w:right w:w="62" w:type="dxa"/>
            </w:tcMar>
          </w:tcPr>
          <w:p w:rsidR="00000000" w:rsidP="00D84AE1">
            <w:pPr>
              <w:pStyle w:val="BodyText"/>
              <w:rPr>
                <w:lang w:val="en-NZ"/>
              </w:rPr>
            </w:pPr>
            <w:r w:rsidRPr="00D84AE1">
              <w:rPr>
                <w:rStyle w:val="SpecialBold"/>
              </w:rPr>
              <w:t>2</w:t>
            </w:r>
            <w:r w:rsidRPr="00D84AE1">
              <w:t xml:space="preserve">) </w:t>
            </w:r>
          </w:p>
        </w:tc>
      </w:tr>
      <w:tr w:rsidTr="00307076">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D84AE1">
            <w:pPr>
              <w:pStyle w:val="BodyText"/>
              <w:keepNext w:val="0"/>
              <w:keepLines w:val="0"/>
              <w:contextualSpacing w:val="0"/>
            </w:pPr>
          </w:p>
        </w:tc>
        <w:tc>
          <w:tcPr>
            <w:tcW w:w="5760" w:type="dxa"/>
            <w:tcBorders>
              <w:top w:val="nil"/>
              <w:left w:val="nil"/>
              <w:bottom w:val="nil"/>
              <w:right w:val="nil"/>
            </w:tcBorders>
            <w:tcMar>
              <w:top w:w="0" w:type="dxa"/>
              <w:left w:w="62" w:type="dxa"/>
              <w:bottom w:w="0" w:type="dxa"/>
              <w:right w:w="62" w:type="dxa"/>
            </w:tcMar>
          </w:tcPr>
          <w:p w:rsidR="00000000" w:rsidP="00D84AE1">
            <w:pPr>
              <w:pStyle w:val="BodyText"/>
              <w:rPr>
                <w:lang w:val="en-NZ"/>
              </w:rPr>
            </w:pPr>
            <w:r w:rsidRPr="00D84AE1">
              <w:rPr>
                <w:rStyle w:val="SpecialBold"/>
              </w:rPr>
              <w:t>2</w:t>
            </w:r>
            <w:r w:rsidRPr="00D84AE1">
              <w:t>.</w:t>
            </w:r>
            <w:r w:rsidRPr="00D84AE1">
              <w:rPr>
                <w:rStyle w:val="SpecialBold"/>
              </w:rPr>
              <w:t>1</w:t>
            </w:r>
            <w:r w:rsidRPr="00D84AE1">
              <w:t xml:space="preserve">) </w:t>
            </w:r>
            <w:r w:rsidRPr="00D84AE1">
              <w:rPr>
                <w:rStyle w:val="SpecialBold"/>
              </w:rPr>
              <w:t>Competencies</w:t>
            </w:r>
          </w:p>
        </w:tc>
      </w:tr>
      <w:tr w:rsidTr="00307076">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D84AE1" w:rsidP="00D84AE1">
            <w:pPr>
              <w:pStyle w:val="BodyText"/>
            </w:pPr>
            <w:r w:rsidRPr="00D84AE1">
              <w:t>There are no prerequisite competencies for this unit.</w:t>
            </w:r>
          </w:p>
        </w:tc>
      </w:tr>
    </w:tbl>
    <w:p w:rsidR="00307076" w:rsidP="00D84AE1">
      <w:pPr>
        <w:pStyle w:val="BodyText"/>
      </w:pPr>
    </w:p>
    <w:p w:rsidR="00307076" w:rsidP="00D84AE1">
      <w:pPr>
        <w:pStyle w:val="BodyText"/>
      </w:pPr>
    </w:p>
    <w:p w:rsidR="00000000" w:rsidRPr="00D84AE1" w:rsidP="00D84AE1">
      <w:pPr>
        <w:pStyle w:val="Heading1"/>
      </w:pPr>
      <w:bookmarkStart w:id="6" w:name="O_228470"/>
      <w:bookmarkEnd w:id="6"/>
      <w:r w:rsidRPr="00D84AE1">
        <w:t>Employability Skills Information</w:t>
      </w:r>
    </w:p>
    <w:tbl>
      <w:tblPr>
        <w:tblW w:w="0" w:type="auto"/>
        <w:tblLayout w:type="fixed"/>
        <w:tblCellMar>
          <w:left w:w="62" w:type="dxa"/>
          <w:right w:w="62" w:type="dxa"/>
        </w:tblCellMar>
        <w:tblLook w:val="0000"/>
      </w:tblPr>
      <w:tblGrid>
        <w:gridCol w:w="2700"/>
        <w:gridCol w:w="5760"/>
      </w:tblGrid>
      <w:tr w:rsidTr="00307076">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D84AE1" w:rsidP="00D84AE1">
            <w:pPr>
              <w:pStyle w:val="BodyText"/>
            </w:pPr>
            <w:r w:rsidRPr="00D84AE1">
              <w:rPr>
                <w:rStyle w:val="SpecialBold"/>
              </w:rPr>
              <w:t>Employability Skills</w:t>
            </w:r>
          </w:p>
        </w:tc>
        <w:tc>
          <w:tcPr>
            <w:tcW w:w="5760" w:type="dxa"/>
            <w:tcBorders>
              <w:top w:val="nil"/>
              <w:left w:val="nil"/>
              <w:bottom w:val="nil"/>
              <w:right w:val="nil"/>
            </w:tcBorders>
            <w:tcMar>
              <w:top w:w="0" w:type="dxa"/>
              <w:left w:w="62" w:type="dxa"/>
              <w:bottom w:w="0" w:type="dxa"/>
              <w:right w:w="62" w:type="dxa"/>
            </w:tcMar>
          </w:tcPr>
          <w:p w:rsidR="00000000" w:rsidRPr="00D84AE1" w:rsidP="00D84AE1">
            <w:pPr>
              <w:pStyle w:val="BodyText"/>
            </w:pPr>
            <w:r w:rsidRPr="00D84AE1">
              <w:rPr>
                <w:rStyle w:val="SpecialBold"/>
              </w:rPr>
              <w:t>3</w:t>
            </w:r>
            <w:r w:rsidRPr="00D84AE1">
              <w:t>)</w:t>
            </w:r>
          </w:p>
          <w:p w:rsidR="00000000" w:rsidRPr="00D84AE1" w:rsidP="00D84AE1">
            <w:pPr>
              <w:pStyle w:val="BodyText"/>
            </w:pPr>
            <w:r w:rsidRPr="00D84AE1">
              <w:t xml:space="preserve">The required outcomes described in this unit of competency contain applicable facets of Employability Skills. </w:t>
            </w:r>
            <w:r w:rsidRPr="00D84AE1">
              <w:t>The Employability Skills Summary of the qualification in which this unit of competency is packaged will assist in identifying Employability Skill requirements.</w:t>
            </w:r>
          </w:p>
        </w:tc>
      </w:tr>
    </w:tbl>
    <w:p w:rsidR="00307076" w:rsidP="00D84AE1">
      <w:pPr>
        <w:pStyle w:val="BodyText"/>
      </w:pPr>
    </w:p>
    <w:p w:rsidR="00307076" w:rsidP="00D84AE1">
      <w:pPr>
        <w:pStyle w:val="BodyText"/>
      </w:pPr>
    </w:p>
    <w:p w:rsidR="00000000" w:rsidRPr="00D84AE1" w:rsidP="00D84AE1">
      <w:pPr>
        <w:pStyle w:val="Heading1"/>
      </w:pPr>
      <w:bookmarkStart w:id="7" w:name="O_293005"/>
      <w:bookmarkEnd w:id="7"/>
      <w:r w:rsidRPr="00D84AE1">
        <w:t>Elements and Performance Criteria Pre-Content</w:t>
      </w:r>
    </w:p>
    <w:tbl>
      <w:tblPr>
        <w:tblW w:w="0" w:type="auto"/>
        <w:tblLayout w:type="fixed"/>
        <w:tblCellMar>
          <w:left w:w="62" w:type="dxa"/>
          <w:right w:w="62" w:type="dxa"/>
        </w:tblCellMar>
        <w:tblLook w:val="0000"/>
      </w:tblPr>
      <w:tblGrid>
        <w:gridCol w:w="2700"/>
        <w:gridCol w:w="5760"/>
      </w:tblGrid>
      <w:tr w:rsidTr="00307076">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D84AE1">
            <w:pPr>
              <w:pStyle w:val="BodyText"/>
              <w:rPr>
                <w:lang w:val="en-NZ"/>
              </w:rPr>
            </w:pPr>
            <w:r w:rsidRPr="00D84AE1">
              <w:rPr>
                <w:rStyle w:val="SpecialBold"/>
              </w:rPr>
              <w:t>6</w:t>
            </w:r>
            <w:r w:rsidRPr="00D84AE1">
              <w:t>) Elements describe the essential outcomes of a unit of competency</w:t>
            </w:r>
          </w:p>
        </w:tc>
        <w:tc>
          <w:tcPr>
            <w:tcW w:w="5760" w:type="dxa"/>
            <w:tcBorders>
              <w:top w:val="nil"/>
              <w:left w:val="nil"/>
              <w:bottom w:val="nil"/>
              <w:right w:val="nil"/>
            </w:tcBorders>
            <w:tcMar>
              <w:top w:w="0" w:type="dxa"/>
              <w:left w:w="62" w:type="dxa"/>
              <w:bottom w:w="0" w:type="dxa"/>
              <w:right w:w="62" w:type="dxa"/>
            </w:tcMar>
          </w:tcPr>
          <w:p w:rsidR="00000000" w:rsidRPr="00D84AE1" w:rsidP="00D84AE1">
            <w:pPr>
              <w:pStyle w:val="BodyText"/>
            </w:pPr>
            <w:r w:rsidRPr="00D84AE1">
              <w:t>Performance criteria describe the required performance needed to demonstrate achievement of the element. Assessment of performance is to be consistent with the evidence guide.</w:t>
            </w:r>
          </w:p>
        </w:tc>
      </w:tr>
    </w:tbl>
    <w:p w:rsidR="00000000" w:rsidRPr="00D84AE1" w:rsidP="00D84AE1">
      <w:pPr>
        <w:pStyle w:val="BodyText"/>
      </w:pPr>
    </w:p>
    <w:p w:rsidR="00000000" w:rsidRPr="00D84AE1" w:rsidP="00D84AE1">
      <w:pPr>
        <w:pStyle w:val="AllowPageBreak"/>
      </w:pPr>
    </w:p>
    <w:p w:rsidR="00000000" w:rsidRPr="00D84AE1" w:rsidP="00D84AE1">
      <w:pPr>
        <w:pStyle w:val="Heading1"/>
      </w:pPr>
      <w:bookmarkStart w:id="8" w:name="O_239673"/>
      <w:bookmarkEnd w:id="8"/>
      <w:r w:rsidRPr="00D84AE1">
        <w:t>Elements and Performance Criteria</w:t>
      </w:r>
    </w:p>
    <w:tbl>
      <w:tblPr>
        <w:tblW w:w="0" w:type="auto"/>
        <w:tblLayout w:type="fixed"/>
        <w:tblCellMar>
          <w:left w:w="62" w:type="dxa"/>
          <w:right w:w="62" w:type="dxa"/>
        </w:tblCellMar>
        <w:tblLook w:val="0000"/>
      </w:tblPr>
      <w:tblGrid>
        <w:gridCol w:w="404"/>
        <w:gridCol w:w="2296"/>
        <w:gridCol w:w="900"/>
        <w:gridCol w:w="4860"/>
      </w:tblGrid>
      <w:tr w:rsidTr="00307076">
        <w:tblPrEx>
          <w:tblW w:w="0" w:type="auto"/>
          <w:tblLayout w:type="fixed"/>
          <w:tblCellMar>
            <w:left w:w="62" w:type="dxa"/>
            <w:right w:w="62" w:type="dxa"/>
          </w:tblCellMar>
          <w:tblLook w:val="0000"/>
        </w:tblPrEx>
        <w:trPr>
          <w:tblHeader/>
        </w:trPr>
        <w:tc>
          <w:tcPr>
            <w:tcW w:w="2700" w:type="dxa"/>
            <w:gridSpan w:val="2"/>
            <w:tcBorders>
              <w:top w:val="nil"/>
              <w:left w:val="nil"/>
              <w:bottom w:val="nil"/>
              <w:right w:val="nil"/>
            </w:tcBorders>
            <w:tcMar>
              <w:top w:w="0" w:type="dxa"/>
              <w:left w:w="62" w:type="dxa"/>
              <w:bottom w:w="0" w:type="dxa"/>
              <w:right w:w="62" w:type="dxa"/>
            </w:tcMar>
          </w:tcPr>
          <w:p w:rsidR="00000000" w:rsidRPr="00D84AE1" w:rsidP="00D84AE1">
            <w:pPr>
              <w:pStyle w:val="BodyText"/>
            </w:pPr>
            <w:r w:rsidRPr="00D84AE1">
              <w:rPr>
                <w:rStyle w:val="SpecialBold"/>
              </w:rPr>
              <w:t>ELEMENT</w:t>
            </w:r>
          </w:p>
        </w:tc>
        <w:tc>
          <w:tcPr>
            <w:tcW w:w="5760" w:type="dxa"/>
            <w:gridSpan w:val="2"/>
            <w:tcBorders>
              <w:top w:val="nil"/>
              <w:left w:val="nil"/>
              <w:bottom w:val="nil"/>
              <w:right w:val="nil"/>
            </w:tcBorders>
            <w:tcMar>
              <w:top w:w="0" w:type="dxa"/>
              <w:left w:w="62" w:type="dxa"/>
              <w:bottom w:w="0" w:type="dxa"/>
              <w:right w:w="62" w:type="dxa"/>
            </w:tcMar>
          </w:tcPr>
          <w:p w:rsidR="00000000" w:rsidP="00D84AE1">
            <w:pPr>
              <w:pStyle w:val="BodyText"/>
              <w:rPr>
                <w:lang w:val="en-NZ"/>
              </w:rPr>
            </w:pPr>
            <w:r w:rsidRPr="00D84AE1">
              <w:rPr>
                <w:rStyle w:val="SpecialBold"/>
              </w:rPr>
              <w:t>PERFORMANCE CRITERIA</w:t>
            </w:r>
          </w:p>
        </w:tc>
      </w:tr>
      <w:tr w:rsidTr="0030707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D84AE1">
            <w:pPr>
              <w:pStyle w:val="BodyText"/>
              <w:rPr>
                <w:lang w:val="en-NZ"/>
              </w:rPr>
            </w:pPr>
            <w:r w:rsidRPr="00D84AE1">
              <w:t>1</w:t>
            </w:r>
          </w:p>
        </w:tc>
        <w:tc>
          <w:tcPr>
            <w:tcW w:w="2296" w:type="dxa"/>
            <w:vMerge w:val="restart"/>
            <w:tcBorders>
              <w:top w:val="nil"/>
              <w:left w:val="nil"/>
              <w:bottom w:val="nil"/>
              <w:right w:val="nil"/>
            </w:tcBorders>
            <w:tcMar>
              <w:top w:w="0" w:type="dxa"/>
              <w:left w:w="62" w:type="dxa"/>
              <w:bottom w:w="0" w:type="dxa"/>
              <w:right w:w="62" w:type="dxa"/>
            </w:tcMar>
          </w:tcPr>
          <w:p w:rsidR="00000000" w:rsidP="00D84AE1">
            <w:pPr>
              <w:pStyle w:val="BodyText"/>
              <w:rPr>
                <w:lang w:val="en-NZ"/>
              </w:rPr>
            </w:pPr>
            <w:r w:rsidRPr="00D84AE1">
              <w:t>Plan and prepare to apply sustainable work practice</w:t>
            </w:r>
          </w:p>
        </w:tc>
        <w:tc>
          <w:tcPr>
            <w:tcW w:w="900" w:type="dxa"/>
            <w:tcBorders>
              <w:top w:val="nil"/>
              <w:left w:val="nil"/>
              <w:bottom w:val="nil"/>
              <w:right w:val="nil"/>
            </w:tcBorders>
            <w:tcMar>
              <w:top w:w="0" w:type="dxa"/>
              <w:left w:w="62" w:type="dxa"/>
              <w:bottom w:w="0" w:type="dxa"/>
              <w:right w:w="62" w:type="dxa"/>
            </w:tcMar>
          </w:tcPr>
          <w:p w:rsidR="00000000" w:rsidP="00D84AE1">
            <w:pPr>
              <w:pStyle w:val="BodyText"/>
              <w:rPr>
                <w:lang w:val="en-NZ"/>
              </w:rPr>
            </w:pPr>
            <w:r w:rsidRPr="00D84AE1">
              <w:t>1.1</w:t>
            </w:r>
          </w:p>
        </w:tc>
        <w:tc>
          <w:tcPr>
            <w:tcW w:w="4860" w:type="dxa"/>
            <w:tcBorders>
              <w:top w:val="nil"/>
              <w:left w:val="nil"/>
              <w:bottom w:val="nil"/>
              <w:right w:val="nil"/>
            </w:tcBorders>
            <w:tcMar>
              <w:top w:w="0" w:type="dxa"/>
              <w:left w:w="62" w:type="dxa"/>
              <w:bottom w:w="0" w:type="dxa"/>
              <w:right w:w="62" w:type="dxa"/>
            </w:tcMar>
          </w:tcPr>
          <w:p w:rsidR="00000000" w:rsidP="00D84AE1">
            <w:pPr>
              <w:pStyle w:val="BodyText"/>
              <w:rPr>
                <w:lang w:val="en-NZ"/>
              </w:rPr>
            </w:pPr>
            <w:r w:rsidRPr="00D84AE1">
              <w:t>Activities are planned and prepared for to ensure OHS policies and procedures are followed with the work appropriately</w:t>
            </w:r>
            <w:r w:rsidRPr="00D84AE1">
              <w:t xml:space="preserve"> sequenced in accordance with requirements</w:t>
            </w:r>
          </w:p>
        </w:tc>
      </w:tr>
      <w:tr w:rsidTr="0030707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D84AE1">
            <w:pPr>
              <w:pStyle w:val="BodyText"/>
              <w:rPr>
                <w:lang w:val="en-NZ"/>
              </w:rPr>
            </w:pPr>
            <w:r w:rsidRPr="00D84AE1">
              <w:t>1.2</w:t>
            </w:r>
          </w:p>
        </w:tc>
        <w:tc>
          <w:tcPr>
            <w:tcW w:w="4860" w:type="dxa"/>
            <w:tcBorders>
              <w:top w:val="nil"/>
              <w:left w:val="nil"/>
              <w:bottom w:val="nil"/>
              <w:right w:val="nil"/>
            </w:tcBorders>
            <w:tcMar>
              <w:top w:w="0" w:type="dxa"/>
              <w:left w:w="62" w:type="dxa"/>
              <w:bottom w:w="0" w:type="dxa"/>
              <w:right w:w="62" w:type="dxa"/>
            </w:tcMar>
          </w:tcPr>
          <w:p w:rsidR="00000000" w:rsidP="00D84AE1">
            <w:pPr>
              <w:pStyle w:val="BodyText"/>
              <w:rPr>
                <w:lang w:val="en-NZ"/>
              </w:rPr>
            </w:pPr>
            <w:r w:rsidRPr="00D84AE1">
              <w:t>Appropriate personnel are consulted to ensure the work is co-ordinated effectively with others involved</w:t>
            </w:r>
          </w:p>
        </w:tc>
      </w:tr>
      <w:tr w:rsidTr="0030707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D84AE1">
            <w:pPr>
              <w:pStyle w:val="BodyText"/>
              <w:rPr>
                <w:lang w:val="en-NZ"/>
              </w:rPr>
            </w:pPr>
            <w:r w:rsidRPr="00D84AE1">
              <w:t>1.3</w:t>
            </w:r>
          </w:p>
        </w:tc>
        <w:tc>
          <w:tcPr>
            <w:tcW w:w="4860" w:type="dxa"/>
            <w:tcBorders>
              <w:top w:val="nil"/>
              <w:left w:val="nil"/>
              <w:bottom w:val="nil"/>
              <w:right w:val="nil"/>
            </w:tcBorders>
            <w:tcMar>
              <w:top w:w="0" w:type="dxa"/>
              <w:left w:w="62" w:type="dxa"/>
              <w:bottom w:w="0" w:type="dxa"/>
              <w:right w:w="62" w:type="dxa"/>
            </w:tcMar>
          </w:tcPr>
          <w:p w:rsidR="00000000" w:rsidP="00D84AE1">
            <w:pPr>
              <w:pStyle w:val="BodyText"/>
              <w:rPr>
                <w:lang w:val="en-NZ"/>
              </w:rPr>
            </w:pPr>
            <w:r w:rsidRPr="00D84AE1">
              <w:t>Materials are obtained and checked in accordance with established procedures and to comply with requirements</w:t>
            </w:r>
          </w:p>
        </w:tc>
      </w:tr>
      <w:tr w:rsidTr="0030707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D84AE1">
            <w:pPr>
              <w:pStyle w:val="BodyText"/>
              <w:rPr>
                <w:lang w:val="en-NZ"/>
              </w:rPr>
            </w:pPr>
            <w:r w:rsidRPr="00D84AE1">
              <w:t>1.4</w:t>
            </w:r>
          </w:p>
        </w:tc>
        <w:tc>
          <w:tcPr>
            <w:tcW w:w="4860" w:type="dxa"/>
            <w:tcBorders>
              <w:top w:val="nil"/>
              <w:left w:val="nil"/>
              <w:bottom w:val="nil"/>
              <w:right w:val="nil"/>
            </w:tcBorders>
            <w:tcMar>
              <w:top w:w="0" w:type="dxa"/>
              <w:left w:w="62" w:type="dxa"/>
              <w:bottom w:w="0" w:type="dxa"/>
              <w:right w:w="62" w:type="dxa"/>
            </w:tcMar>
          </w:tcPr>
          <w:p w:rsidR="00000000" w:rsidP="00D84AE1">
            <w:pPr>
              <w:pStyle w:val="BodyText"/>
              <w:rPr>
                <w:lang w:val="en-NZ"/>
              </w:rPr>
            </w:pPr>
            <w:r w:rsidRPr="00D84AE1">
              <w:t>Location in which activities are to be undertaken is determined from requirements</w:t>
            </w:r>
          </w:p>
        </w:tc>
      </w:tr>
      <w:tr w:rsidTr="0030707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D84AE1">
            <w:pPr>
              <w:pStyle w:val="BodyText"/>
              <w:rPr>
                <w:lang w:val="en-NZ"/>
              </w:rPr>
            </w:pPr>
            <w:r w:rsidRPr="00D84AE1">
              <w:t>1.5</w:t>
            </w:r>
          </w:p>
        </w:tc>
        <w:tc>
          <w:tcPr>
            <w:tcW w:w="4860" w:type="dxa"/>
            <w:tcBorders>
              <w:top w:val="nil"/>
              <w:left w:val="nil"/>
              <w:bottom w:val="nil"/>
              <w:right w:val="nil"/>
            </w:tcBorders>
            <w:tcMar>
              <w:top w:w="0" w:type="dxa"/>
              <w:left w:w="62" w:type="dxa"/>
              <w:bottom w:w="0" w:type="dxa"/>
              <w:right w:w="62" w:type="dxa"/>
            </w:tcMar>
          </w:tcPr>
          <w:p w:rsidR="00000000" w:rsidP="00D84AE1">
            <w:pPr>
              <w:pStyle w:val="BodyText"/>
              <w:rPr>
                <w:lang w:val="en-NZ"/>
              </w:rPr>
            </w:pPr>
            <w:r w:rsidRPr="00D84AE1">
              <w:t>Materials necessary to complete the work are obtain</w:t>
            </w:r>
            <w:r w:rsidRPr="00D84AE1">
              <w:t>ed in accordance with established procedures and checked against job requirements</w:t>
            </w:r>
          </w:p>
        </w:tc>
      </w:tr>
      <w:tr w:rsidTr="0030707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D84AE1">
            <w:pPr>
              <w:pStyle w:val="BodyText"/>
              <w:rPr>
                <w:lang w:val="en-NZ"/>
              </w:rPr>
            </w:pPr>
            <w:r w:rsidRPr="00D84AE1">
              <w:t>1.6</w:t>
            </w:r>
          </w:p>
        </w:tc>
        <w:tc>
          <w:tcPr>
            <w:tcW w:w="4860" w:type="dxa"/>
            <w:tcBorders>
              <w:top w:val="nil"/>
              <w:left w:val="nil"/>
              <w:bottom w:val="nil"/>
              <w:right w:val="nil"/>
            </w:tcBorders>
            <w:tcMar>
              <w:top w:w="0" w:type="dxa"/>
              <w:left w:w="62" w:type="dxa"/>
              <w:bottom w:w="0" w:type="dxa"/>
              <w:right w:w="62" w:type="dxa"/>
            </w:tcMar>
          </w:tcPr>
          <w:p w:rsidR="00000000" w:rsidP="00D84AE1">
            <w:pPr>
              <w:pStyle w:val="BodyText"/>
              <w:rPr>
                <w:lang w:val="en-NZ"/>
              </w:rPr>
            </w:pPr>
            <w:r w:rsidRPr="00D84AE1">
              <w:t>Workplace environmental risks and resource efficiency issues are identified</w:t>
            </w:r>
          </w:p>
        </w:tc>
      </w:tr>
      <w:tr w:rsidTr="0030707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D84AE1">
            <w:pPr>
              <w:pStyle w:val="BodyText"/>
              <w:rPr>
                <w:lang w:val="en-NZ"/>
              </w:rPr>
            </w:pPr>
            <w:r w:rsidRPr="00D84AE1">
              <w:t>2</w:t>
            </w:r>
          </w:p>
        </w:tc>
        <w:tc>
          <w:tcPr>
            <w:tcW w:w="2296" w:type="dxa"/>
            <w:vMerge w:val="restart"/>
            <w:tcBorders>
              <w:top w:val="nil"/>
              <w:left w:val="nil"/>
              <w:bottom w:val="nil"/>
              <w:right w:val="nil"/>
            </w:tcBorders>
            <w:tcMar>
              <w:top w:w="0" w:type="dxa"/>
              <w:left w:w="62" w:type="dxa"/>
              <w:bottom w:w="0" w:type="dxa"/>
              <w:right w:w="62" w:type="dxa"/>
            </w:tcMar>
          </w:tcPr>
          <w:p w:rsidR="00000000" w:rsidP="00D84AE1">
            <w:pPr>
              <w:pStyle w:val="BodyText"/>
              <w:rPr>
                <w:lang w:val="en-NZ"/>
              </w:rPr>
            </w:pPr>
            <w:r w:rsidRPr="00D84AE1">
              <w:t>Apply sustainable work practice</w:t>
            </w:r>
          </w:p>
        </w:tc>
        <w:tc>
          <w:tcPr>
            <w:tcW w:w="900" w:type="dxa"/>
            <w:tcBorders>
              <w:top w:val="nil"/>
              <w:left w:val="nil"/>
              <w:bottom w:val="nil"/>
              <w:right w:val="nil"/>
            </w:tcBorders>
            <w:tcMar>
              <w:top w:w="0" w:type="dxa"/>
              <w:left w:w="62" w:type="dxa"/>
              <w:bottom w:w="0" w:type="dxa"/>
              <w:right w:w="62" w:type="dxa"/>
            </w:tcMar>
          </w:tcPr>
          <w:p w:rsidR="00000000" w:rsidP="00D84AE1">
            <w:pPr>
              <w:pStyle w:val="BodyText"/>
              <w:rPr>
                <w:lang w:val="en-NZ"/>
              </w:rPr>
            </w:pPr>
            <w:r w:rsidRPr="00D84AE1">
              <w:t>2.1</w:t>
            </w:r>
          </w:p>
        </w:tc>
        <w:tc>
          <w:tcPr>
            <w:tcW w:w="4860" w:type="dxa"/>
            <w:tcBorders>
              <w:top w:val="nil"/>
              <w:left w:val="nil"/>
              <w:bottom w:val="nil"/>
              <w:right w:val="nil"/>
            </w:tcBorders>
            <w:tcMar>
              <w:top w:w="0" w:type="dxa"/>
              <w:left w:w="62" w:type="dxa"/>
              <w:bottom w:w="0" w:type="dxa"/>
              <w:right w:w="62" w:type="dxa"/>
            </w:tcMar>
          </w:tcPr>
          <w:p w:rsidR="00000000" w:rsidP="00D84AE1">
            <w:pPr>
              <w:pStyle w:val="BodyText"/>
              <w:rPr>
                <w:lang w:val="en-NZ"/>
              </w:rPr>
            </w:pPr>
            <w:r w:rsidRPr="00D84AE1">
              <w:t>OHS policies and procedures for undertaking administrative functions are followed</w:t>
            </w:r>
          </w:p>
        </w:tc>
      </w:tr>
      <w:tr w:rsidTr="0030707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D84AE1">
            <w:pPr>
              <w:pStyle w:val="BodyText"/>
              <w:rPr>
                <w:lang w:val="en-NZ"/>
              </w:rPr>
            </w:pPr>
            <w:r w:rsidRPr="00D84AE1">
              <w:t>2.2</w:t>
            </w:r>
          </w:p>
        </w:tc>
        <w:tc>
          <w:tcPr>
            <w:tcW w:w="4860" w:type="dxa"/>
            <w:tcBorders>
              <w:top w:val="nil"/>
              <w:left w:val="nil"/>
              <w:bottom w:val="nil"/>
              <w:right w:val="nil"/>
            </w:tcBorders>
            <w:tcMar>
              <w:top w:w="0" w:type="dxa"/>
              <w:left w:w="62" w:type="dxa"/>
              <w:bottom w:w="0" w:type="dxa"/>
              <w:right w:w="62" w:type="dxa"/>
            </w:tcMar>
          </w:tcPr>
          <w:p w:rsidR="00000000" w:rsidP="00D84AE1">
            <w:pPr>
              <w:pStyle w:val="BodyText"/>
              <w:rPr>
                <w:lang w:val="en-NZ"/>
              </w:rPr>
            </w:pPr>
            <w:r w:rsidRPr="00D84AE1">
              <w:t>Activities are undertaken in accordance with requirements to implement techniques which produce energy reduction directly or indirectly</w:t>
            </w:r>
          </w:p>
        </w:tc>
      </w:tr>
      <w:tr w:rsidTr="0030707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D84AE1">
            <w:pPr>
              <w:pStyle w:val="BodyText"/>
              <w:rPr>
                <w:lang w:val="en-NZ"/>
              </w:rPr>
            </w:pPr>
            <w:r w:rsidRPr="00D84AE1">
              <w:t>2.3</w:t>
            </w:r>
          </w:p>
        </w:tc>
        <w:tc>
          <w:tcPr>
            <w:tcW w:w="4860" w:type="dxa"/>
            <w:tcBorders>
              <w:top w:val="nil"/>
              <w:left w:val="nil"/>
              <w:bottom w:val="nil"/>
              <w:right w:val="nil"/>
            </w:tcBorders>
            <w:tcMar>
              <w:top w:w="0" w:type="dxa"/>
              <w:left w:w="62" w:type="dxa"/>
              <w:bottom w:w="0" w:type="dxa"/>
              <w:right w:w="62" w:type="dxa"/>
            </w:tcMar>
          </w:tcPr>
          <w:p w:rsidR="00000000" w:rsidP="00D84AE1">
            <w:pPr>
              <w:pStyle w:val="BodyText"/>
              <w:rPr>
                <w:lang w:val="en-NZ"/>
              </w:rPr>
            </w:pPr>
            <w:r w:rsidRPr="00D84AE1">
              <w:t>Unplanned events or conditions are responded to in accordance with established procedures</w:t>
            </w:r>
          </w:p>
        </w:tc>
      </w:tr>
      <w:tr w:rsidTr="0030707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D84AE1">
            <w:pPr>
              <w:pStyle w:val="BodyText"/>
              <w:rPr>
                <w:lang w:val="en-NZ"/>
              </w:rPr>
            </w:pPr>
            <w:r w:rsidRPr="00D84AE1">
              <w:t>2.4</w:t>
            </w:r>
          </w:p>
        </w:tc>
        <w:tc>
          <w:tcPr>
            <w:tcW w:w="4860" w:type="dxa"/>
            <w:tcBorders>
              <w:top w:val="nil"/>
              <w:left w:val="nil"/>
              <w:bottom w:val="nil"/>
              <w:right w:val="nil"/>
            </w:tcBorders>
            <w:tcMar>
              <w:top w:w="0" w:type="dxa"/>
              <w:left w:w="62" w:type="dxa"/>
              <w:bottom w:w="0" w:type="dxa"/>
              <w:right w:w="62" w:type="dxa"/>
            </w:tcMar>
          </w:tcPr>
          <w:p w:rsidR="00000000" w:rsidP="00D84AE1">
            <w:pPr>
              <w:pStyle w:val="BodyText"/>
              <w:rPr>
                <w:lang w:val="en-NZ"/>
              </w:rPr>
            </w:pPr>
            <w:r w:rsidRPr="00D84AE1">
              <w:t>Approval is obtained in accordance with established procedures from appropriate personnel before any contingencies are implemented</w:t>
            </w:r>
          </w:p>
        </w:tc>
      </w:tr>
      <w:tr w:rsidTr="0030707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D84AE1">
            <w:pPr>
              <w:pStyle w:val="BodyText"/>
              <w:rPr>
                <w:lang w:val="en-NZ"/>
              </w:rPr>
            </w:pPr>
            <w:r w:rsidRPr="00D84AE1">
              <w:t>2.5</w:t>
            </w:r>
          </w:p>
        </w:tc>
        <w:tc>
          <w:tcPr>
            <w:tcW w:w="4860" w:type="dxa"/>
            <w:tcBorders>
              <w:top w:val="nil"/>
              <w:left w:val="nil"/>
              <w:bottom w:val="nil"/>
              <w:right w:val="nil"/>
            </w:tcBorders>
            <w:tcMar>
              <w:top w:w="0" w:type="dxa"/>
              <w:left w:w="62" w:type="dxa"/>
              <w:bottom w:w="0" w:type="dxa"/>
              <w:right w:w="62" w:type="dxa"/>
            </w:tcMar>
          </w:tcPr>
          <w:p w:rsidR="00000000" w:rsidP="00D84AE1">
            <w:pPr>
              <w:pStyle w:val="BodyText"/>
              <w:rPr>
                <w:lang w:val="en-NZ"/>
              </w:rPr>
            </w:pPr>
            <w:r w:rsidRPr="00D84AE1">
              <w:t>On-going checks of th</w:t>
            </w:r>
            <w:r w:rsidRPr="00D84AE1">
              <w:t>e quality of the work are undertaken in accordance with established procedures</w:t>
            </w:r>
          </w:p>
        </w:tc>
      </w:tr>
      <w:tr w:rsidTr="0030707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D84AE1">
            <w:pPr>
              <w:pStyle w:val="BodyText"/>
              <w:rPr>
                <w:lang w:val="en-NZ"/>
              </w:rPr>
            </w:pPr>
            <w:r w:rsidRPr="00D84AE1">
              <w:t>2.6</w:t>
            </w:r>
          </w:p>
        </w:tc>
        <w:tc>
          <w:tcPr>
            <w:tcW w:w="4860" w:type="dxa"/>
            <w:tcBorders>
              <w:top w:val="nil"/>
              <w:left w:val="nil"/>
              <w:bottom w:val="nil"/>
              <w:right w:val="nil"/>
            </w:tcBorders>
            <w:tcMar>
              <w:top w:w="0" w:type="dxa"/>
              <w:left w:w="62" w:type="dxa"/>
              <w:bottom w:w="0" w:type="dxa"/>
              <w:right w:w="62" w:type="dxa"/>
            </w:tcMar>
          </w:tcPr>
          <w:p w:rsidR="00000000" w:rsidP="00D84AE1">
            <w:pPr>
              <w:pStyle w:val="BodyText"/>
              <w:rPr>
                <w:lang w:val="en-NZ"/>
              </w:rPr>
            </w:pPr>
            <w:r w:rsidRPr="00D84AE1">
              <w:t xml:space="preserve">Work is carried out efficiently without unnecessary waste of materials or damage to the surrounding environment, while using sustainable work </w:t>
            </w:r>
            <w:r w:rsidRPr="00D84AE1">
              <w:t>practices which minimise wastage of energy and materials either directly or indirectly</w:t>
            </w:r>
          </w:p>
        </w:tc>
      </w:tr>
      <w:tr w:rsidTr="0030707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D84AE1">
            <w:pPr>
              <w:pStyle w:val="BodyText"/>
              <w:rPr>
                <w:lang w:val="en-NZ"/>
              </w:rPr>
            </w:pPr>
            <w:r w:rsidRPr="00D84AE1">
              <w:t>3</w:t>
            </w:r>
          </w:p>
        </w:tc>
        <w:tc>
          <w:tcPr>
            <w:tcW w:w="2296" w:type="dxa"/>
            <w:vMerge w:val="restart"/>
            <w:tcBorders>
              <w:top w:val="nil"/>
              <w:left w:val="nil"/>
              <w:bottom w:val="nil"/>
              <w:right w:val="nil"/>
            </w:tcBorders>
            <w:tcMar>
              <w:top w:w="0" w:type="dxa"/>
              <w:left w:w="62" w:type="dxa"/>
              <w:bottom w:w="0" w:type="dxa"/>
              <w:right w:w="62" w:type="dxa"/>
            </w:tcMar>
          </w:tcPr>
          <w:p w:rsidR="00000000" w:rsidP="00D84AE1">
            <w:pPr>
              <w:pStyle w:val="BodyText"/>
              <w:rPr>
                <w:lang w:val="en-NZ"/>
              </w:rPr>
            </w:pPr>
            <w:r w:rsidRPr="00D84AE1">
              <w:t>Complete the application of sustainable work practice</w:t>
            </w:r>
          </w:p>
        </w:tc>
        <w:tc>
          <w:tcPr>
            <w:tcW w:w="900" w:type="dxa"/>
            <w:tcBorders>
              <w:top w:val="nil"/>
              <w:left w:val="nil"/>
              <w:bottom w:val="nil"/>
              <w:right w:val="nil"/>
            </w:tcBorders>
            <w:tcMar>
              <w:top w:w="0" w:type="dxa"/>
              <w:left w:w="62" w:type="dxa"/>
              <w:bottom w:w="0" w:type="dxa"/>
              <w:right w:w="62" w:type="dxa"/>
            </w:tcMar>
          </w:tcPr>
          <w:p w:rsidR="00000000" w:rsidP="00D84AE1">
            <w:pPr>
              <w:pStyle w:val="BodyText"/>
              <w:rPr>
                <w:lang w:val="en-NZ"/>
              </w:rPr>
            </w:pPr>
            <w:r w:rsidRPr="00D84AE1">
              <w:t>3.1</w:t>
            </w:r>
          </w:p>
        </w:tc>
        <w:tc>
          <w:tcPr>
            <w:tcW w:w="4860" w:type="dxa"/>
            <w:tcBorders>
              <w:top w:val="nil"/>
              <w:left w:val="nil"/>
              <w:bottom w:val="nil"/>
              <w:right w:val="nil"/>
            </w:tcBorders>
            <w:tcMar>
              <w:top w:w="0" w:type="dxa"/>
              <w:left w:w="62" w:type="dxa"/>
              <w:bottom w:w="0" w:type="dxa"/>
              <w:right w:w="62" w:type="dxa"/>
            </w:tcMar>
          </w:tcPr>
          <w:p w:rsidR="00000000" w:rsidP="00D84AE1">
            <w:pPr>
              <w:pStyle w:val="BodyText"/>
              <w:rPr>
                <w:lang w:val="en-NZ"/>
              </w:rPr>
            </w:pPr>
            <w:r w:rsidRPr="00D84AE1">
              <w:t>Documentation/reports are completed to ensure detailed promotional activities requirements are met</w:t>
            </w:r>
          </w:p>
        </w:tc>
      </w:tr>
      <w:tr w:rsidTr="0030707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D84AE1">
            <w:pPr>
              <w:pStyle w:val="BodyText"/>
              <w:rPr>
                <w:lang w:val="en-NZ"/>
              </w:rPr>
            </w:pPr>
            <w:r w:rsidRPr="00D84AE1">
              <w:t>3.2</w:t>
            </w:r>
          </w:p>
        </w:tc>
        <w:tc>
          <w:tcPr>
            <w:tcW w:w="4860" w:type="dxa"/>
            <w:tcBorders>
              <w:top w:val="nil"/>
              <w:left w:val="nil"/>
              <w:bottom w:val="nil"/>
              <w:right w:val="nil"/>
            </w:tcBorders>
            <w:tcMar>
              <w:top w:w="0" w:type="dxa"/>
              <w:left w:w="62" w:type="dxa"/>
              <w:bottom w:w="0" w:type="dxa"/>
              <w:right w:w="62" w:type="dxa"/>
            </w:tcMar>
          </w:tcPr>
          <w:p w:rsidR="00000000" w:rsidP="00D84AE1">
            <w:pPr>
              <w:pStyle w:val="BodyText"/>
              <w:rPr>
                <w:lang w:val="en-NZ"/>
              </w:rPr>
            </w:pPr>
            <w:r w:rsidRPr="00D84AE1">
              <w:t>Su</w:t>
            </w:r>
            <w:r w:rsidRPr="00D84AE1">
              <w:t>ggestions are made for improvements to workplace practices to minimise energy and materials wastage</w:t>
            </w:r>
          </w:p>
        </w:tc>
      </w:tr>
      <w:tr w:rsidTr="0030707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D84AE1">
            <w:pPr>
              <w:pStyle w:val="BodyText"/>
              <w:rPr>
                <w:lang w:val="en-NZ"/>
              </w:rPr>
            </w:pPr>
            <w:r w:rsidRPr="00D84AE1">
              <w:t>3.3</w:t>
            </w:r>
          </w:p>
        </w:tc>
        <w:tc>
          <w:tcPr>
            <w:tcW w:w="4860" w:type="dxa"/>
            <w:tcBorders>
              <w:top w:val="nil"/>
              <w:left w:val="nil"/>
              <w:bottom w:val="nil"/>
              <w:right w:val="nil"/>
            </w:tcBorders>
            <w:tcMar>
              <w:top w:w="0" w:type="dxa"/>
              <w:left w:w="62" w:type="dxa"/>
              <w:bottom w:w="0" w:type="dxa"/>
              <w:right w:w="62" w:type="dxa"/>
            </w:tcMar>
          </w:tcPr>
          <w:p w:rsidR="00000000" w:rsidRPr="00D84AE1" w:rsidP="00D84AE1">
            <w:pPr>
              <w:pStyle w:val="BodyText"/>
            </w:pPr>
            <w:r w:rsidRPr="00D84AE1">
              <w:t>Completion is notified in accordance with established procedures</w:t>
            </w:r>
          </w:p>
        </w:tc>
      </w:tr>
    </w:tbl>
    <w:p w:rsidR="00307076" w:rsidP="00D84AE1">
      <w:pPr>
        <w:pStyle w:val="BodyText"/>
      </w:pPr>
    </w:p>
    <w:p w:rsidR="00307076" w:rsidP="00D84AE1">
      <w:pPr>
        <w:pStyle w:val="BodyText"/>
      </w:pPr>
    </w:p>
    <w:p w:rsidR="00000000" w:rsidRPr="00D84AE1" w:rsidP="00D84AE1">
      <w:pPr>
        <w:pStyle w:val="Heading1"/>
      </w:pPr>
      <w:bookmarkStart w:id="9" w:name="O_263464"/>
      <w:bookmarkEnd w:id="9"/>
      <w:r w:rsidRPr="00D84AE1">
        <w:t>Required Skills and Knowledge</w:t>
      </w:r>
    </w:p>
    <w:tbl>
      <w:tblPr>
        <w:tblW w:w="0" w:type="auto"/>
        <w:tblLayout w:type="fixed"/>
        <w:tblCellMar>
          <w:left w:w="62" w:type="dxa"/>
          <w:right w:w="62" w:type="dxa"/>
        </w:tblCellMar>
        <w:tblLook w:val="0000"/>
      </w:tblPr>
      <w:tblGrid>
        <w:gridCol w:w="2700"/>
        <w:gridCol w:w="1080"/>
        <w:gridCol w:w="4680"/>
      </w:tblGrid>
      <w:tr w:rsidTr="00307076">
        <w:tblPrEx>
          <w:tblW w:w="0" w:type="auto"/>
          <w:tblLayout w:type="fixed"/>
          <w:tblCellMar>
            <w:left w:w="62" w:type="dxa"/>
            <w:right w:w="62" w:type="dxa"/>
          </w:tblCellMar>
          <w:tblLook w:val="0000"/>
        </w:tblPrEx>
        <w:trPr>
          <w:tblHeader/>
        </w:trPr>
        <w:tc>
          <w:tcPr>
            <w:tcW w:w="8460" w:type="dxa"/>
            <w:gridSpan w:val="3"/>
            <w:tcBorders>
              <w:top w:val="nil"/>
              <w:left w:val="nil"/>
              <w:bottom w:val="nil"/>
              <w:right w:val="nil"/>
            </w:tcBorders>
            <w:tcMar>
              <w:top w:w="0" w:type="dxa"/>
              <w:left w:w="62" w:type="dxa"/>
              <w:bottom w:w="0" w:type="dxa"/>
              <w:right w:w="62" w:type="dxa"/>
            </w:tcMar>
          </w:tcPr>
          <w:p w:rsidR="00000000" w:rsidP="00D84AE1">
            <w:pPr>
              <w:pStyle w:val="BodyText"/>
              <w:rPr>
                <w:lang w:val="en-NZ"/>
              </w:rPr>
            </w:pPr>
            <w:r w:rsidRPr="00D84AE1">
              <w:rPr>
                <w:rStyle w:val="SpecialBold"/>
              </w:rPr>
              <w:t>REQUIRED SKILLS AND KNOWLEDGE</w:t>
            </w:r>
          </w:p>
        </w:tc>
      </w:tr>
      <w:tr w:rsidTr="00307076">
        <w:tblPrEx>
          <w:tblW w:w="0" w:type="auto"/>
          <w:tblLayout w:type="fixed"/>
          <w:tblCellMar>
            <w:left w:w="62" w:type="dxa"/>
            <w:right w:w="62" w:type="dxa"/>
          </w:tblCellMar>
          <w:tblLook w:val="0000"/>
        </w:tblPrEx>
        <w:tc>
          <w:tcPr>
            <w:tcW w:w="8460" w:type="dxa"/>
            <w:gridSpan w:val="3"/>
            <w:tcBorders>
              <w:top w:val="nil"/>
              <w:left w:val="nil"/>
              <w:bottom w:val="nil"/>
              <w:right w:val="nil"/>
            </w:tcBorders>
            <w:tcMar>
              <w:top w:w="0" w:type="dxa"/>
              <w:left w:w="62" w:type="dxa"/>
              <w:bottom w:w="0" w:type="dxa"/>
              <w:right w:w="62" w:type="dxa"/>
            </w:tcMar>
          </w:tcPr>
          <w:p w:rsidR="00000000" w:rsidP="00D84AE1">
            <w:pPr>
              <w:pStyle w:val="BodyText"/>
              <w:rPr>
                <w:lang w:val="en-NZ"/>
              </w:rPr>
            </w:pPr>
            <w:r w:rsidRPr="00D84AE1">
              <w:rPr>
                <w:rStyle w:val="SpecialBold"/>
              </w:rPr>
              <w:t>7</w:t>
            </w:r>
            <w:r w:rsidRPr="00D84AE1">
              <w:t>) This describes the essential skills and knowledge and their level, required for this unit.</w:t>
            </w:r>
          </w:p>
        </w:tc>
      </w:tr>
      <w:tr w:rsidTr="00307076">
        <w:tblPrEx>
          <w:tblW w:w="0" w:type="auto"/>
          <w:tblLayout w:type="fixed"/>
          <w:tblCellMar>
            <w:left w:w="62" w:type="dxa"/>
            <w:right w:w="62" w:type="dxa"/>
          </w:tblCellMar>
          <w:tblLook w:val="0000"/>
        </w:tblPrEx>
        <w:tc>
          <w:tcPr>
            <w:tcW w:w="8460" w:type="dxa"/>
            <w:gridSpan w:val="3"/>
            <w:tcBorders>
              <w:top w:val="nil"/>
              <w:left w:val="nil"/>
              <w:bottom w:val="nil"/>
              <w:right w:val="nil"/>
            </w:tcBorders>
            <w:tcMar>
              <w:top w:w="0" w:type="dxa"/>
              <w:left w:w="62" w:type="dxa"/>
              <w:bottom w:w="0" w:type="dxa"/>
              <w:right w:w="62" w:type="dxa"/>
            </w:tcMar>
          </w:tcPr>
          <w:p w:rsidR="00000000" w:rsidRPr="00D84AE1" w:rsidP="00D84AE1">
            <w:pPr>
              <w:pStyle w:val="BodyText"/>
            </w:pPr>
            <w:r w:rsidRPr="00D84AE1">
              <w:t>Evidence shall show that knowledge has been acquired of safe working practices and participating in environmentally sustainable work practices.</w:t>
            </w:r>
          </w:p>
          <w:p w:rsidR="00000000" w:rsidRPr="00D84AE1" w:rsidP="00D84AE1">
            <w:pPr>
              <w:pStyle w:val="BodyText"/>
            </w:pPr>
            <w:r w:rsidRPr="00D84AE1">
              <w:t>All knowledge an</w:t>
            </w:r>
            <w:r w:rsidRPr="00D84AE1">
              <w:t>d skills detailed in this unit should be contextualised to current industry practices and technologies.</w:t>
            </w:r>
          </w:p>
          <w:p w:rsidR="00000000" w:rsidP="00D84AE1">
            <w:pPr>
              <w:pStyle w:val="BodyText"/>
              <w:rPr>
                <w:lang w:val="en-NZ"/>
              </w:rPr>
            </w:pPr>
            <w:r w:rsidRPr="00D84AE1">
              <w:t>The extent of the essential knowledge and skills required is given Volume 2 Part 2, Clauses:</w:t>
            </w:r>
          </w:p>
        </w:tc>
      </w:tr>
      <w:tr w:rsidTr="00307076">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D84AE1">
            <w:pPr>
              <w:pStyle w:val="BodyText"/>
              <w:rPr>
                <w:lang w:val="en-NZ"/>
              </w:rPr>
            </w:pPr>
            <w:r w:rsidRPr="00D84AE1">
              <w:t>2.18.1</w:t>
            </w:r>
          </w:p>
        </w:tc>
        <w:tc>
          <w:tcPr>
            <w:tcW w:w="4680" w:type="dxa"/>
            <w:tcBorders>
              <w:top w:val="nil"/>
              <w:left w:val="nil"/>
              <w:bottom w:val="nil"/>
              <w:right w:val="nil"/>
            </w:tcBorders>
            <w:tcMar>
              <w:top w:w="0" w:type="dxa"/>
              <w:left w:w="62" w:type="dxa"/>
              <w:bottom w:w="0" w:type="dxa"/>
              <w:right w:w="62" w:type="dxa"/>
            </w:tcMar>
          </w:tcPr>
          <w:p w:rsidR="00000000" w:rsidP="00D84AE1">
            <w:pPr>
              <w:pStyle w:val="BodyText"/>
              <w:rPr>
                <w:lang w:val="en-NZ"/>
              </w:rPr>
            </w:pPr>
            <w:r w:rsidRPr="00D84AE1">
              <w:t>Occupational Health and Safety principles</w:t>
            </w:r>
          </w:p>
        </w:tc>
      </w:tr>
      <w:tr w:rsidTr="00307076">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D84AE1">
            <w:pPr>
              <w:pStyle w:val="BodyText"/>
              <w:rPr>
                <w:lang w:val="en-NZ"/>
              </w:rPr>
            </w:pPr>
            <w:r w:rsidRPr="00D84AE1">
              <w:t>2.20.22</w:t>
            </w:r>
          </w:p>
        </w:tc>
        <w:tc>
          <w:tcPr>
            <w:tcW w:w="4680" w:type="dxa"/>
            <w:tcBorders>
              <w:top w:val="nil"/>
              <w:left w:val="nil"/>
              <w:bottom w:val="nil"/>
              <w:right w:val="nil"/>
            </w:tcBorders>
            <w:tcMar>
              <w:top w:w="0" w:type="dxa"/>
              <w:left w:w="62" w:type="dxa"/>
              <w:bottom w:w="0" w:type="dxa"/>
              <w:right w:w="62" w:type="dxa"/>
            </w:tcMar>
          </w:tcPr>
          <w:p w:rsidR="00000000" w:rsidRPr="00D84AE1" w:rsidP="00D84AE1">
            <w:pPr>
              <w:pStyle w:val="BodyText"/>
            </w:pPr>
            <w:r w:rsidRPr="00D84AE1">
              <w:t>Environmentally sustainable work practice</w:t>
            </w:r>
          </w:p>
        </w:tc>
      </w:tr>
    </w:tbl>
    <w:p w:rsidR="00307076" w:rsidP="00D84AE1">
      <w:pPr>
        <w:pStyle w:val="BodyText"/>
      </w:pPr>
    </w:p>
    <w:p w:rsidR="00307076" w:rsidP="00D84AE1">
      <w:pPr>
        <w:pStyle w:val="BodyText"/>
      </w:pPr>
    </w:p>
    <w:p w:rsidR="00000000" w:rsidRPr="00D84AE1" w:rsidP="00D84AE1">
      <w:pPr>
        <w:pStyle w:val="Heading1"/>
      </w:pPr>
      <w:bookmarkStart w:id="10" w:name="O_247656"/>
      <w:bookmarkEnd w:id="10"/>
      <w:r w:rsidRPr="00D84AE1">
        <w:t>Evidence Guide</w:t>
      </w:r>
    </w:p>
    <w:tbl>
      <w:tblPr>
        <w:tblW w:w="0" w:type="auto"/>
        <w:tblLayout w:type="fixed"/>
        <w:tblCellMar>
          <w:left w:w="62" w:type="dxa"/>
          <w:right w:w="62" w:type="dxa"/>
        </w:tblCellMar>
        <w:tblLook w:val="0000"/>
      </w:tblPr>
      <w:tblGrid>
        <w:gridCol w:w="2160"/>
        <w:gridCol w:w="720"/>
        <w:gridCol w:w="540"/>
        <w:gridCol w:w="5040"/>
      </w:tblGrid>
      <w:tr w:rsidTr="00307076">
        <w:tblPrEx>
          <w:tblW w:w="0" w:type="auto"/>
          <w:tblLayout w:type="fixed"/>
          <w:tblCellMar>
            <w:left w:w="62" w:type="dxa"/>
            <w:right w:w="62" w:type="dxa"/>
          </w:tblCellMar>
          <w:tblLook w:val="0000"/>
        </w:tblPrEx>
        <w:trPr>
          <w:tblHeader/>
        </w:trPr>
        <w:tc>
          <w:tcPr>
            <w:tcW w:w="8460" w:type="dxa"/>
            <w:gridSpan w:val="4"/>
            <w:tcBorders>
              <w:top w:val="nil"/>
              <w:left w:val="nil"/>
              <w:bottom w:val="nil"/>
              <w:right w:val="nil"/>
            </w:tcBorders>
            <w:tcMar>
              <w:top w:w="0" w:type="dxa"/>
              <w:left w:w="62" w:type="dxa"/>
              <w:bottom w:w="0" w:type="dxa"/>
              <w:right w:w="62" w:type="dxa"/>
            </w:tcMar>
          </w:tcPr>
          <w:p w:rsidR="00000000" w:rsidP="00D84AE1">
            <w:pPr>
              <w:pStyle w:val="BodyText"/>
              <w:rPr>
                <w:lang w:val="en-NZ"/>
              </w:rPr>
            </w:pPr>
            <w:r w:rsidRPr="00D84AE1">
              <w:rPr>
                <w:rStyle w:val="SpecialBold"/>
              </w:rPr>
              <w:t>EVIDENCE GUIDE</w:t>
            </w:r>
          </w:p>
        </w:tc>
      </w:tr>
      <w:tr w:rsidTr="00307076">
        <w:tblPrEx>
          <w:tblW w:w="0" w:type="auto"/>
          <w:tblLayout w:type="fixed"/>
          <w:tblCellMar>
            <w:left w:w="62" w:type="dxa"/>
            <w:right w:w="62" w:type="dxa"/>
          </w:tblCellMar>
          <w:tblLook w:val="0000"/>
        </w:tblPrEx>
        <w:tc>
          <w:tcPr>
            <w:tcW w:w="8460" w:type="dxa"/>
            <w:gridSpan w:val="4"/>
            <w:tcBorders>
              <w:top w:val="nil"/>
              <w:left w:val="nil"/>
              <w:bottom w:val="nil"/>
              <w:right w:val="nil"/>
            </w:tcBorders>
            <w:tcMar>
              <w:top w:w="0" w:type="dxa"/>
              <w:left w:w="62" w:type="dxa"/>
              <w:bottom w:w="0" w:type="dxa"/>
              <w:right w:w="62" w:type="dxa"/>
            </w:tcMar>
          </w:tcPr>
          <w:p w:rsidR="00000000" w:rsidRPr="00D84AE1" w:rsidP="00D84AE1">
            <w:pPr>
              <w:pStyle w:val="BodyText"/>
            </w:pPr>
            <w:r w:rsidRPr="00D84AE1">
              <w:rPr>
                <w:rStyle w:val="SpecialBold"/>
              </w:rPr>
              <w:t>9</w:t>
            </w:r>
            <w:r w:rsidRPr="00D84AE1">
              <w:t>) This provides essential advice for assessment of the unit of competency and must be read in conjunction with the performance criteria and the range s</w:t>
            </w:r>
            <w:r w:rsidRPr="00D84AE1">
              <w:t>tatement of the unit of competency and the Training Package Assessment Guidelines.</w:t>
            </w:r>
          </w:p>
          <w:p w:rsidR="00000000" w:rsidP="00D84AE1">
            <w:pPr>
              <w:pStyle w:val="BodyText"/>
              <w:rPr>
                <w:lang w:val="en-NZ"/>
              </w:rPr>
            </w:pPr>
            <w:r w:rsidRPr="00D84AE1">
              <w:t>The Evidence Guide forms an integral part of this Competency Standard Unit and shall be used in conjunction with all components parts of this unit and, performed in accordan</w:t>
            </w:r>
            <w:r w:rsidRPr="00D84AE1">
              <w:t>ce with the Assessment Guidelines of this Training Package.</w:t>
            </w:r>
          </w:p>
        </w:tc>
      </w:tr>
      <w:tr w:rsidTr="00307076">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D84AE1" w:rsidP="00D84AE1">
            <w:pPr>
              <w:pStyle w:val="BodyText"/>
            </w:pPr>
            <w:r w:rsidRPr="00D84AE1">
              <w:rPr>
                <w:rStyle w:val="SpecialBold"/>
              </w:rPr>
              <w:t>Overview of Assessment</w:t>
            </w:r>
          </w:p>
        </w:tc>
        <w:tc>
          <w:tcPr>
            <w:tcW w:w="6300" w:type="dxa"/>
            <w:gridSpan w:val="3"/>
            <w:tcBorders>
              <w:top w:val="nil"/>
              <w:left w:val="nil"/>
              <w:bottom w:val="nil"/>
              <w:right w:val="nil"/>
            </w:tcBorders>
            <w:tcMar>
              <w:top w:w="0" w:type="dxa"/>
              <w:left w:w="62" w:type="dxa"/>
              <w:bottom w:w="0" w:type="dxa"/>
              <w:right w:w="62" w:type="dxa"/>
            </w:tcMar>
          </w:tcPr>
          <w:p w:rsidR="00000000" w:rsidRPr="00D84AE1" w:rsidP="00D84AE1">
            <w:pPr>
              <w:pStyle w:val="BodyText"/>
            </w:pPr>
            <w:r w:rsidRPr="00D84AE1">
              <w:rPr>
                <w:rStyle w:val="SpecialBold"/>
              </w:rPr>
              <w:t>9</w:t>
            </w:r>
            <w:r w:rsidRPr="00D84AE1">
              <w:t>.</w:t>
            </w:r>
            <w:r w:rsidRPr="00D84AE1">
              <w:rPr>
                <w:rStyle w:val="SpecialBold"/>
              </w:rPr>
              <w:t>1</w:t>
            </w:r>
            <w:r w:rsidRPr="00D84AE1">
              <w:t xml:space="preserve">) </w:t>
            </w:r>
          </w:p>
          <w:p w:rsidR="00000000" w:rsidRPr="00D84AE1" w:rsidP="00D84AE1">
            <w:pPr>
              <w:pStyle w:val="BodyText"/>
            </w:pPr>
            <w:r w:rsidRPr="00D84AE1">
              <w:t>Longitude competency development approaches to assessment, such as Profiling, require data to be reliably gathered in a form that can be consistently interpreted over time. This approach is best utilised in Apprenticeship programs and reduces assessment in</w:t>
            </w:r>
            <w:r w:rsidRPr="00D84AE1">
              <w:t>tervention. It is the Industry's preferred model for apprenticeships. However, where summative (or final) assessment is used it is to include the application of the competency in the normal work environment or, at a minimum, the application of the competen</w:t>
            </w:r>
            <w:r w:rsidRPr="00D84AE1">
              <w:t>cy in a realistically simulated work environment. It is recognised that, in some circumstances, assessment in part or full can occur outside the workplace. However, it must be in accord with Industry and, Regulatory policy in this regard.</w:t>
            </w:r>
          </w:p>
          <w:p w:rsidR="00000000" w:rsidRPr="00D84AE1" w:rsidP="00D84AE1">
            <w:pPr>
              <w:pStyle w:val="BodyText"/>
            </w:pPr>
            <w:r w:rsidRPr="00D84AE1">
              <w:t>Methods chosen fo</w:t>
            </w:r>
            <w:r w:rsidRPr="00D84AE1">
              <w:t>r a particular assessment will be influenced by various factors. These include the extent of the assessment, the most effective locations for the assessment activities to take place, access to physical resources, additional safety measures that may be requ</w:t>
            </w:r>
            <w:r w:rsidRPr="00D84AE1">
              <w:t>ired and the critical nature of the competencies being assessed.</w:t>
            </w:r>
          </w:p>
          <w:p w:rsidR="00000000" w:rsidRPr="00D84AE1" w:rsidP="00D84AE1">
            <w:pPr>
              <w:pStyle w:val="BodyText"/>
            </w:pPr>
            <w:r w:rsidRPr="00D84AE1">
              <w:t>The critical safety nature of working with electricity, electrical equipment, gas or any other hazardous substance/material carries risk in deeming a person competent. Hence, sources of evide</w:t>
            </w:r>
            <w:r w:rsidRPr="00D84AE1">
              <w:t>nce need to be 'rich' in nature so as to minimise error in judgment.</w:t>
            </w:r>
          </w:p>
          <w:p w:rsidR="00000000" w:rsidP="00D84AE1">
            <w:pPr>
              <w:pStyle w:val="BodyText"/>
              <w:rPr>
                <w:lang w:val="en-NZ"/>
              </w:rPr>
            </w:pPr>
            <w:r w:rsidRPr="00D84AE1">
              <w:t>Activities associated with normal every day work have a bearing on the decision as to how much and how detailed the data gathered will contribute to its 'richness'. Some skills are more c</w:t>
            </w:r>
            <w:r w:rsidRPr="00D84AE1">
              <w:t>ritical to safety and operational requirements while the same skills may be more or less frequently practiced. These points are raised for the assessors to consider when choosing an assessment method and developing assessment instruments. Sample assessment</w:t>
            </w:r>
            <w:r w:rsidRPr="00D84AE1">
              <w:t xml:space="preserve"> instruments are included for Assessors in the Assessment Guidelines of this Training Package.</w:t>
            </w:r>
          </w:p>
        </w:tc>
      </w:tr>
      <w:tr w:rsidTr="00307076">
        <w:tblPrEx>
          <w:tblW w:w="0" w:type="auto"/>
          <w:tblLayout w:type="fixed"/>
          <w:tblCellMar>
            <w:left w:w="62" w:type="dxa"/>
            <w:right w:w="62" w:type="dxa"/>
          </w:tblCellMar>
          <w:tblLook w:val="0000"/>
        </w:tblPrEx>
        <w:tc>
          <w:tcPr>
            <w:tcW w:w="2160" w:type="dxa"/>
            <w:vMerge w:val="restart"/>
            <w:tcBorders>
              <w:top w:val="nil"/>
              <w:left w:val="nil"/>
              <w:bottom w:val="nil"/>
              <w:right w:val="nil"/>
            </w:tcBorders>
            <w:tcMar>
              <w:top w:w="0" w:type="dxa"/>
              <w:left w:w="62" w:type="dxa"/>
              <w:bottom w:w="0" w:type="dxa"/>
              <w:right w:w="62" w:type="dxa"/>
            </w:tcMar>
          </w:tcPr>
          <w:p w:rsidR="00000000" w:rsidRPr="00D84AE1" w:rsidP="00D84AE1">
            <w:pPr>
              <w:pStyle w:val="BodyText"/>
            </w:pPr>
            <w:r w:rsidRPr="00D84AE1">
              <w:rPr>
                <w:rStyle w:val="SpecialBold"/>
              </w:rPr>
              <w:t>Critical aspects of evidence required to demonstrate competency in this unit</w:t>
            </w:r>
          </w:p>
        </w:tc>
        <w:tc>
          <w:tcPr>
            <w:tcW w:w="6300" w:type="dxa"/>
            <w:gridSpan w:val="3"/>
            <w:tcBorders>
              <w:top w:val="nil"/>
              <w:left w:val="nil"/>
              <w:bottom w:val="nil"/>
              <w:right w:val="nil"/>
            </w:tcBorders>
            <w:tcMar>
              <w:top w:w="0" w:type="dxa"/>
              <w:left w:w="62" w:type="dxa"/>
              <w:bottom w:w="0" w:type="dxa"/>
              <w:right w:w="62" w:type="dxa"/>
            </w:tcMar>
          </w:tcPr>
          <w:p w:rsidR="00000000" w:rsidRPr="00D84AE1" w:rsidP="00D84AE1">
            <w:pPr>
              <w:pStyle w:val="BodyText"/>
            </w:pPr>
            <w:r w:rsidRPr="00D84AE1">
              <w:rPr>
                <w:rStyle w:val="SpecialBold"/>
              </w:rPr>
              <w:t>9</w:t>
            </w:r>
            <w:r w:rsidRPr="00D84AE1">
              <w:t>.</w:t>
            </w:r>
            <w:r w:rsidRPr="00D84AE1">
              <w:rPr>
                <w:rStyle w:val="SpecialBold"/>
              </w:rPr>
              <w:t>2</w:t>
            </w:r>
            <w:r w:rsidRPr="00D84AE1">
              <w:t xml:space="preserve">) </w:t>
            </w:r>
          </w:p>
          <w:p w:rsidR="00000000" w:rsidP="00D84AE1">
            <w:pPr>
              <w:pStyle w:val="BodyText"/>
              <w:rPr>
                <w:lang w:val="en-NZ"/>
              </w:rPr>
            </w:pPr>
            <w:r w:rsidRPr="00D84AE1">
              <w:t>Before the critical aspects of evidence are considered all prerequisites sh</w:t>
            </w:r>
            <w:r w:rsidRPr="00D84AE1">
              <w:t>all be met.</w:t>
            </w:r>
          </w:p>
        </w:tc>
      </w:tr>
      <w:tr w:rsidTr="00307076">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RPr="00D84AE1" w:rsidP="00D84AE1">
            <w:pPr>
              <w:pStyle w:val="BodyText"/>
            </w:pPr>
            <w:r w:rsidRPr="00D84AE1">
              <w:t>The evidence on which competency in this unit is based shall be considered holistically for each element on at least two occasions comprising:</w:t>
            </w:r>
          </w:p>
          <w:p w:rsidR="00000000" w:rsidP="00D84AE1">
            <w:pPr>
              <w:pStyle w:val="ListBullet"/>
              <w:rPr>
                <w:lang w:val="en-NZ"/>
              </w:rPr>
            </w:pPr>
            <w:r w:rsidRPr="00D84AE1">
              <w:t xml:space="preserve">A representative body of work performance demonstrated within the timeframes typically </w:t>
            </w:r>
            <w:r w:rsidRPr="00D84AE1">
              <w:t>expected of the discipline, work function and industrial environment. In particular this shall incorporate evidence that shows a candidate is able to:</w:t>
            </w:r>
          </w:p>
        </w:tc>
      </w:tr>
      <w:tr w:rsidTr="00307076">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D84AE1">
            <w:pPr>
              <w:pStyle w:val="BodyText"/>
              <w:rPr>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RPr="00D84AE1" w:rsidP="00D84AE1">
            <w:pPr>
              <w:pStyle w:val="ListBullet2"/>
            </w:pPr>
            <w:r w:rsidRPr="00D84AE1">
              <w:t xml:space="preserve">Implement Occupational Health and Safety workplace procedures and practices including </w:t>
            </w:r>
            <w:r w:rsidRPr="00D84AE1">
              <w:t>the use of risk control measures as specified in the performance criteria and range; and</w:t>
            </w:r>
          </w:p>
          <w:p w:rsidR="00000000" w:rsidRPr="00D84AE1" w:rsidP="00D84AE1">
            <w:pPr>
              <w:pStyle w:val="ListBullet2"/>
            </w:pPr>
            <w:r w:rsidRPr="00D84AE1">
              <w:t>Apply sustainable work practice principles and practices as specified in the performance criteria and range; and</w:t>
            </w:r>
          </w:p>
          <w:p w:rsidR="00000000" w:rsidRPr="00D84AE1" w:rsidP="00D84AE1">
            <w:pPr>
              <w:pStyle w:val="ListBullet2"/>
            </w:pPr>
            <w:r w:rsidRPr="00D84AE1">
              <w:t>Demonstrate an understanding of the essential knowledg</w:t>
            </w:r>
            <w:r w:rsidRPr="00D84AE1">
              <w:t>e and associated skills as described in this unit.  It may be required by some jurisdictions that RTOs provide a percentile graded result for the purpose of regulatory or licensing requirements. and</w:t>
            </w:r>
          </w:p>
          <w:p w:rsidR="00000000" w:rsidRPr="00D84AE1" w:rsidP="00D84AE1">
            <w:pPr>
              <w:pStyle w:val="ListBullet2"/>
            </w:pPr>
            <w:r w:rsidRPr="00D84AE1">
              <w:t>Demonstrate an appropriate level of skills enabling emplo</w:t>
            </w:r>
            <w:r w:rsidRPr="00D84AE1">
              <w:t>yment; and</w:t>
            </w:r>
          </w:p>
          <w:p w:rsidR="00000000" w:rsidP="00D84AE1">
            <w:pPr>
              <w:pStyle w:val="ListBullet2"/>
              <w:rPr>
                <w:lang w:val="en-NZ"/>
              </w:rPr>
            </w:pPr>
            <w:r w:rsidRPr="00D84AE1">
              <w:t>Conduct work observing the relevant Anti Discrimination legislation, regulations, polices and workplace procedures; and</w:t>
            </w:r>
          </w:p>
        </w:tc>
      </w:tr>
      <w:tr w:rsidTr="00307076">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D84AE1">
            <w:pPr>
              <w:pStyle w:val="BodyText"/>
              <w:rPr>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P="00D84AE1">
            <w:pPr>
              <w:pStyle w:val="ListBullet"/>
              <w:rPr>
                <w:lang w:val="en-NZ"/>
              </w:rPr>
            </w:pPr>
            <w:r w:rsidRPr="00D84AE1">
              <w:t>Demonstrated performance across a representative range of contexts from the prescribed items below:</w:t>
            </w:r>
          </w:p>
        </w:tc>
      </w:tr>
      <w:tr w:rsidTr="00307076">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D84AE1">
            <w:pPr>
              <w:pStyle w:val="BodyText"/>
              <w:rPr>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P="00D84AE1">
            <w:pPr>
              <w:pStyle w:val="ListBullet2"/>
              <w:rPr>
                <w:lang w:val="en-NZ"/>
              </w:rPr>
            </w:pPr>
            <w:r w:rsidRPr="00D84AE1">
              <w:t>Participate in environmentally sustainable work practices as listed in the Range statement' and including:</w:t>
            </w:r>
          </w:p>
        </w:tc>
      </w:tr>
      <w:tr w:rsidTr="00307076">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D84AE1">
            <w:pPr>
              <w:pStyle w:val="BodyText"/>
              <w:rPr>
                <w:lang w:val="en-NZ"/>
              </w:rPr>
            </w:pPr>
            <w:r w:rsidRPr="00D84AE1">
              <w:t>A</w:t>
            </w:r>
          </w:p>
        </w:tc>
        <w:tc>
          <w:tcPr>
            <w:tcW w:w="5040" w:type="dxa"/>
            <w:tcBorders>
              <w:top w:val="nil"/>
              <w:left w:val="nil"/>
              <w:bottom w:val="nil"/>
              <w:right w:val="nil"/>
            </w:tcBorders>
            <w:tcMar>
              <w:top w:w="0" w:type="dxa"/>
              <w:left w:w="62" w:type="dxa"/>
              <w:bottom w:w="0" w:type="dxa"/>
              <w:right w:w="62" w:type="dxa"/>
            </w:tcMar>
          </w:tcPr>
          <w:p w:rsidR="00000000" w:rsidP="00D84AE1">
            <w:pPr>
              <w:pStyle w:val="BodyText"/>
              <w:rPr>
                <w:lang w:val="en-NZ"/>
              </w:rPr>
            </w:pPr>
            <w:r w:rsidRPr="00D84AE1">
              <w:t>Apply sustainable work practice in daily work activities</w:t>
            </w:r>
          </w:p>
        </w:tc>
      </w:tr>
      <w:tr w:rsidTr="00307076">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D84AE1">
            <w:pPr>
              <w:pStyle w:val="BodyText"/>
              <w:rPr>
                <w:lang w:val="en-NZ"/>
              </w:rPr>
            </w:pPr>
            <w:r w:rsidRPr="00D84AE1">
              <w:t>B</w:t>
            </w:r>
          </w:p>
        </w:tc>
        <w:tc>
          <w:tcPr>
            <w:tcW w:w="5040" w:type="dxa"/>
            <w:tcBorders>
              <w:top w:val="nil"/>
              <w:left w:val="nil"/>
              <w:bottom w:val="nil"/>
              <w:right w:val="nil"/>
            </w:tcBorders>
            <w:tcMar>
              <w:top w:w="0" w:type="dxa"/>
              <w:left w:w="62" w:type="dxa"/>
              <w:bottom w:w="0" w:type="dxa"/>
              <w:right w:w="62" w:type="dxa"/>
            </w:tcMar>
          </w:tcPr>
          <w:p w:rsidR="00000000" w:rsidP="00D84AE1">
            <w:pPr>
              <w:pStyle w:val="BodyText"/>
              <w:rPr>
                <w:lang w:val="en-NZ"/>
              </w:rPr>
            </w:pPr>
            <w:r w:rsidRPr="00D84AE1">
              <w:t>Dealing with unplanned events by drawing on essential knowledge and skills to provide appropriate solutions incorporated in the holistic assessment with the above listed items</w:t>
            </w:r>
          </w:p>
        </w:tc>
      </w:tr>
      <w:tr w:rsidTr="00307076">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P="00D84AE1">
            <w:pPr>
              <w:pStyle w:val="BodyText"/>
              <w:rPr>
                <w:lang w:val="en-NZ"/>
              </w:rPr>
            </w:pPr>
            <w:r w:rsidRPr="00D84AE1">
              <w:t xml:space="preserve">Note: </w:t>
            </w:r>
            <w:r w:rsidRPr="00D84AE1">
              <w:br/>
              <w:t>Successful completion of relevant vendor training may be used to contri</w:t>
            </w:r>
            <w:r w:rsidRPr="00D84AE1">
              <w:t>bute to evidence on which competency is deemed. In these cases the alignment of outcomes of vendor training with performance criteria and critical aspects of evidence shall be clearly identified</w:t>
            </w:r>
          </w:p>
        </w:tc>
      </w:tr>
      <w:tr w:rsidTr="00307076">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D84AE1" w:rsidP="00D84AE1">
            <w:pPr>
              <w:pStyle w:val="BodyText"/>
            </w:pPr>
            <w:r w:rsidRPr="00D84AE1">
              <w:rPr>
                <w:rStyle w:val="SpecialBold"/>
              </w:rPr>
              <w:t>Context of and specific resources for assessment</w:t>
            </w:r>
          </w:p>
        </w:tc>
        <w:tc>
          <w:tcPr>
            <w:tcW w:w="6300" w:type="dxa"/>
            <w:gridSpan w:val="3"/>
            <w:tcBorders>
              <w:top w:val="nil"/>
              <w:left w:val="nil"/>
              <w:bottom w:val="nil"/>
              <w:right w:val="nil"/>
            </w:tcBorders>
            <w:tcMar>
              <w:top w:w="0" w:type="dxa"/>
              <w:left w:w="62" w:type="dxa"/>
              <w:bottom w:w="0" w:type="dxa"/>
              <w:right w:w="62" w:type="dxa"/>
            </w:tcMar>
          </w:tcPr>
          <w:p w:rsidR="00000000" w:rsidRPr="00D84AE1" w:rsidP="00D84AE1">
            <w:pPr>
              <w:pStyle w:val="BodyText"/>
            </w:pPr>
            <w:r w:rsidRPr="00D84AE1">
              <w:rPr>
                <w:rStyle w:val="SpecialBold"/>
              </w:rPr>
              <w:t>9</w:t>
            </w:r>
            <w:r w:rsidRPr="00D84AE1">
              <w:t>.</w:t>
            </w:r>
            <w:r w:rsidRPr="00D84AE1">
              <w:rPr>
                <w:rStyle w:val="SpecialBold"/>
              </w:rPr>
              <w:t>3</w:t>
            </w:r>
            <w:r w:rsidRPr="00D84AE1">
              <w:t xml:space="preserve">) </w:t>
            </w:r>
          </w:p>
          <w:p w:rsidR="00000000" w:rsidRPr="00D84AE1" w:rsidP="00D84AE1">
            <w:pPr>
              <w:pStyle w:val="BodyText"/>
            </w:pPr>
            <w:r w:rsidRPr="00D84AE1">
              <w:t>Thi</w:t>
            </w:r>
            <w:r w:rsidRPr="00D84AE1">
              <w:t>s unit should be assessed as it relates to normal work practice using procedures, information and resources typical of a workplace. This should include:</w:t>
            </w:r>
          </w:p>
          <w:p w:rsidR="00000000" w:rsidRPr="00D84AE1" w:rsidP="00D84AE1">
            <w:pPr>
              <w:pStyle w:val="ListBullet"/>
            </w:pPr>
            <w:r w:rsidRPr="00D84AE1">
              <w:t>OHS policy and work procedures and instructions.</w:t>
            </w:r>
          </w:p>
          <w:p w:rsidR="00000000" w:rsidRPr="00D84AE1" w:rsidP="00D84AE1">
            <w:pPr>
              <w:pStyle w:val="ListBullet"/>
            </w:pPr>
            <w:r w:rsidRPr="00D84AE1">
              <w:t>Suitable work environment, facilities, equipment and materials to undertake actual work as prescribed by this competency standard unit.</w:t>
            </w:r>
          </w:p>
          <w:p w:rsidR="00000000" w:rsidRPr="00D84AE1" w:rsidP="00D84AE1">
            <w:pPr>
              <w:pStyle w:val="BodyText"/>
            </w:pPr>
            <w:r w:rsidRPr="00D84AE1">
              <w:t>Resources required to assess this unit are listed above in Context of assessment', which should also be used in the form</w:t>
            </w:r>
            <w:r w:rsidRPr="00D84AE1">
              <w:t>al learning/assessment environment.</w:t>
            </w:r>
          </w:p>
          <w:p w:rsidR="00000000" w:rsidRPr="00D84AE1" w:rsidP="00D84AE1">
            <w:pPr>
              <w:pStyle w:val="BodyText"/>
            </w:pPr>
            <w:r w:rsidRPr="00D84AE1">
              <w:t>Note:</w:t>
            </w:r>
          </w:p>
          <w:p w:rsidR="00000000" w:rsidP="00D84AE1">
            <w:pPr>
              <w:pStyle w:val="BodyText"/>
              <w:rPr>
                <w:lang w:val="en-NZ"/>
              </w:rPr>
            </w:pPr>
            <w:r w:rsidRPr="00D84AE1">
              <w:t xml:space="preserve">Where simulation is considered a suitable strategy for assessment it must ensure that the conditions for assessment are authentic and as far as possible reproduce and replicate the workplace and is consistent with </w:t>
            </w:r>
            <w:r w:rsidRPr="00D84AE1">
              <w:t>the approved industry simulation policy.</w:t>
            </w:r>
          </w:p>
        </w:tc>
      </w:tr>
      <w:tr w:rsidTr="00307076">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P="00D84AE1">
            <w:pPr>
              <w:pStyle w:val="BodyText"/>
              <w:rPr>
                <w:lang w:val="en-NZ"/>
              </w:rPr>
            </w:pPr>
            <w:r w:rsidRPr="00D84AE1">
              <w:t>In addition to the resources listed above in Context of and specific resources for assessment, evidence should show demonstrated competency in participating in environmentally sustainable work practices.</w:t>
            </w:r>
          </w:p>
        </w:tc>
      </w:tr>
      <w:tr w:rsidTr="00307076">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D84AE1" w:rsidP="00D84AE1">
            <w:pPr>
              <w:pStyle w:val="BodyText"/>
            </w:pPr>
            <w:r w:rsidRPr="00D84AE1">
              <w:rPr>
                <w:rStyle w:val="SpecialBold"/>
              </w:rPr>
              <w:t>Meth</w:t>
            </w:r>
            <w:r w:rsidRPr="00D84AE1">
              <w:rPr>
                <w:rStyle w:val="SpecialBold"/>
              </w:rPr>
              <w:t>od of assessment</w:t>
            </w:r>
          </w:p>
        </w:tc>
        <w:tc>
          <w:tcPr>
            <w:tcW w:w="6300" w:type="dxa"/>
            <w:gridSpan w:val="3"/>
            <w:tcBorders>
              <w:top w:val="nil"/>
              <w:left w:val="nil"/>
              <w:bottom w:val="nil"/>
              <w:right w:val="nil"/>
            </w:tcBorders>
            <w:tcMar>
              <w:top w:w="0" w:type="dxa"/>
              <w:left w:w="62" w:type="dxa"/>
              <w:bottom w:w="0" w:type="dxa"/>
              <w:right w:w="62" w:type="dxa"/>
            </w:tcMar>
          </w:tcPr>
          <w:p w:rsidR="00000000" w:rsidRPr="00D84AE1" w:rsidP="00D84AE1">
            <w:pPr>
              <w:pStyle w:val="BodyText"/>
            </w:pPr>
            <w:r w:rsidRPr="00D84AE1">
              <w:rPr>
                <w:rStyle w:val="SpecialBold"/>
              </w:rPr>
              <w:t>9</w:t>
            </w:r>
            <w:r w:rsidRPr="00D84AE1">
              <w:t>.</w:t>
            </w:r>
            <w:r w:rsidRPr="00D84AE1">
              <w:rPr>
                <w:rStyle w:val="SpecialBold"/>
              </w:rPr>
              <w:t>4</w:t>
            </w:r>
            <w:r w:rsidRPr="00D84AE1">
              <w:t xml:space="preserve">) </w:t>
            </w:r>
          </w:p>
          <w:p w:rsidR="00000000" w:rsidRPr="00D84AE1" w:rsidP="00D84AE1">
            <w:pPr>
              <w:pStyle w:val="BodyText"/>
            </w:pPr>
            <w:r w:rsidRPr="00D84AE1">
              <w:t>This competency standard unit shall be assessed by methods given in Volume 1, Part 3 "Assessment Guidelines".</w:t>
            </w:r>
          </w:p>
          <w:p w:rsidR="00000000" w:rsidP="00D84AE1">
            <w:pPr>
              <w:pStyle w:val="BodyText"/>
              <w:rPr>
                <w:lang w:val="en-NZ"/>
              </w:rPr>
            </w:pPr>
            <w:r w:rsidRPr="00D84AE1">
              <w:t xml:space="preserve">Note: </w:t>
            </w:r>
            <w:r w:rsidRPr="00D84AE1">
              <w:br/>
            </w:r>
            <w:r w:rsidRPr="00D84AE1">
              <w:t>Competent performance with inherent safe working practices is expected in the Industry to which this competency standard unit applies. This requires that the specified essential knowledge and associated skills are assessed in a structured environment which</w:t>
            </w:r>
            <w:r w:rsidRPr="00D84AE1">
              <w:t xml:space="preserve"> is primarily intended for learning/assessment and incorporates all necessary equipment and facilities for learners to develop and demonstrate the essential knowledge and skills described in this unit.</w:t>
            </w:r>
          </w:p>
        </w:tc>
      </w:tr>
      <w:tr w:rsidTr="00307076">
        <w:tblPrEx>
          <w:tblW w:w="0" w:type="auto"/>
          <w:tblLayout w:type="fixed"/>
          <w:tblCellMar>
            <w:left w:w="62" w:type="dxa"/>
            <w:right w:w="62" w:type="dxa"/>
          </w:tblCellMar>
          <w:tblLook w:val="0000"/>
        </w:tblPrEx>
        <w:tc>
          <w:tcPr>
            <w:tcW w:w="2160" w:type="dxa"/>
            <w:vMerge w:val="restart"/>
            <w:tcBorders>
              <w:top w:val="nil"/>
              <w:left w:val="nil"/>
              <w:bottom w:val="nil"/>
              <w:right w:val="nil"/>
            </w:tcBorders>
            <w:tcMar>
              <w:top w:w="0" w:type="dxa"/>
              <w:left w:w="62" w:type="dxa"/>
              <w:bottom w:w="0" w:type="dxa"/>
              <w:right w:w="62" w:type="dxa"/>
            </w:tcMar>
          </w:tcPr>
          <w:p w:rsidR="00000000" w:rsidRPr="00D84AE1" w:rsidP="00D84AE1">
            <w:pPr>
              <w:pStyle w:val="BodyText"/>
            </w:pPr>
            <w:r w:rsidRPr="00D84AE1">
              <w:rPr>
                <w:rStyle w:val="SpecialBold"/>
              </w:rPr>
              <w:t>Concurrent assessment and relationship with other u</w:t>
            </w:r>
            <w:r w:rsidRPr="00D84AE1">
              <w:rPr>
                <w:rStyle w:val="SpecialBold"/>
              </w:rPr>
              <w:t>nits</w:t>
            </w:r>
          </w:p>
        </w:tc>
        <w:tc>
          <w:tcPr>
            <w:tcW w:w="6300" w:type="dxa"/>
            <w:gridSpan w:val="3"/>
            <w:tcBorders>
              <w:top w:val="nil"/>
              <w:left w:val="nil"/>
              <w:bottom w:val="nil"/>
              <w:right w:val="nil"/>
            </w:tcBorders>
            <w:tcMar>
              <w:top w:w="0" w:type="dxa"/>
              <w:left w:w="62" w:type="dxa"/>
              <w:bottom w:w="0" w:type="dxa"/>
              <w:right w:w="62" w:type="dxa"/>
            </w:tcMar>
          </w:tcPr>
          <w:p w:rsidR="00000000" w:rsidP="00D84AE1">
            <w:pPr>
              <w:pStyle w:val="BodyText"/>
              <w:rPr>
                <w:lang w:val="en-NZ"/>
              </w:rPr>
            </w:pPr>
            <w:r w:rsidRPr="00D84AE1">
              <w:rPr>
                <w:rStyle w:val="SpecialBold"/>
              </w:rPr>
              <w:t>9</w:t>
            </w:r>
            <w:r w:rsidRPr="00D84AE1">
              <w:t>.</w:t>
            </w:r>
            <w:r w:rsidRPr="00D84AE1">
              <w:rPr>
                <w:rStyle w:val="SpecialBold"/>
              </w:rPr>
              <w:t>5</w:t>
            </w:r>
            <w:r w:rsidRPr="00D84AE1">
              <w:t>)</w:t>
            </w:r>
          </w:p>
        </w:tc>
      </w:tr>
      <w:tr w:rsidTr="00307076">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RPr="00D84AE1" w:rsidP="00D84AE1">
            <w:pPr>
              <w:pStyle w:val="BodyText"/>
            </w:pPr>
            <w:r w:rsidRPr="00D84AE1">
              <w:t>There are no concurrent assessment recommendations for this unit.</w:t>
            </w:r>
          </w:p>
        </w:tc>
      </w:tr>
    </w:tbl>
    <w:p w:rsidR="00307076" w:rsidP="00D84AE1">
      <w:pPr>
        <w:pStyle w:val="BodyText"/>
      </w:pPr>
    </w:p>
    <w:p w:rsidR="00307076" w:rsidP="00D84AE1">
      <w:pPr>
        <w:pStyle w:val="BodyText"/>
      </w:pPr>
    </w:p>
    <w:p w:rsidR="00000000" w:rsidRPr="00D84AE1" w:rsidP="00D84AE1">
      <w:pPr>
        <w:pStyle w:val="Heading1"/>
      </w:pPr>
      <w:bookmarkStart w:id="11" w:name="O_255640"/>
      <w:bookmarkEnd w:id="11"/>
      <w:r w:rsidRPr="00D84AE1">
        <w:t>Range Statement</w:t>
      </w:r>
    </w:p>
    <w:tbl>
      <w:tblPr>
        <w:tblW w:w="0" w:type="auto"/>
        <w:tblLayout w:type="fixed"/>
        <w:tblCellMar>
          <w:left w:w="62" w:type="dxa"/>
          <w:right w:w="62" w:type="dxa"/>
        </w:tblCellMar>
        <w:tblLook w:val="0000"/>
      </w:tblPr>
      <w:tblGrid>
        <w:gridCol w:w="2160"/>
        <w:gridCol w:w="6300"/>
      </w:tblGrid>
      <w:tr w:rsidTr="00307076">
        <w:tblPrEx>
          <w:tblW w:w="0" w:type="auto"/>
          <w:tblLayout w:type="fixed"/>
          <w:tblCellMar>
            <w:left w:w="62" w:type="dxa"/>
            <w:right w:w="62" w:type="dxa"/>
          </w:tblCellMar>
          <w:tblLook w:val="0000"/>
        </w:tblPrEx>
        <w:trPr>
          <w:tblHeader/>
        </w:trPr>
        <w:tc>
          <w:tcPr>
            <w:tcW w:w="8460" w:type="dxa"/>
            <w:gridSpan w:val="2"/>
            <w:tcBorders>
              <w:top w:val="nil"/>
              <w:left w:val="nil"/>
              <w:bottom w:val="nil"/>
              <w:right w:val="nil"/>
            </w:tcBorders>
            <w:tcMar>
              <w:top w:w="0" w:type="dxa"/>
              <w:left w:w="62" w:type="dxa"/>
              <w:bottom w:w="0" w:type="dxa"/>
              <w:right w:w="62" w:type="dxa"/>
            </w:tcMar>
          </w:tcPr>
          <w:p w:rsidR="00000000" w:rsidP="00D84AE1">
            <w:pPr>
              <w:pStyle w:val="BodyText"/>
              <w:rPr>
                <w:lang w:val="en-NZ"/>
              </w:rPr>
            </w:pPr>
            <w:r w:rsidRPr="00D84AE1">
              <w:rPr>
                <w:rStyle w:val="SpecialBold"/>
              </w:rPr>
              <w:t>RANGE STATEMENT</w:t>
            </w:r>
          </w:p>
        </w:tc>
      </w:tr>
      <w:tr w:rsidTr="00307076">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P="00D84AE1">
            <w:pPr>
              <w:pStyle w:val="BodyText"/>
              <w:rPr>
                <w:lang w:val="en-NZ"/>
              </w:rPr>
            </w:pPr>
            <w:r w:rsidRPr="00D84AE1">
              <w:rPr>
                <w:rStyle w:val="SpecialBold"/>
              </w:rPr>
              <w:t>8</w:t>
            </w:r>
            <w:r w:rsidRPr="00D84AE1">
              <w:t xml:space="preserve">) This relates to the unit of competency as a whole providing the range of contexts and conditions </w:t>
            </w:r>
            <w:r w:rsidRPr="00D84AE1">
              <w:t>to which the performance criteria apply. It allows for different work environments and situations that will affect performance.</w:t>
            </w:r>
          </w:p>
        </w:tc>
      </w:tr>
      <w:tr w:rsidTr="00307076">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P="00D84AE1">
            <w:pPr>
              <w:pStyle w:val="BodyText"/>
              <w:rPr>
                <w:lang w:val="en-NZ"/>
              </w:rPr>
            </w:pPr>
            <w:r w:rsidRPr="00D84AE1">
              <w:t>This competency standard unit shall be demonstrated in relation to participating in environmentally sustainable work prac</w:t>
            </w:r>
            <w:r w:rsidRPr="00D84AE1">
              <w:t>tices in any of the following disciplines:</w:t>
            </w:r>
          </w:p>
        </w:tc>
      </w:tr>
      <w:tr w:rsidTr="00307076">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D84AE1">
            <w:pPr>
              <w:pStyle w:val="BodyText"/>
              <w:rPr>
                <w:lang w:val="en-NZ"/>
              </w:rPr>
            </w:pPr>
          </w:p>
        </w:tc>
        <w:tc>
          <w:tcPr>
            <w:tcW w:w="6300" w:type="dxa"/>
            <w:tcBorders>
              <w:top w:val="nil"/>
              <w:left w:val="nil"/>
              <w:bottom w:val="nil"/>
              <w:right w:val="nil"/>
            </w:tcBorders>
            <w:tcMar>
              <w:top w:w="0" w:type="dxa"/>
              <w:left w:w="62" w:type="dxa"/>
              <w:bottom w:w="0" w:type="dxa"/>
              <w:right w:w="62" w:type="dxa"/>
            </w:tcMar>
          </w:tcPr>
          <w:p w:rsidR="00000000" w:rsidRPr="00D84AE1" w:rsidP="00D84AE1">
            <w:pPr>
              <w:pStyle w:val="ListBullet"/>
            </w:pPr>
            <w:r w:rsidRPr="00D84AE1">
              <w:t>Appliances</w:t>
            </w:r>
          </w:p>
          <w:p w:rsidR="00000000" w:rsidRPr="00D84AE1" w:rsidP="00D84AE1">
            <w:pPr>
              <w:pStyle w:val="ListBullet"/>
            </w:pPr>
            <w:r w:rsidRPr="00D84AE1">
              <w:t>Business equipment</w:t>
            </w:r>
          </w:p>
          <w:p w:rsidR="00000000" w:rsidRPr="00D84AE1" w:rsidP="00D84AE1">
            <w:pPr>
              <w:pStyle w:val="ListBullet"/>
            </w:pPr>
            <w:r w:rsidRPr="00D84AE1">
              <w:t xml:space="preserve">Computers </w:t>
            </w:r>
          </w:p>
          <w:p w:rsidR="00000000" w:rsidRPr="00D84AE1" w:rsidP="00D84AE1">
            <w:pPr>
              <w:pStyle w:val="ListBullet"/>
            </w:pPr>
            <w:r w:rsidRPr="00D84AE1">
              <w:t>Data Communications</w:t>
            </w:r>
          </w:p>
          <w:p w:rsidR="00000000" w:rsidRPr="00D84AE1" w:rsidP="00D84AE1">
            <w:pPr>
              <w:pStyle w:val="ListBullet"/>
            </w:pPr>
            <w:r w:rsidRPr="00D84AE1">
              <w:t>Electrical</w:t>
            </w:r>
          </w:p>
          <w:p w:rsidR="00000000" w:rsidRPr="00D84AE1" w:rsidP="00D84AE1">
            <w:pPr>
              <w:pStyle w:val="ListBullet"/>
            </w:pPr>
            <w:r w:rsidRPr="00D84AE1">
              <w:t>Electrical Machines</w:t>
            </w:r>
          </w:p>
          <w:p w:rsidR="00000000" w:rsidRPr="00D84AE1" w:rsidP="00D84AE1">
            <w:pPr>
              <w:pStyle w:val="ListBullet"/>
            </w:pPr>
            <w:r w:rsidRPr="00D84AE1">
              <w:t>Electronics</w:t>
            </w:r>
          </w:p>
          <w:p w:rsidR="00000000" w:rsidRPr="00D84AE1" w:rsidP="00D84AE1">
            <w:pPr>
              <w:pStyle w:val="ListBullet"/>
            </w:pPr>
            <w:r w:rsidRPr="00D84AE1">
              <w:t>Fire protection</w:t>
            </w:r>
          </w:p>
          <w:p w:rsidR="00000000" w:rsidRPr="00D84AE1" w:rsidP="00D84AE1">
            <w:pPr>
              <w:pStyle w:val="ListBullet"/>
            </w:pPr>
            <w:r w:rsidRPr="00D84AE1">
              <w:t>Instrumentation</w:t>
            </w:r>
          </w:p>
          <w:p w:rsidR="00000000" w:rsidRPr="00D84AE1" w:rsidP="00D84AE1">
            <w:pPr>
              <w:pStyle w:val="ListBullet"/>
            </w:pPr>
            <w:r w:rsidRPr="00D84AE1">
              <w:t>Refrigeration and Air Conditioning</w:t>
            </w:r>
          </w:p>
          <w:p w:rsidR="00000000" w:rsidRPr="00D84AE1" w:rsidP="00D84AE1">
            <w:pPr>
              <w:pStyle w:val="ListBullet"/>
            </w:pPr>
            <w:r w:rsidRPr="00D84AE1">
              <w:t>Renewable / sustainable energy</w:t>
            </w:r>
          </w:p>
          <w:p w:rsidR="00000000" w:rsidP="00D84AE1">
            <w:pPr>
              <w:pStyle w:val="ListBullet"/>
              <w:rPr>
                <w:lang w:val="en-NZ"/>
              </w:rPr>
            </w:pPr>
            <w:r w:rsidRPr="00D84AE1">
              <w:t>Security technology</w:t>
            </w:r>
          </w:p>
        </w:tc>
      </w:tr>
      <w:tr w:rsidTr="00307076">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RPr="00D84AE1" w:rsidP="00D84AE1">
            <w:pPr>
              <w:pStyle w:val="BodyText"/>
            </w:pPr>
            <w:r w:rsidRPr="00D84AE1">
              <w:t>Generic terms are used throughout this Vocational Standard shall be regarded as part of the Range of Variables in which competency is demonstrated. The definition of these and other terms that apply are given in Volume 2, Part 2.1.</w:t>
            </w:r>
          </w:p>
        </w:tc>
      </w:tr>
    </w:tbl>
    <w:p w:rsidR="00307076" w:rsidP="00D84AE1">
      <w:pPr>
        <w:pStyle w:val="BodyText"/>
      </w:pPr>
    </w:p>
    <w:p w:rsidR="00307076" w:rsidP="00D84AE1">
      <w:pPr>
        <w:pStyle w:val="BodyText"/>
      </w:pPr>
    </w:p>
    <w:p w:rsidR="00000000" w:rsidRPr="00D84AE1" w:rsidP="00D84AE1">
      <w:pPr>
        <w:pStyle w:val="Heading1"/>
      </w:pPr>
      <w:bookmarkStart w:id="12" w:name="O_296653"/>
      <w:bookmarkEnd w:id="12"/>
      <w:r w:rsidRPr="00D84AE1">
        <w:t>Unit Sector(s)</w:t>
      </w:r>
    </w:p>
    <w:p w:rsidR="00000000" w:rsidRPr="00D84AE1" w:rsidP="00D84AE1">
      <w:pPr>
        <w:pStyle w:val="BodyText"/>
      </w:pPr>
      <w:r w:rsidRPr="00D84AE1">
        <w:t>Not Applicable</w:t>
      </w:r>
    </w:p>
    <w:p w:rsidR="00000000" w:rsidRPr="00D84AE1" w:rsidP="00D84AE1">
      <w:pPr>
        <w:pStyle w:val="AllowPageBreak"/>
      </w:pPr>
    </w:p>
    <w:p w:rsidR="00000000" w:rsidRPr="00D84AE1" w:rsidP="00D84AE1">
      <w:pPr>
        <w:pStyle w:val="Heading1"/>
      </w:pPr>
      <w:bookmarkStart w:id="13" w:name="O_228469"/>
      <w:bookmarkEnd w:id="13"/>
      <w:r w:rsidRPr="00D84AE1">
        <w:t>Custom Content Section</w:t>
      </w:r>
    </w:p>
    <w:tbl>
      <w:tblPr>
        <w:tblW w:w="0" w:type="auto"/>
        <w:tblLayout w:type="fixed"/>
        <w:tblCellMar>
          <w:left w:w="62" w:type="dxa"/>
          <w:right w:w="62" w:type="dxa"/>
        </w:tblCellMar>
        <w:tblLook w:val="0000"/>
      </w:tblPr>
      <w:tblGrid>
        <w:gridCol w:w="1454"/>
        <w:gridCol w:w="1182"/>
        <w:gridCol w:w="1739"/>
        <w:gridCol w:w="1182"/>
        <w:gridCol w:w="1721"/>
        <w:gridCol w:w="1182"/>
      </w:tblGrid>
      <w:tr w:rsidTr="00307076">
        <w:tblPrEx>
          <w:tblW w:w="0" w:type="auto"/>
          <w:tblLayout w:type="fixed"/>
          <w:tblCellMar>
            <w:left w:w="62" w:type="dxa"/>
            <w:right w:w="62" w:type="dxa"/>
          </w:tblCellMar>
          <w:tblLook w:val="0000"/>
        </w:tblPrEx>
        <w:trPr>
          <w:tblHeader/>
        </w:trPr>
        <w:tc>
          <w:tcPr>
            <w:tcW w:w="8460" w:type="dxa"/>
            <w:gridSpan w:val="6"/>
            <w:tcBorders>
              <w:top w:val="nil"/>
              <w:left w:val="nil"/>
              <w:bottom w:val="nil"/>
              <w:right w:val="nil"/>
            </w:tcBorders>
            <w:tcMar>
              <w:top w:w="0" w:type="dxa"/>
              <w:left w:w="62" w:type="dxa"/>
              <w:bottom w:w="0" w:type="dxa"/>
              <w:right w:w="62" w:type="dxa"/>
            </w:tcMar>
          </w:tcPr>
          <w:p w:rsidR="00000000" w:rsidRPr="00D84AE1" w:rsidP="00D84AE1">
            <w:pPr>
              <w:pStyle w:val="BodyText"/>
            </w:pPr>
            <w:r w:rsidRPr="00D84AE1">
              <w:rPr>
                <w:rStyle w:val="SpecialBold"/>
              </w:rPr>
              <w:t>2</w:t>
            </w:r>
            <w:r w:rsidRPr="00D84AE1">
              <w:t>.</w:t>
            </w:r>
            <w:r w:rsidRPr="00D84AE1">
              <w:rPr>
                <w:rStyle w:val="SpecialBold"/>
              </w:rPr>
              <w:t>2</w:t>
            </w:r>
            <w:r w:rsidRPr="00D84AE1">
              <w:t xml:space="preserve">) </w:t>
            </w:r>
            <w:r w:rsidRPr="00D84AE1">
              <w:rPr>
                <w:rStyle w:val="SpecialBold"/>
              </w:rPr>
              <w:t>Literacy and numeracy skills</w:t>
            </w:r>
          </w:p>
          <w:p w:rsidR="00000000" w:rsidP="00D84AE1">
            <w:pPr>
              <w:pStyle w:val="BodyText"/>
              <w:rPr>
                <w:lang w:val="en-NZ"/>
              </w:rPr>
            </w:pPr>
            <w:r w:rsidRPr="00D84AE1">
              <w:t>Participants are best equipped to achieve this unit if they have reading, writing and maths skills indicated by the following scales. Description of each scale is given in Volume 2, Part 3 "Literacy and Numeracy"</w:t>
            </w:r>
          </w:p>
        </w:tc>
      </w:tr>
      <w:tr w:rsidTr="00307076">
        <w:tblPrEx>
          <w:tblW w:w="0" w:type="auto"/>
          <w:tblLayout w:type="fixed"/>
          <w:tblCellMar>
            <w:left w:w="62" w:type="dxa"/>
            <w:right w:w="62" w:type="dxa"/>
          </w:tblCellMar>
          <w:tblLook w:val="0000"/>
        </w:tblPrEx>
        <w:tc>
          <w:tcPr>
            <w:tcW w:w="1454" w:type="dxa"/>
            <w:tcBorders>
              <w:top w:val="nil"/>
              <w:left w:val="nil"/>
              <w:bottom w:val="nil"/>
              <w:right w:val="nil"/>
            </w:tcBorders>
            <w:tcMar>
              <w:top w:w="0" w:type="dxa"/>
              <w:left w:w="62" w:type="dxa"/>
              <w:bottom w:w="0" w:type="dxa"/>
              <w:right w:w="62" w:type="dxa"/>
            </w:tcMar>
          </w:tcPr>
          <w:p w:rsidR="00000000" w:rsidP="00D84AE1">
            <w:pPr>
              <w:pStyle w:val="BodyText"/>
              <w:rPr>
                <w:lang w:val="en-NZ"/>
              </w:rPr>
            </w:pPr>
            <w:r w:rsidRPr="00D84AE1">
              <w:t>Reading</w:t>
            </w:r>
          </w:p>
        </w:tc>
        <w:tc>
          <w:tcPr>
            <w:tcW w:w="1182" w:type="dxa"/>
            <w:tcBorders>
              <w:top w:val="nil"/>
              <w:left w:val="nil"/>
              <w:bottom w:val="nil"/>
              <w:right w:val="nil"/>
            </w:tcBorders>
            <w:tcMar>
              <w:top w:w="0" w:type="dxa"/>
              <w:left w:w="62" w:type="dxa"/>
              <w:bottom w:w="0" w:type="dxa"/>
              <w:right w:w="62" w:type="dxa"/>
            </w:tcMar>
          </w:tcPr>
          <w:p w:rsidR="00000000" w:rsidP="00D84AE1">
            <w:pPr>
              <w:pStyle w:val="BodyText"/>
              <w:rPr>
                <w:lang w:val="en-NZ"/>
              </w:rPr>
            </w:pPr>
            <w:r w:rsidRPr="00D84AE1">
              <w:t>3</w:t>
            </w:r>
          </w:p>
        </w:tc>
        <w:tc>
          <w:tcPr>
            <w:tcW w:w="1739" w:type="dxa"/>
            <w:tcBorders>
              <w:top w:val="nil"/>
              <w:left w:val="nil"/>
              <w:bottom w:val="nil"/>
              <w:right w:val="nil"/>
            </w:tcBorders>
            <w:tcMar>
              <w:top w:w="0" w:type="dxa"/>
              <w:left w:w="62" w:type="dxa"/>
              <w:bottom w:w="0" w:type="dxa"/>
              <w:right w:w="62" w:type="dxa"/>
            </w:tcMar>
          </w:tcPr>
          <w:p w:rsidR="00000000" w:rsidP="00D84AE1">
            <w:pPr>
              <w:pStyle w:val="BodyText"/>
              <w:rPr>
                <w:lang w:val="en-NZ"/>
              </w:rPr>
            </w:pPr>
            <w:r w:rsidRPr="00D84AE1">
              <w:t>Writing</w:t>
            </w:r>
          </w:p>
        </w:tc>
        <w:tc>
          <w:tcPr>
            <w:tcW w:w="1182" w:type="dxa"/>
            <w:tcBorders>
              <w:top w:val="nil"/>
              <w:left w:val="nil"/>
              <w:bottom w:val="nil"/>
              <w:right w:val="nil"/>
            </w:tcBorders>
            <w:tcMar>
              <w:top w:w="0" w:type="dxa"/>
              <w:left w:w="62" w:type="dxa"/>
              <w:bottom w:w="0" w:type="dxa"/>
              <w:right w:w="62" w:type="dxa"/>
            </w:tcMar>
          </w:tcPr>
          <w:p w:rsidR="00000000" w:rsidP="00D84AE1">
            <w:pPr>
              <w:pStyle w:val="BodyText"/>
              <w:rPr>
                <w:lang w:val="en-NZ"/>
              </w:rPr>
            </w:pPr>
            <w:r w:rsidRPr="00D84AE1">
              <w:t>3</w:t>
            </w:r>
          </w:p>
        </w:tc>
        <w:tc>
          <w:tcPr>
            <w:tcW w:w="1721" w:type="dxa"/>
            <w:tcBorders>
              <w:top w:val="nil"/>
              <w:left w:val="nil"/>
              <w:bottom w:val="nil"/>
              <w:right w:val="nil"/>
            </w:tcBorders>
            <w:tcMar>
              <w:top w:w="0" w:type="dxa"/>
              <w:left w:w="62" w:type="dxa"/>
              <w:bottom w:w="0" w:type="dxa"/>
              <w:right w:w="62" w:type="dxa"/>
            </w:tcMar>
          </w:tcPr>
          <w:p w:rsidR="00000000" w:rsidP="00D84AE1">
            <w:pPr>
              <w:pStyle w:val="BodyText"/>
              <w:rPr>
                <w:lang w:val="en-NZ"/>
              </w:rPr>
            </w:pPr>
            <w:r w:rsidRPr="00D84AE1">
              <w:t>Maths</w:t>
            </w:r>
          </w:p>
        </w:tc>
        <w:tc>
          <w:tcPr>
            <w:tcW w:w="1182" w:type="dxa"/>
            <w:tcBorders>
              <w:top w:val="nil"/>
              <w:left w:val="nil"/>
              <w:bottom w:val="nil"/>
              <w:right w:val="nil"/>
            </w:tcBorders>
            <w:tcMar>
              <w:top w:w="0" w:type="dxa"/>
              <w:left w:w="62" w:type="dxa"/>
              <w:bottom w:w="0" w:type="dxa"/>
              <w:right w:w="62" w:type="dxa"/>
            </w:tcMar>
          </w:tcPr>
          <w:p w:rsidR="00000000" w:rsidRPr="00D84AE1" w:rsidP="00D84AE1">
            <w:pPr>
              <w:pStyle w:val="BodyText"/>
            </w:pPr>
            <w:r w:rsidRPr="00D84AE1">
              <w:t>3</w:t>
            </w:r>
          </w:p>
        </w:tc>
      </w:tr>
    </w:tbl>
    <w:p w:rsidR="00307076" w:rsidP="00D84AE1">
      <w:pPr>
        <w:pStyle w:val="BodyText"/>
      </w:pPr>
    </w:p>
    <w:p w:rsidR="00307076" w:rsidP="00D84AE1">
      <w:pPr>
        <w:pStyle w:val="BodyText"/>
      </w:pPr>
    </w:p>
    <w:p w:rsidR="00000000" w:rsidRPr="00D84AE1" w:rsidP="00D84AE1">
      <w:pPr>
        <w:pStyle w:val="Heading1"/>
      </w:pPr>
      <w:bookmarkStart w:id="14" w:name="O_228472"/>
      <w:bookmarkEnd w:id="14"/>
      <w:r w:rsidRPr="00D84AE1">
        <w:t>Competency Field</w:t>
      </w:r>
    </w:p>
    <w:tbl>
      <w:tblPr>
        <w:tblW w:w="0" w:type="auto"/>
        <w:tblLayout w:type="fixed"/>
        <w:tblCellMar>
          <w:left w:w="62" w:type="dxa"/>
          <w:right w:w="62" w:type="dxa"/>
        </w:tblCellMar>
        <w:tblLook w:val="0000"/>
      </w:tblPr>
      <w:tblGrid>
        <w:gridCol w:w="2700"/>
        <w:gridCol w:w="5760"/>
      </w:tblGrid>
      <w:tr w:rsidTr="00307076">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D84AE1" w:rsidP="00D84AE1">
            <w:pPr>
              <w:pStyle w:val="BodyText"/>
            </w:pPr>
            <w:r w:rsidRPr="00D84AE1">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D84AE1">
            <w:pPr>
              <w:pStyle w:val="BodyText"/>
              <w:rPr>
                <w:lang w:val="en-NZ"/>
              </w:rPr>
            </w:pPr>
            <w:r w:rsidRPr="00D84AE1">
              <w:rPr>
                <w:rStyle w:val="SpecialBold"/>
              </w:rPr>
              <w:t>5</w:t>
            </w:r>
            <w:r w:rsidRPr="00D84AE1">
              <w:t>)</w:t>
            </w:r>
          </w:p>
        </w:tc>
      </w:tr>
      <w:tr w:rsidTr="00307076">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D84AE1" w:rsidP="00D84AE1">
            <w:pPr>
              <w:pStyle w:val="BodyText"/>
            </w:pPr>
            <w:r w:rsidRPr="00D84AE1">
              <w:t>Renewable and Sustainable Energy</w:t>
            </w:r>
          </w:p>
        </w:tc>
      </w:tr>
    </w:tbl>
    <w:p w:rsidR="00307076" w:rsidP="00D84AE1">
      <w:pPr>
        <w:pStyle w:val="BodyText"/>
      </w:pPr>
    </w:p>
    <w:p w:rsidR="00307076" w:rsidP="00D84AE1">
      <w:pPr>
        <w:pStyle w:val="BodyText"/>
      </w:pPr>
    </w:p>
    <w:p w:rsidR="00000000" w:rsidRPr="00D84AE1" w:rsidP="00D84AE1"/>
    <w:sectPr w:rsidSect="00D84AE1">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4AE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07076" w:rsidP="0030707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4AE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7076" w:rsidP="00D84AE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307076" w:rsidP="00D84AE1">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EE-Oz Training Standards</w:t>
    </w:r>
    <w:r>
      <w:fldChar w:fldCharType="end"/>
    </w:r>
  </w:p>
  <w:p w:rsidR="00307076" w:rsidP="00D84AE1">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4AE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07076" w:rsidP="00307076">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4AE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7076" w:rsidP="00D84AE1">
    <w:pPr>
      <w:pStyle w:val="Header"/>
      <w:framePr w:wrap="around"/>
    </w:pPr>
    <w:r>
      <w:fldChar w:fldCharType="begin"/>
    </w:r>
    <w:r>
      <w:instrText xml:space="preserve"> TITLE   \* MERGEFORMAT </w:instrText>
    </w:r>
    <w:r>
      <w:fldChar w:fldCharType="separate"/>
    </w:r>
    <w:r>
      <w:t>UEENEEK042A Participate in environmentally sustainable work practices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307076" w:rsidP="00D84AE1">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B3407C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2CC63E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D04ACB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84AE1"/>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D84AE1"/>
    <w:pPr>
      <w:spacing w:before="360" w:after="60"/>
      <w:outlineLvl w:val="0"/>
    </w:pPr>
    <w:rPr>
      <w:sz w:val="32"/>
    </w:rPr>
  </w:style>
  <w:style w:type="paragraph" w:styleId="Heading2">
    <w:name w:val="heading 2"/>
    <w:basedOn w:val="HeadingBase"/>
    <w:next w:val="BodyText"/>
    <w:link w:val="Heading2Char"/>
    <w:qFormat/>
    <w:rsid w:val="00D84AE1"/>
    <w:pPr>
      <w:keepLines/>
      <w:spacing w:before="240" w:after="120"/>
      <w:outlineLvl w:val="1"/>
    </w:pPr>
    <w:rPr>
      <w:sz w:val="28"/>
      <w:szCs w:val="40"/>
    </w:rPr>
  </w:style>
  <w:style w:type="paragraph" w:styleId="Heading3">
    <w:name w:val="heading 3"/>
    <w:basedOn w:val="HeadingBase"/>
    <w:next w:val="BodyText"/>
    <w:link w:val="Heading3Char"/>
    <w:qFormat/>
    <w:rsid w:val="00D84AE1"/>
    <w:pPr>
      <w:spacing w:before="180" w:after="120"/>
      <w:outlineLvl w:val="2"/>
    </w:pPr>
    <w:rPr>
      <w:spacing w:val="-10"/>
      <w:kern w:val="32"/>
    </w:rPr>
  </w:style>
  <w:style w:type="paragraph" w:styleId="Heading4">
    <w:name w:val="heading 4"/>
    <w:basedOn w:val="HeadingBase"/>
    <w:next w:val="BodyText"/>
    <w:link w:val="Heading4Char"/>
    <w:qFormat/>
    <w:rsid w:val="00D84AE1"/>
    <w:pPr>
      <w:spacing w:before="160" w:after="120"/>
      <w:outlineLvl w:val="3"/>
    </w:pPr>
    <w:rPr>
      <w:sz w:val="22"/>
    </w:rPr>
  </w:style>
  <w:style w:type="paragraph" w:styleId="Heading5">
    <w:name w:val="heading 5"/>
    <w:basedOn w:val="HeadingBase"/>
    <w:next w:val="Normal"/>
    <w:link w:val="Heading5Char"/>
    <w:qFormat/>
    <w:rsid w:val="00D84AE1"/>
    <w:pPr>
      <w:spacing w:before="80"/>
      <w:outlineLvl w:val="4"/>
    </w:pPr>
    <w:rPr>
      <w:color w:val="918585"/>
      <w:sz w:val="20"/>
    </w:rPr>
  </w:style>
  <w:style w:type="paragraph" w:styleId="Heading6">
    <w:name w:val="heading 6"/>
    <w:basedOn w:val="HeadingBase"/>
    <w:next w:val="Normal"/>
    <w:link w:val="Heading6Char"/>
    <w:qFormat/>
    <w:rsid w:val="00D84AE1"/>
    <w:pPr>
      <w:spacing w:before="60"/>
      <w:outlineLvl w:val="5"/>
    </w:pPr>
    <w:rPr>
      <w:color w:val="918585"/>
      <w:sz w:val="20"/>
    </w:rPr>
  </w:style>
  <w:style w:type="paragraph" w:styleId="Heading7">
    <w:name w:val="heading 7"/>
    <w:basedOn w:val="Normal"/>
    <w:next w:val="Normal"/>
    <w:link w:val="Heading7Char"/>
    <w:qFormat/>
    <w:rsid w:val="00D84AE1"/>
    <w:pPr>
      <w:ind w:left="720"/>
      <w:outlineLvl w:val="6"/>
    </w:pPr>
    <w:rPr>
      <w:i/>
    </w:rPr>
  </w:style>
  <w:style w:type="paragraph" w:styleId="Heading8">
    <w:name w:val="heading 8"/>
    <w:basedOn w:val="Normal"/>
    <w:next w:val="Normal"/>
    <w:link w:val="Heading8Char"/>
    <w:qFormat/>
    <w:rsid w:val="00D84AE1"/>
    <w:pPr>
      <w:ind w:left="720"/>
      <w:outlineLvl w:val="7"/>
    </w:pPr>
    <w:rPr>
      <w:i/>
    </w:rPr>
  </w:style>
  <w:style w:type="paragraph" w:styleId="Heading9">
    <w:name w:val="heading 9"/>
    <w:basedOn w:val="Normal"/>
    <w:next w:val="Normal"/>
    <w:link w:val="Heading9Char"/>
    <w:qFormat/>
    <w:rsid w:val="00D84AE1"/>
    <w:pPr>
      <w:ind w:left="720"/>
      <w:outlineLvl w:val="8"/>
    </w:pPr>
    <w:rPr>
      <w:i/>
    </w:rPr>
  </w:style>
  <w:style w:type="character" w:default="1" w:styleId="DefaultParagraphFont">
    <w:name w:val="Default Paragraph Font"/>
    <w:uiPriority w:val="1"/>
    <w:unhideWhenUsed/>
    <w:rsid w:val="00D84AE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84AE1"/>
  </w:style>
  <w:style w:type="character" w:customStyle="1" w:styleId="Heading1Char">
    <w:name w:val="Heading 1 Char"/>
    <w:basedOn w:val="DefaultParagraphFont"/>
    <w:link w:val="Heading1"/>
    <w:rsid w:val="00D84AE1"/>
    <w:rPr>
      <w:rFonts w:ascii="Times New Roman" w:eastAsia="Times New Roman" w:hAnsi="Times New Roman" w:cs="Times New Roman"/>
      <w:b/>
      <w:sz w:val="32"/>
      <w:szCs w:val="20"/>
      <w:lang w:eastAsia="en-US"/>
    </w:rPr>
  </w:style>
  <w:style w:type="paragraph" w:styleId="BodyText">
    <w:name w:val="Body Text"/>
    <w:basedOn w:val="Normal"/>
    <w:link w:val="BodyTextChar"/>
    <w:rsid w:val="00D84AE1"/>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D84AE1"/>
    <w:rPr>
      <w:rFonts w:ascii="Times New Roman" w:eastAsia="Times New Roman" w:hAnsi="Times New Roman" w:cs="Times New Roman"/>
      <w:sz w:val="24"/>
      <w:lang w:val="en-US" w:eastAsia="en-US"/>
    </w:rPr>
  </w:style>
  <w:style w:type="paragraph" w:styleId="Footer">
    <w:name w:val="footer"/>
    <w:basedOn w:val="Normal"/>
    <w:link w:val="FooterChar"/>
    <w:rsid w:val="00D84AE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84AE1"/>
    <w:rPr>
      <w:rFonts w:ascii="Times New Roman" w:eastAsia="Times New Roman" w:hAnsi="Times New Roman" w:cs="Times New Roman"/>
      <w:sz w:val="16"/>
      <w:lang w:val="en-US" w:eastAsia="en-US"/>
    </w:rPr>
  </w:style>
  <w:style w:type="paragraph" w:styleId="ListBullet">
    <w:name w:val="List Bullet"/>
    <w:basedOn w:val="List"/>
    <w:rsid w:val="00D84AE1"/>
    <w:pPr>
      <w:numPr>
        <w:numId w:val="13"/>
      </w:numPr>
      <w:tabs>
        <w:tab w:val="clear" w:pos="340"/>
      </w:tabs>
      <w:spacing w:before="40" w:after="40"/>
    </w:pPr>
  </w:style>
  <w:style w:type="character" w:customStyle="1" w:styleId="SpecialBold">
    <w:name w:val="Special Bold"/>
    <w:basedOn w:val="DefaultParagraphFont"/>
    <w:rsid w:val="00D84AE1"/>
    <w:rPr>
      <w:b/>
      <w:spacing w:val="0"/>
    </w:rPr>
  </w:style>
  <w:style w:type="paragraph" w:styleId="ListBullet2">
    <w:name w:val="List Bullet 2"/>
    <w:basedOn w:val="List2"/>
    <w:rsid w:val="00D84AE1"/>
    <w:pPr>
      <w:numPr>
        <w:numId w:val="14"/>
      </w:numPr>
      <w:tabs>
        <w:tab w:val="clear" w:pos="680"/>
      </w:tabs>
    </w:pPr>
  </w:style>
  <w:style w:type="paragraph" w:styleId="Header">
    <w:name w:val="header"/>
    <w:basedOn w:val="Normal"/>
    <w:link w:val="HeaderChar"/>
    <w:rsid w:val="00D84AE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84AE1"/>
    <w:rPr>
      <w:rFonts w:ascii="Times New Roman" w:eastAsia="Times New Roman" w:hAnsi="Times New Roman" w:cs="Times New Roman"/>
      <w:sz w:val="16"/>
      <w:szCs w:val="20"/>
      <w:lang w:val="en-GB" w:eastAsia="en-US"/>
    </w:rPr>
  </w:style>
  <w:style w:type="paragraph" w:customStyle="1" w:styleId="SuperHeading">
    <w:name w:val="SuperHeading"/>
    <w:basedOn w:val="Normal"/>
    <w:rsid w:val="00D84AE1"/>
    <w:pPr>
      <w:spacing w:before="240" w:after="120"/>
      <w:outlineLvl w:val="0"/>
    </w:pPr>
    <w:rPr>
      <w:rFonts w:ascii="Times New Roman" w:hAnsi="Times New Roman"/>
      <w:b/>
      <w:sz w:val="28"/>
    </w:rPr>
  </w:style>
  <w:style w:type="paragraph" w:customStyle="1" w:styleId="AllowPageBreak">
    <w:name w:val="AllowPageBreak"/>
    <w:rsid w:val="00D84AE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D84AE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84AE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84AE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84AE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84AE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84AE1"/>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D84AE1"/>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D84AE1"/>
    <w:rPr>
      <w:rFonts w:ascii="Courier New" w:eastAsia="Times New Roman" w:hAnsi="Courier New" w:cs="Times New Roman"/>
      <w:i/>
      <w:szCs w:val="20"/>
      <w:lang w:val="en-US" w:eastAsia="en-US"/>
    </w:rPr>
  </w:style>
  <w:style w:type="paragraph" w:customStyle="1" w:styleId="HeadingBase">
    <w:name w:val="Heading Base"/>
    <w:rsid w:val="00D84AE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84AE1"/>
    <w:pPr>
      <w:tabs>
        <w:tab w:val="right" w:leader="dot" w:pos="9072"/>
      </w:tabs>
      <w:ind w:left="567"/>
    </w:pPr>
    <w:rPr>
      <w:szCs w:val="22"/>
    </w:rPr>
  </w:style>
  <w:style w:type="paragraph" w:customStyle="1" w:styleId="TOCBase">
    <w:name w:val="TOC Base"/>
    <w:rsid w:val="00D84AE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84AE1"/>
    <w:pPr>
      <w:tabs>
        <w:tab w:val="right" w:leader="dot" w:pos="9072"/>
      </w:tabs>
      <w:spacing w:before="40" w:after="40"/>
      <w:ind w:left="284"/>
    </w:pPr>
    <w:rPr>
      <w:rFonts w:ascii="Times New Roman" w:hAnsi="Times New Roman"/>
    </w:rPr>
  </w:style>
  <w:style w:type="paragraph" w:styleId="TOC1">
    <w:name w:val="toc 1"/>
    <w:basedOn w:val="TOCBase"/>
    <w:next w:val="Normal"/>
    <w:rsid w:val="00D84AE1"/>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D84AE1"/>
    <w:pPr>
      <w:spacing w:before="5040"/>
      <w:jc w:val="center"/>
    </w:pPr>
    <w:rPr>
      <w:sz w:val="48"/>
      <w:szCs w:val="72"/>
      <w:lang w:val="en-US"/>
    </w:rPr>
  </w:style>
  <w:style w:type="character" w:customStyle="1" w:styleId="TitleChar">
    <w:name w:val="Title Char"/>
    <w:basedOn w:val="DefaultParagraphFont"/>
    <w:link w:val="Title"/>
    <w:rsid w:val="00D84AE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84AE1"/>
    <w:pPr>
      <w:tabs>
        <w:tab w:val="left" w:pos="3600"/>
        <w:tab w:val="left" w:pos="3958"/>
      </w:tabs>
    </w:pPr>
  </w:style>
  <w:style w:type="paragraph" w:styleId="List">
    <w:name w:val="List"/>
    <w:basedOn w:val="BodyText"/>
    <w:next w:val="BodyText"/>
    <w:rsid w:val="00D84AE1"/>
    <w:pPr>
      <w:tabs>
        <w:tab w:val="left" w:pos="340"/>
      </w:tabs>
      <w:spacing w:before="60" w:after="60"/>
      <w:ind w:left="340" w:hanging="340"/>
    </w:pPr>
  </w:style>
  <w:style w:type="paragraph" w:customStyle="1" w:styleId="Note">
    <w:name w:val="Note"/>
    <w:basedOn w:val="BodyText"/>
    <w:rsid w:val="00D84AE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84AE1"/>
    <w:pPr>
      <w:framePr w:wrap="auto" w:hAnchor="text" w:y="6049"/>
    </w:pPr>
    <w:rPr>
      <w:color w:val="000000"/>
      <w:sz w:val="40"/>
    </w:rPr>
  </w:style>
  <w:style w:type="paragraph" w:customStyle="1" w:styleId="TOCTitle">
    <w:name w:val="TOCTitle"/>
    <w:basedOn w:val="Heading1"/>
    <w:rsid w:val="00D84AE1"/>
    <w:pPr>
      <w:spacing w:after="240"/>
      <w:jc w:val="center"/>
      <w:outlineLvl w:val="9"/>
    </w:pPr>
    <w:rPr>
      <w:caps/>
    </w:rPr>
  </w:style>
  <w:style w:type="paragraph" w:customStyle="1" w:styleId="Version">
    <w:name w:val="Version"/>
    <w:rsid w:val="00D84AE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84AE1"/>
    <w:pPr>
      <w:keepNext w:val="0"/>
      <w:tabs>
        <w:tab w:val="right" w:pos="4176"/>
      </w:tabs>
      <w:ind w:left="198" w:hanging="198"/>
    </w:pPr>
    <w:rPr>
      <w:rFonts w:ascii="Garamond" w:hAnsi="Garamond"/>
    </w:rPr>
  </w:style>
  <w:style w:type="paragraph" w:styleId="IndexHeading">
    <w:name w:val="index heading"/>
    <w:basedOn w:val="Normal"/>
    <w:next w:val="Index1"/>
    <w:semiHidden/>
    <w:rsid w:val="00D84AE1"/>
    <w:pPr>
      <w:spacing w:before="120" w:after="120"/>
    </w:pPr>
    <w:rPr>
      <w:rFonts w:ascii="Arial" w:hAnsi="Arial"/>
      <w:b/>
      <w:color w:val="918585"/>
      <w:sz w:val="24"/>
    </w:rPr>
  </w:style>
  <w:style w:type="paragraph" w:customStyle="1" w:styleId="Chapter">
    <w:name w:val="Chapter"/>
    <w:basedOn w:val="Normal"/>
    <w:rsid w:val="00D84AE1"/>
    <w:pPr>
      <w:spacing w:before="240"/>
    </w:pPr>
    <w:rPr>
      <w:rFonts w:ascii="Times New Roman" w:hAnsi="Times New Roman"/>
      <w:smallCaps/>
      <w:spacing w:val="80"/>
      <w:sz w:val="28"/>
    </w:rPr>
  </w:style>
  <w:style w:type="paragraph" w:customStyle="1" w:styleId="InChapter">
    <w:name w:val="InChapter"/>
    <w:basedOn w:val="Heading3"/>
    <w:rsid w:val="00D84AE1"/>
    <w:pPr>
      <w:spacing w:after="240"/>
      <w:outlineLvl w:val="9"/>
    </w:pPr>
    <w:rPr>
      <w:noProof/>
    </w:rPr>
  </w:style>
  <w:style w:type="paragraph" w:styleId="Index2">
    <w:name w:val="index 2"/>
    <w:basedOn w:val="Normal"/>
    <w:next w:val="Normal"/>
    <w:semiHidden/>
    <w:rsid w:val="00D84AE1"/>
    <w:pPr>
      <w:tabs>
        <w:tab w:val="right" w:pos="4176"/>
      </w:tabs>
      <w:ind w:left="568" w:hanging="284"/>
    </w:pPr>
    <w:rPr>
      <w:rFonts w:ascii="Garamond" w:hAnsi="Garamond"/>
    </w:rPr>
  </w:style>
  <w:style w:type="paragraph" w:customStyle="1" w:styleId="Byline">
    <w:name w:val="Byline"/>
    <w:rsid w:val="00D84AE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84AE1"/>
    <w:pPr>
      <w:tabs>
        <w:tab w:val="clear" w:pos="3600"/>
        <w:tab w:val="clear" w:pos="3958"/>
      </w:tabs>
      <w:jc w:val="right"/>
    </w:pPr>
  </w:style>
  <w:style w:type="character" w:styleId="Emphasis">
    <w:name w:val="Emphasis"/>
    <w:basedOn w:val="DefaultParagraphFont"/>
    <w:qFormat/>
    <w:rsid w:val="00D84AE1"/>
    <w:rPr>
      <w:i/>
    </w:rPr>
  </w:style>
  <w:style w:type="paragraph" w:styleId="Caption">
    <w:name w:val="caption"/>
    <w:basedOn w:val="BodyText"/>
    <w:next w:val="Normal"/>
    <w:qFormat/>
    <w:rsid w:val="00D84AE1"/>
    <w:pPr>
      <w:framePr w:w="2268" w:hSpace="181" w:vSpace="181" w:wrap="around" w:vAnchor="text" w:hAnchor="page" w:x="1135" w:y="285" w:anchorLock="1"/>
    </w:pPr>
    <w:rPr>
      <w:i/>
    </w:rPr>
  </w:style>
  <w:style w:type="paragraph" w:customStyle="1" w:styleId="MiniTOCTitle">
    <w:name w:val="MiniTOCTitle"/>
    <w:basedOn w:val="Heading4"/>
    <w:rsid w:val="00D84AE1"/>
    <w:pPr>
      <w:spacing w:before="240"/>
      <w:outlineLvl w:val="9"/>
    </w:pPr>
    <w:rPr>
      <w:noProof/>
      <w:sz w:val="24"/>
    </w:rPr>
  </w:style>
  <w:style w:type="paragraph" w:customStyle="1" w:styleId="MiniTOCItem">
    <w:name w:val="MiniTOCItem"/>
    <w:basedOn w:val="ListBullet"/>
    <w:rsid w:val="00D84AE1"/>
    <w:pPr>
      <w:numPr>
        <w:numId w:val="0"/>
      </w:numPr>
      <w:tabs>
        <w:tab w:val="right" w:leader="dot" w:pos="6521"/>
      </w:tabs>
      <w:spacing w:before="0" w:after="0"/>
    </w:pPr>
  </w:style>
  <w:style w:type="paragraph" w:customStyle="1" w:styleId="TOFTitle">
    <w:name w:val="TOFTitle"/>
    <w:basedOn w:val="TOCTitle"/>
    <w:rsid w:val="00D84AE1"/>
  </w:style>
  <w:style w:type="paragraph" w:styleId="TableofFigures">
    <w:name w:val="table of figures"/>
    <w:basedOn w:val="Normal"/>
    <w:next w:val="Normal"/>
    <w:semiHidden/>
    <w:rsid w:val="00D84AE1"/>
    <w:pPr>
      <w:tabs>
        <w:tab w:val="right" w:leader="dot" w:pos="9072"/>
      </w:tabs>
      <w:ind w:left="970" w:hanging="403"/>
    </w:pPr>
    <w:rPr>
      <w:rFonts w:ascii="Times New Roman" w:hAnsi="Times New Roman"/>
      <w:b/>
    </w:rPr>
  </w:style>
  <w:style w:type="paragraph" w:styleId="ListNumber">
    <w:name w:val="List Number"/>
    <w:basedOn w:val="List"/>
    <w:rsid w:val="00D84AE1"/>
    <w:pPr>
      <w:numPr>
        <w:numId w:val="11"/>
      </w:numPr>
    </w:pPr>
  </w:style>
  <w:style w:type="character" w:customStyle="1" w:styleId="WingdingSymbols">
    <w:name w:val="Wingding Symbols"/>
    <w:rsid w:val="00D84AE1"/>
    <w:rPr>
      <w:rFonts w:ascii="Wingdings" w:hAnsi="Wingdings"/>
    </w:rPr>
  </w:style>
  <w:style w:type="paragraph" w:customStyle="1" w:styleId="TableHeading">
    <w:name w:val="Table Heading"/>
    <w:basedOn w:val="HeadingBase"/>
    <w:rsid w:val="00D84AE1"/>
    <w:pPr>
      <w:keepLines/>
      <w:pBdr>
        <w:bottom w:val="single" w:sz="6" w:space="1" w:color="918585"/>
      </w:pBdr>
      <w:spacing w:before="240"/>
    </w:pPr>
  </w:style>
  <w:style w:type="character" w:customStyle="1" w:styleId="HotSpot">
    <w:name w:val="HotSpot"/>
    <w:rsid w:val="00D84AE1"/>
    <w:rPr>
      <w:color w:val="0033CC"/>
      <w:u w:val="none"/>
    </w:rPr>
  </w:style>
  <w:style w:type="paragraph" w:customStyle="1" w:styleId="BodyTextRight">
    <w:name w:val="Body Text Right"/>
    <w:basedOn w:val="BodyText"/>
    <w:rsid w:val="00D84AE1"/>
    <w:pPr>
      <w:spacing w:before="0" w:after="0"/>
      <w:jc w:val="right"/>
    </w:pPr>
  </w:style>
  <w:style w:type="paragraph" w:styleId="Index3">
    <w:name w:val="index 3"/>
    <w:basedOn w:val="ListNumber2"/>
    <w:next w:val="Normal"/>
    <w:semiHidden/>
    <w:rsid w:val="00D84AE1"/>
    <w:pPr>
      <w:numPr>
        <w:numId w:val="0"/>
      </w:numPr>
      <w:tabs>
        <w:tab w:val="right" w:leader="dot" w:pos="4176"/>
      </w:tabs>
    </w:pPr>
  </w:style>
  <w:style w:type="paragraph" w:styleId="ListNumber2">
    <w:name w:val="List Number 2"/>
    <w:basedOn w:val="List2"/>
    <w:rsid w:val="00D84AE1"/>
    <w:pPr>
      <w:numPr>
        <w:numId w:val="10"/>
      </w:numPr>
      <w:tabs>
        <w:tab w:val="clear" w:pos="1060"/>
      </w:tabs>
    </w:pPr>
  </w:style>
  <w:style w:type="paragraph" w:customStyle="1" w:styleId="MarginNote">
    <w:name w:val="Margin Note"/>
    <w:basedOn w:val="BodyText"/>
    <w:rsid w:val="00D84AE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84AE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84AE1"/>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D84AE1"/>
    <w:rPr>
      <w:sz w:val="32"/>
    </w:rPr>
  </w:style>
  <w:style w:type="paragraph" w:customStyle="1" w:styleId="HeadingProcedure">
    <w:name w:val="Heading Procedure"/>
    <w:basedOn w:val="HeadingBase"/>
    <w:next w:val="Normal"/>
    <w:rsid w:val="00D84AE1"/>
    <w:pPr>
      <w:tabs>
        <w:tab w:val="left" w:pos="0"/>
      </w:tabs>
      <w:spacing w:before="120" w:after="60"/>
    </w:pPr>
    <w:rPr>
      <w:i/>
      <w:color w:val="918585"/>
      <w:sz w:val="22"/>
    </w:rPr>
  </w:style>
  <w:style w:type="paragraph" w:customStyle="1" w:styleId="TableBodyText">
    <w:name w:val="Table Body Text"/>
    <w:basedOn w:val="BodyText"/>
    <w:rsid w:val="00D84AE1"/>
    <w:pPr>
      <w:spacing w:before="60" w:after="60"/>
    </w:pPr>
  </w:style>
  <w:style w:type="paragraph" w:styleId="ListContinue">
    <w:name w:val="List Continue"/>
    <w:basedOn w:val="List"/>
    <w:rsid w:val="00D84AE1"/>
    <w:pPr>
      <w:ind w:firstLine="0"/>
    </w:pPr>
  </w:style>
  <w:style w:type="paragraph" w:customStyle="1" w:styleId="ListNote">
    <w:name w:val="List Note"/>
    <w:basedOn w:val="List"/>
    <w:rsid w:val="00D84AE1"/>
    <w:pPr>
      <w:pBdr>
        <w:top w:val="single" w:sz="6" w:space="2" w:color="918585"/>
        <w:bottom w:val="single" w:sz="6" w:space="2" w:color="918585"/>
      </w:pBdr>
      <w:tabs>
        <w:tab w:val="left" w:pos="1021"/>
      </w:tabs>
      <w:ind w:firstLine="0"/>
    </w:pPr>
  </w:style>
  <w:style w:type="paragraph" w:customStyle="1" w:styleId="Warning">
    <w:name w:val="Warning"/>
    <w:basedOn w:val="BodyText"/>
    <w:rsid w:val="00D84AE1"/>
    <w:pPr>
      <w:shd w:val="clear" w:color="auto" w:fill="D9D9D9"/>
      <w:tabs>
        <w:tab w:val="left" w:pos="992"/>
      </w:tabs>
      <w:ind w:left="119" w:right="119"/>
    </w:pPr>
    <w:rPr>
      <w:sz w:val="20"/>
    </w:rPr>
  </w:style>
  <w:style w:type="paragraph" w:customStyle="1" w:styleId="MarginIcons">
    <w:name w:val="Margin Icons"/>
    <w:basedOn w:val="BodyText"/>
    <w:rsid w:val="00D84AE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84AE1"/>
    <w:rPr>
      <w:rFonts w:ascii="Courier New" w:hAnsi="Courier New"/>
    </w:rPr>
  </w:style>
  <w:style w:type="paragraph" w:customStyle="1" w:styleId="NoteBullet">
    <w:name w:val="Note Bullet"/>
    <w:basedOn w:val="Note"/>
    <w:rsid w:val="00D84AE1"/>
    <w:pPr>
      <w:tabs>
        <w:tab w:val="clear" w:pos="680"/>
      </w:tabs>
      <w:spacing w:before="60" w:after="60"/>
    </w:pPr>
  </w:style>
  <w:style w:type="paragraph" w:customStyle="1" w:styleId="SubHeading2">
    <w:name w:val="SubHeading2"/>
    <w:basedOn w:val="HeadingBase"/>
    <w:rsid w:val="00D84AE1"/>
    <w:pPr>
      <w:spacing w:before="240" w:after="60"/>
    </w:pPr>
    <w:rPr>
      <w:sz w:val="20"/>
    </w:rPr>
  </w:style>
  <w:style w:type="paragraph" w:customStyle="1" w:styleId="SubHeading1">
    <w:name w:val="SubHeading1"/>
    <w:basedOn w:val="HeadingBase"/>
    <w:rsid w:val="00D84AE1"/>
    <w:pPr>
      <w:spacing w:before="240" w:after="60"/>
    </w:pPr>
    <w:rPr>
      <w:color w:val="918585"/>
      <w:sz w:val="22"/>
    </w:rPr>
  </w:style>
  <w:style w:type="paragraph" w:customStyle="1" w:styleId="SideHeading">
    <w:name w:val="Side Heading"/>
    <w:basedOn w:val="HeadingBase"/>
    <w:rsid w:val="00D84AE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84AE1"/>
    <w:pPr>
      <w:numPr>
        <w:numId w:val="12"/>
      </w:numPr>
    </w:pPr>
  </w:style>
  <w:style w:type="paragraph" w:styleId="PlainText">
    <w:name w:val="Plain Text"/>
    <w:basedOn w:val="Normal"/>
    <w:link w:val="PlainTextChar"/>
    <w:rsid w:val="00D84AE1"/>
    <w:rPr>
      <w:sz w:val="20"/>
    </w:rPr>
  </w:style>
  <w:style w:type="character" w:customStyle="1" w:styleId="PlainTextChar">
    <w:name w:val="Plain Text Char"/>
    <w:basedOn w:val="DefaultParagraphFont"/>
    <w:link w:val="PlainText"/>
    <w:rsid w:val="00D84AE1"/>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D84AE1"/>
    <w:rPr>
      <w:b/>
      <w:smallCaps/>
    </w:rPr>
  </w:style>
  <w:style w:type="paragraph" w:customStyle="1" w:styleId="TableListNumber">
    <w:name w:val="Table List Number"/>
    <w:basedOn w:val="ListNumber"/>
    <w:rsid w:val="00D84AE1"/>
    <w:pPr>
      <w:numPr>
        <w:numId w:val="0"/>
      </w:numPr>
    </w:pPr>
  </w:style>
  <w:style w:type="paragraph" w:styleId="TOC4">
    <w:name w:val="toc 4"/>
    <w:basedOn w:val="TOCBase"/>
    <w:next w:val="Normal"/>
    <w:semiHidden/>
    <w:rsid w:val="00D84AE1"/>
    <w:pPr>
      <w:tabs>
        <w:tab w:val="right" w:leader="dot" w:pos="9071"/>
      </w:tabs>
      <w:ind w:left="1701"/>
    </w:pPr>
  </w:style>
  <w:style w:type="paragraph" w:customStyle="1" w:styleId="ListAlpha">
    <w:name w:val="List Alpha"/>
    <w:basedOn w:val="List"/>
    <w:rsid w:val="00D84AE1"/>
    <w:pPr>
      <w:numPr>
        <w:numId w:val="9"/>
      </w:numPr>
    </w:pPr>
  </w:style>
  <w:style w:type="paragraph" w:customStyle="1" w:styleId="ListAlpha2">
    <w:name w:val="List Alpha 2"/>
    <w:basedOn w:val="List2"/>
    <w:rsid w:val="00D84AE1"/>
    <w:pPr>
      <w:numPr>
        <w:numId w:val="8"/>
      </w:numPr>
    </w:pPr>
  </w:style>
  <w:style w:type="paragraph" w:styleId="List2">
    <w:name w:val="List 2"/>
    <w:basedOn w:val="BodyText"/>
    <w:rsid w:val="00D84AE1"/>
    <w:pPr>
      <w:tabs>
        <w:tab w:val="left" w:pos="680"/>
      </w:tabs>
      <w:spacing w:before="60" w:after="60"/>
      <w:ind w:left="680" w:hanging="340"/>
    </w:pPr>
  </w:style>
  <w:style w:type="paragraph" w:styleId="List3">
    <w:name w:val="List 3"/>
    <w:basedOn w:val="BodyText"/>
    <w:rsid w:val="00D84AE1"/>
    <w:pPr>
      <w:tabs>
        <w:tab w:val="left" w:pos="1021"/>
      </w:tabs>
      <w:spacing w:before="60" w:after="60"/>
      <w:ind w:left="1020" w:hanging="340"/>
    </w:pPr>
  </w:style>
  <w:style w:type="paragraph" w:styleId="List4">
    <w:name w:val="List 4"/>
    <w:basedOn w:val="BodyText"/>
    <w:rsid w:val="00D84AE1"/>
    <w:pPr>
      <w:tabs>
        <w:tab w:val="left" w:pos="1361"/>
      </w:tabs>
      <w:spacing w:before="60" w:after="60"/>
      <w:ind w:left="1361" w:hanging="340"/>
    </w:pPr>
  </w:style>
  <w:style w:type="paragraph" w:styleId="List5">
    <w:name w:val="List 5"/>
    <w:basedOn w:val="BodyText"/>
    <w:rsid w:val="00D84AE1"/>
    <w:pPr>
      <w:tabs>
        <w:tab w:val="left" w:pos="1701"/>
      </w:tabs>
      <w:spacing w:before="60" w:after="60"/>
      <w:ind w:left="1701" w:hanging="340"/>
    </w:pPr>
  </w:style>
  <w:style w:type="paragraph" w:styleId="ListBullet3">
    <w:name w:val="List Bullet 3"/>
    <w:basedOn w:val="List3"/>
    <w:rsid w:val="00D84AE1"/>
    <w:pPr>
      <w:numPr>
        <w:numId w:val="15"/>
      </w:numPr>
      <w:tabs>
        <w:tab w:val="clear" w:pos="1021"/>
      </w:tabs>
      <w:ind w:left="1037" w:hanging="357"/>
    </w:pPr>
  </w:style>
  <w:style w:type="paragraph" w:styleId="ListBullet4">
    <w:name w:val="List Bullet 4"/>
    <w:basedOn w:val="List4"/>
    <w:rsid w:val="00D84AE1"/>
    <w:pPr>
      <w:numPr>
        <w:numId w:val="3"/>
      </w:numPr>
    </w:pPr>
  </w:style>
  <w:style w:type="paragraph" w:styleId="ListBullet5">
    <w:name w:val="List Bullet 5"/>
    <w:basedOn w:val="List5"/>
    <w:rsid w:val="00D84AE1"/>
    <w:pPr>
      <w:numPr>
        <w:numId w:val="4"/>
      </w:numPr>
    </w:pPr>
  </w:style>
  <w:style w:type="paragraph" w:styleId="ListContinue2">
    <w:name w:val="List Continue 2"/>
    <w:basedOn w:val="List2"/>
    <w:rsid w:val="00D84AE1"/>
    <w:pPr>
      <w:ind w:firstLine="0"/>
    </w:pPr>
  </w:style>
  <w:style w:type="paragraph" w:styleId="ListContinue3">
    <w:name w:val="List Continue 3"/>
    <w:basedOn w:val="List3"/>
    <w:rsid w:val="00D84AE1"/>
    <w:pPr>
      <w:ind w:left="1021" w:firstLine="0"/>
    </w:pPr>
  </w:style>
  <w:style w:type="paragraph" w:styleId="ListContinue4">
    <w:name w:val="List Continue 4"/>
    <w:basedOn w:val="List4"/>
    <w:rsid w:val="00D84AE1"/>
    <w:pPr>
      <w:ind w:firstLine="0"/>
    </w:pPr>
  </w:style>
  <w:style w:type="paragraph" w:styleId="ListContinue5">
    <w:name w:val="List Continue 5"/>
    <w:basedOn w:val="List5"/>
    <w:rsid w:val="00D84AE1"/>
    <w:pPr>
      <w:ind w:firstLine="0"/>
    </w:pPr>
  </w:style>
  <w:style w:type="paragraph" w:styleId="ListNumber3">
    <w:name w:val="List Number 3"/>
    <w:basedOn w:val="List3"/>
    <w:rsid w:val="00D84AE1"/>
    <w:pPr>
      <w:numPr>
        <w:numId w:val="5"/>
      </w:numPr>
    </w:pPr>
  </w:style>
  <w:style w:type="paragraph" w:styleId="ListNumber4">
    <w:name w:val="List Number 4"/>
    <w:basedOn w:val="List4"/>
    <w:rsid w:val="00D84AE1"/>
    <w:pPr>
      <w:numPr>
        <w:numId w:val="6"/>
      </w:numPr>
    </w:pPr>
  </w:style>
  <w:style w:type="paragraph" w:styleId="ListNumber5">
    <w:name w:val="List Number 5"/>
    <w:basedOn w:val="List5"/>
    <w:rsid w:val="00D84AE1"/>
    <w:pPr>
      <w:numPr>
        <w:numId w:val="7"/>
      </w:numPr>
    </w:pPr>
  </w:style>
  <w:style w:type="paragraph" w:styleId="BlockText">
    <w:name w:val="Block Text"/>
    <w:basedOn w:val="Normal"/>
    <w:rsid w:val="00D84AE1"/>
    <w:pPr>
      <w:spacing w:after="120"/>
      <w:ind w:left="1440" w:right="1440"/>
    </w:pPr>
  </w:style>
  <w:style w:type="character" w:customStyle="1" w:styleId="Subscript">
    <w:name w:val="Subscript"/>
    <w:basedOn w:val="DefaultParagraphFont"/>
    <w:rsid w:val="00D84AE1"/>
    <w:rPr>
      <w:sz w:val="16"/>
      <w:vertAlign w:val="subscript"/>
    </w:rPr>
  </w:style>
  <w:style w:type="character" w:customStyle="1" w:styleId="Superscript">
    <w:name w:val="Superscript"/>
    <w:basedOn w:val="DefaultParagraphFont"/>
    <w:rsid w:val="00D84AE1"/>
    <w:rPr>
      <w:sz w:val="16"/>
      <w:vertAlign w:val="superscript"/>
    </w:rPr>
  </w:style>
  <w:style w:type="character" w:customStyle="1" w:styleId="Symbols">
    <w:name w:val="Symbols"/>
    <w:basedOn w:val="DefaultParagraphFont"/>
    <w:rsid w:val="00D84AE1"/>
    <w:rPr>
      <w:rFonts w:ascii="Symbol" w:hAnsi="Symbol"/>
    </w:rPr>
  </w:style>
  <w:style w:type="character" w:customStyle="1" w:styleId="MenuOptions">
    <w:name w:val="Menu Options"/>
    <w:basedOn w:val="DefaultParagraphFont"/>
    <w:rsid w:val="00D84AE1"/>
    <w:rPr>
      <w:rFonts w:ascii="Arial Narrow" w:hAnsi="Arial Narrow"/>
      <w:smallCaps/>
    </w:rPr>
  </w:style>
  <w:style w:type="character" w:customStyle="1" w:styleId="Buttons">
    <w:name w:val="Buttons"/>
    <w:basedOn w:val="DefaultParagraphFont"/>
    <w:rsid w:val="00D84AE1"/>
    <w:rPr>
      <w:b/>
    </w:rPr>
  </w:style>
  <w:style w:type="character" w:customStyle="1" w:styleId="Underlined">
    <w:name w:val="Underlined"/>
    <w:basedOn w:val="DefaultParagraphFont"/>
    <w:rsid w:val="00D84AE1"/>
    <w:rPr>
      <w:u w:val="single"/>
    </w:rPr>
  </w:style>
  <w:style w:type="paragraph" w:customStyle="1" w:styleId="TableBodyTextRight">
    <w:name w:val="Table Body Text Right"/>
    <w:basedOn w:val="TableBodyText"/>
    <w:rsid w:val="00D84AE1"/>
    <w:pPr>
      <w:widowControl w:val="0"/>
      <w:autoSpaceDE w:val="0"/>
      <w:autoSpaceDN w:val="0"/>
      <w:adjustRightInd w:val="0"/>
      <w:jc w:val="right"/>
    </w:pPr>
    <w:rPr>
      <w:rFonts w:cs="Arial"/>
      <w:szCs w:val="18"/>
    </w:rPr>
  </w:style>
  <w:style w:type="paragraph" w:customStyle="1" w:styleId="CopyrightText">
    <w:name w:val="Copyright Text"/>
    <w:basedOn w:val="BodyText"/>
    <w:rsid w:val="00D84AE1"/>
    <w:rPr>
      <w:sz w:val="18"/>
    </w:rPr>
  </w:style>
  <w:style w:type="paragraph" w:customStyle="1" w:styleId="BodySmallRight">
    <w:name w:val="Body Small Right"/>
    <w:basedOn w:val="BodyTextRight"/>
    <w:rsid w:val="00D84AE1"/>
    <w:rPr>
      <w:sz w:val="18"/>
      <w:szCs w:val="18"/>
    </w:rPr>
  </w:style>
  <w:style w:type="paragraph" w:customStyle="1" w:styleId="MarginEdition">
    <w:name w:val="Margin Edition"/>
    <w:basedOn w:val="MarginNote"/>
    <w:rsid w:val="00D84AE1"/>
    <w:pPr>
      <w:spacing w:before="0" w:after="0"/>
    </w:pPr>
    <w:rPr>
      <w:rFonts w:ascii="Times New Roman" w:hAnsi="Times New Roman"/>
      <w:color w:val="999999"/>
    </w:rPr>
  </w:style>
  <w:style w:type="paragraph" w:customStyle="1" w:styleId="Spacer">
    <w:name w:val="Spacer"/>
    <w:basedOn w:val="Normal"/>
    <w:rsid w:val="00D84AE1"/>
    <w:rPr>
      <w:sz w:val="2"/>
      <w:szCs w:val="2"/>
    </w:rPr>
  </w:style>
  <w:style w:type="character" w:customStyle="1" w:styleId="Small">
    <w:name w:val="Small"/>
    <w:basedOn w:val="DefaultParagraphFont"/>
    <w:rsid w:val="00D84AE1"/>
    <w:rPr>
      <w:sz w:val="16"/>
    </w:rPr>
  </w:style>
  <w:style w:type="paragraph" w:customStyle="1" w:styleId="WideTable">
    <w:name w:val="Wide Table"/>
    <w:basedOn w:val="Normal"/>
    <w:rsid w:val="00D84AE1"/>
    <w:pPr>
      <w:ind w:left="-1418"/>
    </w:pPr>
    <w:rPr>
      <w:sz w:val="2"/>
      <w:szCs w:val="2"/>
    </w:rPr>
  </w:style>
  <w:style w:type="character" w:styleId="PageNumber">
    <w:name w:val="page number"/>
    <w:basedOn w:val="DefaultParagraphFont"/>
    <w:rsid w:val="00D84AE1"/>
  </w:style>
  <w:style w:type="paragraph" w:styleId="Quote">
    <w:name w:val="Quote"/>
    <w:basedOn w:val="Heading1"/>
    <w:link w:val="QuoteChar"/>
    <w:qFormat/>
    <w:rsid w:val="00D84AE1"/>
    <w:rPr>
      <w:b w:val="0"/>
      <w:sz w:val="72"/>
      <w:szCs w:val="72"/>
      <w:lang w:val="en-NZ"/>
    </w:rPr>
  </w:style>
  <w:style w:type="character" w:customStyle="1" w:styleId="QuoteChar">
    <w:name w:val="Quote Char"/>
    <w:basedOn w:val="DefaultParagraphFont"/>
    <w:link w:val="Quote"/>
    <w:rsid w:val="00D84AE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84AE1"/>
    <w:pPr>
      <w:pageBreakBefore/>
    </w:pPr>
  </w:style>
  <w:style w:type="paragraph" w:customStyle="1" w:styleId="Border">
    <w:name w:val="Border"/>
    <w:basedOn w:val="Normal"/>
    <w:qFormat/>
    <w:rsid w:val="00D84AE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84AE1"/>
    <w:rPr>
      <w:b/>
      <w:bCs/>
      <w:i/>
      <w:iCs/>
      <w:color w:val="auto"/>
    </w:rPr>
  </w:style>
  <w:style w:type="paragraph" w:styleId="IntenseQuote">
    <w:name w:val="Intense Quote"/>
    <w:basedOn w:val="Normal"/>
    <w:next w:val="Normal"/>
    <w:link w:val="IntenseQuoteChar"/>
    <w:uiPriority w:val="30"/>
    <w:qFormat/>
    <w:rsid w:val="00D84AE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84AE1"/>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D84AE1"/>
    <w:rPr>
      <w:smallCaps/>
      <w:color w:val="auto"/>
      <w:u w:val="single"/>
    </w:rPr>
  </w:style>
  <w:style w:type="character" w:styleId="IntenseReference">
    <w:name w:val="Intense Reference"/>
    <w:basedOn w:val="DefaultParagraphFont"/>
    <w:uiPriority w:val="32"/>
    <w:qFormat/>
    <w:rsid w:val="00D84AE1"/>
    <w:rPr>
      <w:b/>
      <w:bCs/>
      <w:smallCaps/>
      <w:color w:val="auto"/>
      <w:spacing w:val="5"/>
      <w:u w:val="single"/>
    </w:rPr>
  </w:style>
  <w:style w:type="paragraph" w:customStyle="1" w:styleId="2ColumnHeading">
    <w:name w:val="2Column Heading"/>
    <w:basedOn w:val="BodyText"/>
    <w:qFormat/>
    <w:rsid w:val="00D84AE1"/>
    <w:pPr>
      <w:spacing w:after="60"/>
      <w:ind w:left="-2268"/>
    </w:pPr>
    <w:rPr>
      <w:b/>
    </w:rPr>
  </w:style>
  <w:style w:type="paragraph" w:customStyle="1" w:styleId="Heading1TOC">
    <w:name w:val="Heading1 TOC"/>
    <w:basedOn w:val="Normal"/>
    <w:qFormat/>
    <w:rsid w:val="00D84AE1"/>
    <w:pPr>
      <w:spacing w:before="240" w:after="120"/>
    </w:pPr>
    <w:rPr>
      <w:rFonts w:ascii="Times New Roman" w:hAnsi="Times New Roman"/>
      <w:b/>
      <w:sz w:val="32"/>
    </w:rPr>
  </w:style>
  <w:style w:type="paragraph" w:customStyle="1" w:styleId="Heading2TOC">
    <w:name w:val="Heading2 TOC"/>
    <w:basedOn w:val="Normal"/>
    <w:qFormat/>
    <w:rsid w:val="00D84AE1"/>
    <w:pPr>
      <w:spacing w:before="240" w:after="60"/>
    </w:pPr>
    <w:rPr>
      <w:rFonts w:ascii="Times New Roman" w:hAnsi="Times New Roman"/>
      <w:b/>
      <w:sz w:val="28"/>
    </w:rPr>
  </w:style>
  <w:style w:type="character" w:customStyle="1" w:styleId="Underline">
    <w:name w:val="Underline"/>
    <w:basedOn w:val="DefaultParagraphFont"/>
    <w:qFormat/>
    <w:rsid w:val="00D84AE1"/>
    <w:rPr>
      <w:u w:val="single"/>
    </w:rPr>
  </w:style>
  <w:style w:type="character" w:customStyle="1" w:styleId="BoldandItalics">
    <w:name w:val="Bold and Italics"/>
    <w:qFormat/>
    <w:rsid w:val="00D84AE1"/>
    <w:rPr>
      <w:b/>
      <w:i/>
      <w:u w:val="none"/>
    </w:rPr>
  </w:style>
  <w:style w:type="paragraph" w:styleId="BalloonText">
    <w:name w:val="Balloon Text"/>
    <w:basedOn w:val="Normal"/>
    <w:link w:val="BalloonTextChar"/>
    <w:rsid w:val="00D84AE1"/>
    <w:rPr>
      <w:rFonts w:ascii="Tahoma" w:hAnsi="Tahoma" w:cs="Tahoma"/>
      <w:sz w:val="16"/>
      <w:szCs w:val="16"/>
    </w:rPr>
  </w:style>
  <w:style w:type="character" w:customStyle="1" w:styleId="BalloonTextChar">
    <w:name w:val="Balloon Text Char"/>
    <w:basedOn w:val="DefaultParagraphFont"/>
    <w:link w:val="BalloonText"/>
    <w:rsid w:val="00D84AE1"/>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D84AE1"/>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D84AE1"/>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1779</Words>
  <Characters>10608</Characters>
  <Application>Microsoft Office Word</Application>
  <DocSecurity>0</DocSecurity>
  <Lines>393</Lines>
  <Paragraphs>154</Paragraphs>
  <ScaleCrop>false</ScaleCrop>
  <Company>Author-it Software Corporation Ltd.</Company>
  <LinksUpToDate>false</LinksUpToDate>
  <CharactersWithSpaces>12265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UEENEEK042A Participate in environmentally sustainable work practices</dc:title>
  <dc:subject>Approved</dc:subject>
  <dc:creator>EE-Oz Training Standards</dc:creator>
  <cp:keywords>Release: 1</cp:keywords>
  <dc:description>Copyright © 1996-2007 Author-it Software Corporation Ltd., all rights reserved.</dc:description>
  <cp:lastModifiedBy>Windows User</cp:lastModifiedBy>
  <cp:revision>3</cp:revision>
  <dcterms:created xsi:type="dcterms:W3CDTF">2012-05-26T11:44:00Z</dcterms:created>
  <dcterms:modified xsi:type="dcterms:W3CDTF">2012-05-26T11:44:00Z</dcterms:modified>
</cp:coreProperties>
</file>