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6D3" w:rsidP="007D06D3">
      <w:pPr>
        <w:pStyle w:val="Title"/>
      </w:pPr>
      <w:r>
        <w:fldChar w:fldCharType="begin"/>
      </w:r>
      <w:r>
        <w:instrText xml:space="preserve"> TITLE   \* MERGEFORMAT </w:instrText>
      </w:r>
      <w:r>
        <w:fldChar w:fldCharType="separate"/>
      </w:r>
      <w:r>
        <w:t>UEENEEK037B Install and set up micro-hydro systems</w:t>
      </w:r>
      <w:r>
        <w:fldChar w:fldCharType="end"/>
      </w:r>
    </w:p>
    <w:p w:rsidR="007D06D3" w:rsidP="007D06D3">
      <w:pPr>
        <w:pStyle w:val="Version"/>
        <w:sectPr w:rsidSect="00B83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3A2" w:rsidP="00B833A2">
      <w:pPr>
        <w:pStyle w:val="SuperHeading"/>
      </w:pPr>
      <w:r w:rsidRPr="00B833A2">
        <w:t>UEENEEK037B Install and set up micro-hydro systems</w:t>
      </w:r>
    </w:p>
    <w:p w:rsidR="00000000" w:rsidRPr="00B833A2" w:rsidP="00B833A2">
      <w:pPr>
        <w:pStyle w:val="Heading1"/>
      </w:pPr>
      <w:bookmarkStart w:id="1" w:name="O_274955"/>
      <w:bookmarkEnd w:id="1"/>
      <w:r w:rsidRPr="00B833A2">
        <w:t>Modification History</w:t>
      </w:r>
    </w:p>
    <w:p w:rsidR="00000000" w:rsidRPr="00B833A2" w:rsidP="00B833A2">
      <w:pPr>
        <w:pStyle w:val="BodyText"/>
      </w:pPr>
      <w:r w:rsidRPr="00B833A2">
        <w:t>Not Applicable</w:t>
      </w:r>
    </w:p>
    <w:p w:rsidR="00000000" w:rsidRPr="00B833A2" w:rsidP="00B833A2">
      <w:pPr>
        <w:pStyle w:val="AllowPageBreak"/>
      </w:pPr>
    </w:p>
    <w:p w:rsidR="00000000" w:rsidRPr="00B833A2" w:rsidP="00B833A2">
      <w:pPr>
        <w:pStyle w:val="Heading1"/>
      </w:pPr>
      <w:bookmarkStart w:id="2" w:name="O_228438"/>
      <w:bookmarkEnd w:id="2"/>
      <w:r w:rsidRPr="00B833A2">
        <w:t>Unit Descriptor</w:t>
      </w:r>
    </w:p>
    <w:tbl>
      <w:tblPr>
        <w:tblW w:w="0" w:type="auto"/>
        <w:tblLayout w:type="fixed"/>
        <w:tblCellMar>
          <w:left w:w="62" w:type="dxa"/>
          <w:right w:w="62" w:type="dxa"/>
        </w:tblCellMar>
        <w:tblLook w:val="0000"/>
      </w:tblPr>
      <w:tblGrid>
        <w:gridCol w:w="2700"/>
        <w:gridCol w:w="5760"/>
      </w:tblGrid>
      <w:tr w:rsidTr="007D06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1</w:t>
            </w:r>
            <w:r w:rsidRPr="00B833A2">
              <w:t xml:space="preserve">) </w:t>
            </w:r>
          </w:p>
          <w:p w:rsidR="00000000" w:rsidP="00B833A2">
            <w:pPr>
              <w:pStyle w:val="BodyText"/>
              <w:rPr>
                <w:lang w:val="en-NZ"/>
              </w:rPr>
            </w:pPr>
            <w:r w:rsidRPr="00B833A2">
              <w:rPr>
                <w:rStyle w:val="SpecialBold"/>
              </w:rPr>
              <w:t>1</w:t>
            </w:r>
            <w:r w:rsidRPr="00B833A2">
              <w:t>.</w:t>
            </w:r>
            <w:r w:rsidRPr="00B833A2">
              <w:rPr>
                <w:rStyle w:val="SpecialBold"/>
              </w:rPr>
              <w:t>1</w:t>
            </w:r>
            <w:r w:rsidRPr="00B833A2">
              <w:t xml:space="preserve">) </w:t>
            </w:r>
            <w:r w:rsidRPr="00B833A2">
              <w:rPr>
                <w:rStyle w:val="SpecialBold"/>
              </w:rPr>
              <w:t>Descriptor</w:t>
            </w:r>
          </w:p>
        </w:tc>
      </w:tr>
      <w:tr w:rsidTr="007D06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This unit covers the installation and adjustment and set-up of micro-hydro systems. It encompasses working safely and to installation standards, matching components with that specified for a given location, placing and securing system components accurately</w:t>
            </w:r>
            <w:r w:rsidRPr="00B833A2">
              <w:t>, making required circuit connections and completing the necessary installation documentation.</w:t>
            </w:r>
          </w:p>
        </w:tc>
      </w:tr>
    </w:tbl>
    <w:p w:rsidR="007D06D3" w:rsidP="00B833A2">
      <w:pPr>
        <w:pStyle w:val="BodyText"/>
      </w:pPr>
    </w:p>
    <w:p w:rsidR="007D06D3" w:rsidP="00B833A2">
      <w:pPr>
        <w:pStyle w:val="BodyText"/>
      </w:pPr>
    </w:p>
    <w:p w:rsidR="00000000" w:rsidRPr="00B833A2" w:rsidP="00B833A2">
      <w:pPr>
        <w:pStyle w:val="Heading1"/>
      </w:pPr>
      <w:bookmarkStart w:id="3" w:name="O_228443"/>
      <w:bookmarkEnd w:id="3"/>
      <w:r w:rsidRPr="00B833A2">
        <w:t>Application of the Unit</w:t>
      </w:r>
    </w:p>
    <w:tbl>
      <w:tblPr>
        <w:tblW w:w="0" w:type="auto"/>
        <w:tblLayout w:type="fixed"/>
        <w:tblCellMar>
          <w:left w:w="62" w:type="dxa"/>
          <w:right w:w="62" w:type="dxa"/>
        </w:tblCellMar>
        <w:tblLook w:val="0000"/>
      </w:tblPr>
      <w:tblGrid>
        <w:gridCol w:w="2700"/>
        <w:gridCol w:w="5760"/>
      </w:tblGrid>
      <w:tr w:rsidTr="007D06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4</w:t>
            </w:r>
            <w:r w:rsidRPr="00B833A2">
              <w:t>)</w:t>
            </w:r>
          </w:p>
        </w:tc>
      </w:tr>
      <w:tr w:rsidTr="007D06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This unit is intended for competency development in entry-level employment-based programs incorporated in approved contracts of training.</w:t>
            </w:r>
          </w:p>
        </w:tc>
      </w:tr>
    </w:tbl>
    <w:p w:rsidR="007D06D3" w:rsidP="00B833A2">
      <w:pPr>
        <w:pStyle w:val="BodyText"/>
      </w:pPr>
    </w:p>
    <w:p w:rsidR="007D06D3" w:rsidP="00B833A2">
      <w:pPr>
        <w:pStyle w:val="BodyText"/>
      </w:pPr>
    </w:p>
    <w:p w:rsidR="00000000" w:rsidRPr="00B833A2" w:rsidP="00B833A2">
      <w:pPr>
        <w:pStyle w:val="Heading1"/>
      </w:pPr>
      <w:bookmarkStart w:id="4" w:name="O_228439"/>
      <w:bookmarkEnd w:id="4"/>
      <w:r w:rsidRPr="00B833A2">
        <w:t>Licensing/Regulatory Information</w:t>
      </w:r>
    </w:p>
    <w:tbl>
      <w:tblPr>
        <w:tblW w:w="0" w:type="auto"/>
        <w:tblLayout w:type="fixed"/>
        <w:tblCellMar>
          <w:left w:w="62" w:type="dxa"/>
          <w:right w:w="62" w:type="dxa"/>
        </w:tblCellMar>
        <w:tblLook w:val="0000"/>
      </w:tblPr>
      <w:tblGrid>
        <w:gridCol w:w="8460"/>
      </w:tblGrid>
      <w:tr w:rsidTr="007D06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1</w:t>
            </w:r>
            <w:r w:rsidRPr="00B833A2">
              <w:t>.</w:t>
            </w:r>
            <w:r w:rsidRPr="00B833A2">
              <w:rPr>
                <w:rStyle w:val="SpecialBold"/>
              </w:rPr>
              <w:t>2</w:t>
            </w:r>
            <w:r w:rsidRPr="00B833A2">
              <w:t xml:space="preserve">) </w:t>
            </w:r>
            <w:r w:rsidRPr="00B833A2">
              <w:rPr>
                <w:rStyle w:val="SpecialBold"/>
              </w:rPr>
              <w:t>License to practice</w:t>
            </w:r>
          </w:p>
        </w:tc>
      </w:tr>
      <w:tr w:rsidTr="007D06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 xml:space="preserve">The skills and </w:t>
            </w:r>
            <w:r w:rsidRPr="00B833A2">
              <w:t>knowledge described in this unit do not require a license to practice in the workplace provided equipment is not connected to installation wiring at voltage above 50 V a.c. or 120 V d.c. However other conditions may apply in some States/Territories subject</w:t>
            </w:r>
            <w:r w:rsidRPr="00B833A2">
              <w:t xml:space="preserve"> to regulations related to electrical work.</w:t>
            </w:r>
          </w:p>
          <w:p w:rsidR="00000000" w:rsidRPr="00B833A2" w:rsidP="00B833A2">
            <w:pPr>
              <w:pStyle w:val="BodyText"/>
            </w:pPr>
            <w:r w:rsidRPr="00B833A2">
              <w:t>Note.</w:t>
            </w:r>
          </w:p>
          <w:p w:rsidR="00000000" w:rsidRPr="00B833A2" w:rsidP="00B833A2">
            <w:pPr>
              <w:pStyle w:val="BodyText"/>
            </w:pPr>
            <w:r w:rsidRPr="00B833A2">
              <w:t>Competency requirements to be granted a license to carry out installations, fault finding, repair or maintenance on low voltage electrical installations is incorporated in unit UEENEEG005B and all prerequis</w:t>
            </w:r>
            <w:r w:rsidRPr="00B833A2">
              <w:t>ite units it specifies.</w:t>
            </w:r>
          </w:p>
          <w:p w:rsidR="00000000" w:rsidRPr="00B833A2" w:rsidP="00B833A2">
            <w:pPr>
              <w:pStyle w:val="BodyText"/>
            </w:pPr>
            <w:r w:rsidRPr="00B833A2">
              <w:t>Practice in the workplace and during training is also subject to regulations directly related to occupational health and safety and where applicable contracts of training such as apprenticeships.</w:t>
            </w:r>
          </w:p>
          <w:p w:rsidR="00000000" w:rsidRPr="00B833A2" w:rsidP="00B833A2">
            <w:pPr>
              <w:pStyle w:val="BodyText"/>
            </w:pPr>
            <w:r w:rsidRPr="00B833A2">
              <w:t xml:space="preserve">Note: </w:t>
            </w:r>
            <w:r w:rsidRPr="00B833A2">
              <w:br/>
              <w:t>1. Compliance with permits ma</w:t>
            </w:r>
            <w:r w:rsidRPr="00B833A2">
              <w:t>y be required in various jurisdictions and typically relates to the operation of plant, machinery and equipment such as elevating work platforms, powder operated fixing tools, power operated tools, vehicles, road signage and traffic control and lifting equ</w:t>
            </w:r>
            <w:r w:rsidRPr="00B833A2">
              <w:t>ipment. Permits may also be required for some work environments such as confined spaces, working aloft, near live electrical apparatus and site rehabilitation.</w:t>
            </w:r>
            <w:r w:rsidRPr="00B833A2">
              <w:br/>
              <w:t>2. Compliance may be required in various jurisdictions relating to currency in First Aid, confin</w:t>
            </w:r>
            <w:r w:rsidRPr="00B833A2">
              <w:t>ed space, lifting, risk safety measures etc.</w:t>
            </w:r>
          </w:p>
        </w:tc>
      </w:tr>
    </w:tbl>
    <w:p w:rsidR="007D06D3" w:rsidP="00B833A2">
      <w:pPr>
        <w:pStyle w:val="BodyText"/>
      </w:pPr>
    </w:p>
    <w:p w:rsidR="007D06D3" w:rsidP="00B833A2">
      <w:pPr>
        <w:pStyle w:val="BodyText"/>
      </w:pPr>
    </w:p>
    <w:p w:rsidR="00000000" w:rsidRPr="00B833A2" w:rsidP="00B833A2">
      <w:pPr>
        <w:pStyle w:val="Heading1"/>
      </w:pPr>
      <w:bookmarkStart w:id="5" w:name="O_228440"/>
      <w:bookmarkEnd w:id="5"/>
      <w:r w:rsidRPr="00B833A2">
        <w:t>Pre-Requisites</w:t>
      </w:r>
    </w:p>
    <w:tbl>
      <w:tblPr>
        <w:tblW w:w="0" w:type="auto"/>
        <w:tblLayout w:type="fixed"/>
        <w:tblCellMar>
          <w:left w:w="62" w:type="dxa"/>
          <w:right w:w="62" w:type="dxa"/>
        </w:tblCellMar>
        <w:tblLook w:val="0000"/>
      </w:tblPr>
      <w:tblGrid>
        <w:gridCol w:w="2700"/>
        <w:gridCol w:w="5760"/>
      </w:tblGrid>
      <w:tr w:rsidTr="007D06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Prerequisite Unit</w:t>
            </w:r>
            <w:r w:rsidRPr="00B833A2">
              <w:t>(</w:t>
            </w:r>
            <w:r w:rsidRPr="00B833A2">
              <w:rPr>
                <w:rStyle w:val="SpecialBold"/>
              </w:rPr>
              <w:t>s</w:t>
            </w:r>
            <w:r w:rsidRPr="00B833A2">
              <w:t>)</w:t>
            </w:r>
          </w:p>
        </w:tc>
        <w:tc>
          <w:tcPr>
            <w:tcW w:w="57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2</w:t>
            </w:r>
            <w:r w:rsidRPr="00B833A2">
              <w:t xml:space="preserve">) </w:t>
            </w:r>
          </w:p>
        </w:tc>
      </w:tr>
      <w:tr w:rsidTr="007D06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33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2</w:t>
            </w:r>
            <w:r w:rsidRPr="00B833A2">
              <w:t>.</w:t>
            </w:r>
            <w:r w:rsidRPr="00B833A2">
              <w:rPr>
                <w:rStyle w:val="SpecialBold"/>
              </w:rPr>
              <w:t>1</w:t>
            </w:r>
            <w:r w:rsidRPr="00B833A2">
              <w:t xml:space="preserve">) </w:t>
            </w:r>
            <w:r w:rsidRPr="00B833A2">
              <w:rPr>
                <w:rStyle w:val="SpecialBold"/>
              </w:rPr>
              <w:t>Competencies</w:t>
            </w:r>
          </w:p>
        </w:tc>
      </w:tr>
      <w:tr w:rsidTr="007D06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Granting competency in this unit shall be made only after competency in the following unit(s) has/have been confirmed.</w:t>
            </w:r>
          </w:p>
          <w:p w:rsidR="00000000" w:rsidRPr="00B833A2" w:rsidP="00B833A2">
            <w:pPr>
              <w:pStyle w:val="BodyText"/>
            </w:pPr>
            <w:r w:rsidRPr="00B833A2">
              <w:t>UEENEEK023B Carry out basic repairs to renewable energy apparatus by replacement of components</w:t>
            </w:r>
          </w:p>
          <w:p w:rsidR="00000000" w:rsidRPr="00B833A2" w:rsidP="00B833A2">
            <w:pPr>
              <w:pStyle w:val="BodyText"/>
            </w:pPr>
            <w:r w:rsidRPr="00B833A2">
              <w:t>For the full prerequisite chain details for this unit please refer to Table 2 in Volume 1, Part 2</w:t>
            </w:r>
          </w:p>
        </w:tc>
      </w:tr>
    </w:tbl>
    <w:p w:rsidR="007D06D3" w:rsidP="00B833A2">
      <w:pPr>
        <w:pStyle w:val="BodyText"/>
      </w:pPr>
    </w:p>
    <w:p w:rsidR="007D06D3" w:rsidP="00B833A2">
      <w:pPr>
        <w:pStyle w:val="BodyText"/>
      </w:pPr>
    </w:p>
    <w:p w:rsidR="00000000" w:rsidRPr="00B833A2" w:rsidP="00B833A2">
      <w:pPr>
        <w:pStyle w:val="Heading1"/>
      </w:pPr>
      <w:bookmarkStart w:id="6" w:name="O_228442"/>
      <w:bookmarkEnd w:id="6"/>
      <w:r w:rsidRPr="00B833A2">
        <w:t>Employability Skills Information</w:t>
      </w:r>
    </w:p>
    <w:tbl>
      <w:tblPr>
        <w:tblW w:w="0" w:type="auto"/>
        <w:tblLayout w:type="fixed"/>
        <w:tblCellMar>
          <w:left w:w="62" w:type="dxa"/>
          <w:right w:w="62" w:type="dxa"/>
        </w:tblCellMar>
        <w:tblLook w:val="0000"/>
      </w:tblPr>
      <w:tblGrid>
        <w:gridCol w:w="2700"/>
        <w:gridCol w:w="5760"/>
      </w:tblGrid>
      <w:tr w:rsidTr="007D06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Employabil</w:t>
            </w:r>
            <w:r w:rsidRPr="00B833A2">
              <w:rPr>
                <w:rStyle w:val="SpecialBold"/>
              </w:rPr>
              <w:t>ity Skills</w:t>
            </w:r>
          </w:p>
        </w:tc>
        <w:tc>
          <w:tcPr>
            <w:tcW w:w="57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3</w:t>
            </w:r>
            <w:r w:rsidRPr="00B833A2">
              <w:t>)</w:t>
            </w:r>
          </w:p>
          <w:p w:rsidR="00000000" w:rsidRPr="00B833A2" w:rsidP="00B833A2">
            <w:pPr>
              <w:pStyle w:val="BodyText"/>
            </w:pPr>
            <w:r w:rsidRPr="00B833A2">
              <w:t>The required outcomes described in this unit of competency contain applicable facets of Em</w:t>
            </w:r>
            <w:r w:rsidRPr="00B833A2">
              <w:t>ployability Skills. The Employability Skills Summary of the qualification in which this unit of competency is packaged will assist in identifying Employability Skill requirements.</w:t>
            </w:r>
          </w:p>
        </w:tc>
      </w:tr>
    </w:tbl>
    <w:p w:rsidR="007D06D3" w:rsidP="00B833A2">
      <w:pPr>
        <w:pStyle w:val="BodyText"/>
      </w:pPr>
    </w:p>
    <w:p w:rsidR="007D06D3" w:rsidP="00B833A2">
      <w:pPr>
        <w:pStyle w:val="BodyText"/>
      </w:pPr>
    </w:p>
    <w:p w:rsidR="00000000" w:rsidRPr="00B833A2" w:rsidP="00B833A2">
      <w:pPr>
        <w:pStyle w:val="Heading1"/>
      </w:pPr>
      <w:bookmarkStart w:id="7" w:name="O_293001"/>
      <w:bookmarkEnd w:id="7"/>
      <w:r w:rsidRPr="00B833A2">
        <w:t>Elements and Performance Criteria Pre-Content</w:t>
      </w:r>
    </w:p>
    <w:tbl>
      <w:tblPr>
        <w:tblW w:w="0" w:type="auto"/>
        <w:tblLayout w:type="fixed"/>
        <w:tblCellMar>
          <w:left w:w="62" w:type="dxa"/>
          <w:right w:w="62" w:type="dxa"/>
        </w:tblCellMar>
        <w:tblLook w:val="0000"/>
      </w:tblPr>
      <w:tblGrid>
        <w:gridCol w:w="2700"/>
        <w:gridCol w:w="5760"/>
      </w:tblGrid>
      <w:tr w:rsidTr="007D06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6</w:t>
            </w:r>
            <w:r w:rsidRPr="00B833A2">
              <w:t>) Element</w:t>
            </w:r>
            <w:r w:rsidRPr="00B833A2">
              <w: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Performance criteria describe the required performance needed to demonstrate achievement of the Element. Assessment of performance must be consistent with the evidence guide.</w:t>
            </w:r>
          </w:p>
        </w:tc>
      </w:tr>
    </w:tbl>
    <w:p w:rsidR="00000000" w:rsidRPr="00B833A2" w:rsidP="00B833A2">
      <w:pPr>
        <w:pStyle w:val="BodyText"/>
      </w:pPr>
    </w:p>
    <w:p w:rsidR="00000000" w:rsidRPr="00B833A2" w:rsidP="00B833A2">
      <w:pPr>
        <w:pStyle w:val="AllowPageBreak"/>
      </w:pPr>
    </w:p>
    <w:p w:rsidR="00000000" w:rsidRPr="00B833A2" w:rsidP="00B833A2">
      <w:pPr>
        <w:pStyle w:val="Heading1"/>
      </w:pPr>
      <w:bookmarkStart w:id="8" w:name="O_239669"/>
      <w:bookmarkEnd w:id="8"/>
      <w:r w:rsidRPr="00B833A2">
        <w:t>Elements and Perfo</w:t>
      </w:r>
      <w:r w:rsidRPr="00B833A2">
        <w:t>rmance Criteria</w:t>
      </w:r>
    </w:p>
    <w:tbl>
      <w:tblPr>
        <w:tblW w:w="0" w:type="auto"/>
        <w:tblLayout w:type="fixed"/>
        <w:tblCellMar>
          <w:left w:w="62" w:type="dxa"/>
          <w:right w:w="62" w:type="dxa"/>
        </w:tblCellMar>
        <w:tblLook w:val="0000"/>
      </w:tblPr>
      <w:tblGrid>
        <w:gridCol w:w="404"/>
        <w:gridCol w:w="2296"/>
        <w:gridCol w:w="900"/>
        <w:gridCol w:w="4860"/>
      </w:tblGrid>
      <w:tr w:rsidTr="007D06D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PERFORMANCE CRITERIA</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w:t>
            </w:r>
          </w:p>
        </w:tc>
        <w:tc>
          <w:tcPr>
            <w:tcW w:w="2296" w:type="dxa"/>
            <w:vMerge w:val="restart"/>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Prepare to install micro-hydro systems.</w:t>
            </w: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1.1</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 xml:space="preserve">OHS procedures for a given work area are identified, obtained and understood </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1.2</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Health and safety risks are identified, and established risk control measures and procedures in preparation for the work are followed</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1.3</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Safety hazards that have not previously been identified are noted and established risk control measures are implemented</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1.4</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 xml:space="preserve">Installation of the system is prepared in consultation with others effected by the work and sequenced appropriately </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1.5</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The n</w:t>
            </w:r>
            <w:r w:rsidRPr="00B833A2">
              <w:t>ature and location of the work is determined from documentation or appropriate person to establish the scope of work to be undertaken</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1.6</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Location of system components is planned within the constraints of the building structure, significants and regulations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1.7</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Advice is sought from appropriate persons to ensure the work is coordinated effectively with others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1.8</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Material needed for th</w:t>
            </w:r>
            <w:r w:rsidRPr="00B833A2">
              <w:t>e installation work is obtained in accordance with established procedures and checked against job requirements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1.9</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Tools, equipment and testing devices needed to for the installation work are obtained in accordance with established procedures and checke</w:t>
            </w:r>
            <w:r w:rsidRPr="00B833A2">
              <w:t>d for correct operation and safety</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1.10</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Preparatory work is checked to ensure no damage has occurred and complies with requirements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w:t>
            </w:r>
          </w:p>
        </w:tc>
        <w:tc>
          <w:tcPr>
            <w:tcW w:w="2296" w:type="dxa"/>
            <w:vMerge w:val="restart"/>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Install micro-hydro systems.</w:t>
            </w: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2.1</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 xml:space="preserve">OHS risk control measures and procedures are followed for carrying out the work </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2.2</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The need to test or measure live is determined in strict accordance with OHS requirements and when necessary conducted within established safety procedures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2.3</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Circuits/machines/plant are checked as being isolated where necessary in strict accordance OHS requirements and procedures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2.4</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System components are installed to comply with technical standards and job specifications and requirements with sufficient acc</w:t>
            </w:r>
            <w:r w:rsidRPr="00B833A2">
              <w:t>ess to affect terminations, adjustment and maintenance</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2.5</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 xml:space="preserve">Wiring is terminated at system components in accordance with manufacturer specifications and functional and regulatory requirements </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2.6</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Established methods for dealing with unexpected situations are discussed with appropriate person or persons and documented</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2.7</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Unexpected situations are dealt with safely and with the approval of an authorised person</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2.8</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Ongoing checks of the quality</w:t>
            </w:r>
            <w:r w:rsidRPr="00B833A2">
              <w:t xml:space="preserve"> of installed apparatus are undertaken in accordance with established procedures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2.9</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Apparatus installation is carried out efficiently without waste of materials or damage to apparatus, circuits, the surrounding environment or services and using sustain</w:t>
            </w:r>
            <w:r w:rsidRPr="00B833A2">
              <w:t>able energy principles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3</w:t>
            </w:r>
          </w:p>
        </w:tc>
        <w:tc>
          <w:tcPr>
            <w:tcW w:w="2296"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3.1</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OHS work completion risk control measures and procedures are followed</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3.2</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Work site is cleaned and made safe in accordance with established procedures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3.3</w:t>
            </w:r>
          </w:p>
        </w:tc>
        <w:tc>
          <w:tcPr>
            <w:tcW w:w="48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Final checks are made so that the installed apparatus conforms to requirements</w:t>
            </w:r>
          </w:p>
        </w:tc>
      </w:tr>
      <w:tr w:rsidTr="007D06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3.4</w:t>
            </w:r>
          </w:p>
        </w:tc>
        <w:tc>
          <w:tcPr>
            <w:tcW w:w="48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'As-installed' apparatus and associated equipment is documented and appropriate person(s) notified in accordance with established procedures</w:t>
            </w:r>
          </w:p>
        </w:tc>
      </w:tr>
    </w:tbl>
    <w:p w:rsidR="007D06D3" w:rsidP="00B833A2">
      <w:pPr>
        <w:pStyle w:val="BodyText"/>
      </w:pPr>
    </w:p>
    <w:p w:rsidR="007D06D3" w:rsidP="00B833A2">
      <w:pPr>
        <w:pStyle w:val="BodyText"/>
      </w:pPr>
    </w:p>
    <w:p w:rsidR="00000000" w:rsidRPr="00B833A2" w:rsidP="00B833A2">
      <w:pPr>
        <w:pStyle w:val="Heading1"/>
      </w:pPr>
      <w:bookmarkStart w:id="9" w:name="O_263460"/>
      <w:bookmarkEnd w:id="9"/>
      <w:r w:rsidRPr="00B833A2">
        <w:t>Required Skills and Knowledge</w:t>
      </w:r>
    </w:p>
    <w:tbl>
      <w:tblPr>
        <w:tblW w:w="0" w:type="auto"/>
        <w:tblLayout w:type="fixed"/>
        <w:tblCellMar>
          <w:left w:w="62" w:type="dxa"/>
          <w:right w:w="62" w:type="dxa"/>
        </w:tblCellMar>
        <w:tblLook w:val="0000"/>
      </w:tblPr>
      <w:tblGrid>
        <w:gridCol w:w="2700"/>
        <w:gridCol w:w="1080"/>
        <w:gridCol w:w="4680"/>
      </w:tblGrid>
      <w:tr w:rsidTr="007D06D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REQUIRED SKILLS AND KNOWLEDGE</w:t>
            </w:r>
          </w:p>
        </w:tc>
      </w:tr>
      <w:tr w:rsidTr="007D06D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7</w:t>
            </w:r>
            <w:r w:rsidRPr="00B833A2">
              <w:t>) This describes the essential skills and knowledge and their level, required for this unit.</w:t>
            </w:r>
          </w:p>
        </w:tc>
      </w:tr>
      <w:tr w:rsidTr="007D06D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Evidence must show that knowledge has been acquired of safe working practices and installing and</w:t>
            </w:r>
            <w:r w:rsidRPr="00B833A2">
              <w:t xml:space="preserve"> setting up micro-hydro systems.</w:t>
            </w:r>
          </w:p>
          <w:p w:rsidR="00000000" w:rsidRPr="00B833A2" w:rsidP="00B833A2">
            <w:pPr>
              <w:pStyle w:val="BodyText"/>
            </w:pPr>
            <w:r w:rsidRPr="00B833A2">
              <w:t>All knowledge and skills detailed in this unit should be contextualised to current industry practices and technologies.</w:t>
            </w:r>
          </w:p>
          <w:p w:rsidR="00000000" w:rsidP="00B833A2">
            <w:pPr>
              <w:pStyle w:val="BodyText"/>
              <w:rPr>
                <w:lang w:val="en-NZ"/>
              </w:rPr>
            </w:pPr>
            <w:r w:rsidRPr="00B833A2">
              <w:t>The extent of the essential knowledge and associated skills (EKAS) required is given in Volume 2 - Part</w:t>
            </w:r>
            <w:r w:rsidRPr="00B833A2">
              <w:t xml:space="preserve"> 2.2 EKAS.  It forms an integral part of this unit.</w:t>
            </w:r>
          </w:p>
        </w:tc>
      </w:tr>
      <w:tr w:rsidTr="007D06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p>
        </w:tc>
      </w:tr>
      <w:tr w:rsidTr="007D06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p>
        </w:tc>
      </w:tr>
      <w:tr w:rsidTr="007D06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2.20.17.1</w:t>
            </w:r>
          </w:p>
        </w:tc>
        <w:tc>
          <w:tcPr>
            <w:tcW w:w="468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Micro-hydro systems installation and maintenance processes</w:t>
            </w:r>
          </w:p>
        </w:tc>
      </w:tr>
    </w:tbl>
    <w:p w:rsidR="007D06D3" w:rsidP="00B833A2">
      <w:pPr>
        <w:pStyle w:val="BodyText"/>
      </w:pPr>
    </w:p>
    <w:p w:rsidR="007D06D3" w:rsidP="00B833A2">
      <w:pPr>
        <w:pStyle w:val="BodyText"/>
      </w:pPr>
    </w:p>
    <w:p w:rsidR="00000000" w:rsidRPr="00B833A2" w:rsidP="00B833A2">
      <w:pPr>
        <w:pStyle w:val="Heading1"/>
      </w:pPr>
      <w:bookmarkStart w:id="10" w:name="O_247652"/>
      <w:bookmarkEnd w:id="10"/>
      <w:r w:rsidRPr="00B833A2">
        <w:t>Evidence Guide</w:t>
      </w:r>
    </w:p>
    <w:tbl>
      <w:tblPr>
        <w:tblW w:w="0" w:type="auto"/>
        <w:tblLayout w:type="fixed"/>
        <w:tblCellMar>
          <w:left w:w="62" w:type="dxa"/>
          <w:right w:w="62" w:type="dxa"/>
        </w:tblCellMar>
        <w:tblLook w:val="0000"/>
      </w:tblPr>
      <w:tblGrid>
        <w:gridCol w:w="2160"/>
        <w:gridCol w:w="720"/>
        <w:gridCol w:w="540"/>
        <w:gridCol w:w="5040"/>
      </w:tblGrid>
      <w:tr w:rsidTr="007D06D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EVIDENCE GUIDE</w:t>
            </w:r>
          </w:p>
        </w:tc>
      </w:tr>
      <w:tr w:rsidTr="007D06D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9</w:t>
            </w:r>
            <w:r w:rsidRPr="00B833A2">
              <w:t>) This provides essential advice for assessment of the unit and must be read in conjunction with the performance criteria and the range statement of the unit and the Training Package Assessment Guidelines.</w:t>
            </w:r>
          </w:p>
          <w:p w:rsidR="00000000" w:rsidP="00B833A2">
            <w:pPr>
              <w:pStyle w:val="BodyText"/>
              <w:rPr>
                <w:lang w:val="en-NZ"/>
              </w:rPr>
            </w:pPr>
            <w:r w:rsidRPr="00B833A2">
              <w:t xml:space="preserve">The Evidence Guide forms an integral part of this </w:t>
            </w:r>
            <w:r w:rsidRPr="00B833A2">
              <w:t>unit. It must be used in conjunction with all parts of this unit and performed in accordance with the Assessment Guidelines of this Training Package.</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9</w:t>
            </w:r>
            <w:r w:rsidRPr="00B833A2">
              <w:t>.</w:t>
            </w:r>
            <w:r w:rsidRPr="00B833A2">
              <w:rPr>
                <w:rStyle w:val="SpecialBold"/>
              </w:rPr>
              <w:t>1</w:t>
            </w:r>
            <w:r w:rsidRPr="00B833A2">
              <w:t xml:space="preserve">) </w:t>
            </w:r>
          </w:p>
          <w:p w:rsidR="00000000" w:rsidRPr="00B833A2" w:rsidP="00B833A2">
            <w:pPr>
              <w:pStyle w:val="BodyText"/>
            </w:pPr>
            <w:r w:rsidRPr="00B833A2">
              <w:t>Longitudinal competency development approaches to assessment, such as Profiling, require data to be reliably gathered in a form that can be consistently interpreted over time. This approach is best utilised in Apprenticeship programs and reduces assessment</w:t>
            </w:r>
            <w:r w:rsidRPr="00B833A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833A2">
              <w:t>ncy in a realistically simulated work environment. In some circumstances, assessment in part or full can occur outside the workplace. However, it must be in accordance with industry and regulatory policy.</w:t>
            </w:r>
          </w:p>
          <w:p w:rsidR="00000000" w:rsidRPr="00B833A2" w:rsidP="00B833A2">
            <w:pPr>
              <w:pStyle w:val="BodyText"/>
            </w:pPr>
            <w:r w:rsidRPr="00B833A2">
              <w:t xml:space="preserve">Methods chosen for a particular assessment will be </w:t>
            </w:r>
            <w:r w:rsidRPr="00B833A2">
              <w:t>influenced by various factors. These include the extent of the assessment, the most effective locations for the assessment activities to take place, access to physical resources, additional safety measures that may be required and the critical nature of th</w:t>
            </w:r>
            <w:r w:rsidRPr="00B833A2">
              <w:t>e competencies being assessed.</w:t>
            </w:r>
          </w:p>
          <w:p w:rsidR="00000000" w:rsidRPr="00B833A2" w:rsidP="00B833A2">
            <w:pPr>
              <w:pStyle w:val="BodyText"/>
            </w:pPr>
            <w:r w:rsidRPr="00B833A2">
              <w:t xml:space="preserve">The critical safety issues inherent in working with electricity, electrical equipment, gas or any other hazardous substance/material present a challenge for those determining competence. Sources of evidence need to be 'rich' </w:t>
            </w:r>
            <w:r w:rsidRPr="00B833A2">
              <w:t>in nature to minimise error in judgment.</w:t>
            </w:r>
          </w:p>
          <w:p w:rsidR="00000000" w:rsidP="00B833A2">
            <w:pPr>
              <w:pStyle w:val="BodyText"/>
              <w:rPr>
                <w:lang w:val="en-NZ"/>
              </w:rPr>
            </w:pPr>
            <w:r w:rsidRPr="00B833A2">
              <w:t>Activities associated with normal everyday work have a bearing on the decision as to how much and how detailed the data gathered will contribute to its 'richness'. Some skills are more critical to safety and operati</w:t>
            </w:r>
            <w:r w:rsidRPr="00B833A2">
              <w:t>onal requirements while the same skills may be more or less frequently practised. These points are raised for the assessors to consider when choosing an assessment method and developing assessment instruments. Sample assessment instruments are included for</w:t>
            </w:r>
            <w:r w:rsidRPr="00B833A2">
              <w:t xml:space="preserve"> Assessors in the Assessment Guidelines of this Training Package.</w:t>
            </w:r>
          </w:p>
        </w:tc>
      </w:tr>
      <w:tr w:rsidTr="007D06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 xml:space="preserve">Critical aspects of evidence required to demonstrate </w:t>
            </w:r>
            <w:r w:rsidRPr="00B833A2">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9</w:t>
            </w:r>
            <w:r w:rsidRPr="00B833A2">
              <w:t>.</w:t>
            </w:r>
            <w:r w:rsidRPr="00B833A2">
              <w:rPr>
                <w:rStyle w:val="SpecialBold"/>
              </w:rPr>
              <w:t>2</w:t>
            </w:r>
            <w:r w:rsidRPr="00B833A2">
              <w:t xml:space="preserve">) </w:t>
            </w:r>
          </w:p>
          <w:p w:rsidR="00000000" w:rsidP="00B833A2">
            <w:pPr>
              <w:pStyle w:val="BodyText"/>
              <w:rPr>
                <w:lang w:val="en-NZ"/>
              </w:rPr>
            </w:pPr>
            <w:r w:rsidRPr="00B833A2">
              <w:t>Before the critical aspects of evidence are considered all prerequisites must be met.</w:t>
            </w:r>
          </w:p>
        </w:tc>
      </w:tr>
      <w:tr w:rsidTr="007D06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B833A2">
            <w:pPr>
              <w:pStyle w:val="ListBullet"/>
              <w:rPr>
                <w:lang w:val="en-NZ"/>
              </w:rPr>
            </w:pPr>
            <w:r w:rsidRPr="00B833A2">
              <w:t>A</w:t>
            </w:r>
            <w:r w:rsidRPr="00B833A2">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833A2" w:rsidP="00B833A2">
            <w:pPr>
              <w:pStyle w:val="ListBullet2"/>
            </w:pPr>
            <w:r w:rsidRPr="00B833A2">
              <w:t>Implement Occupational Health and Safety workplace procedures and practices including the use of risk control measures as specified in the performance criteria and range statement</w:t>
            </w:r>
          </w:p>
          <w:p w:rsidR="00000000" w:rsidRPr="00B833A2" w:rsidP="00B833A2">
            <w:pPr>
              <w:pStyle w:val="ListBullet2"/>
            </w:pPr>
            <w:r w:rsidRPr="00B833A2">
              <w:t>Apply sustainable energy principles and practices as specified in the performance criteria and range statement</w:t>
            </w:r>
          </w:p>
          <w:p w:rsidR="00000000" w:rsidRPr="00B833A2" w:rsidP="00B833A2">
            <w:pPr>
              <w:pStyle w:val="ListBullet2"/>
            </w:pPr>
            <w:r w:rsidRPr="00B833A2">
              <w:t>Demonstrate an understanding of the essential knowledge and associated skills as described in this unit.  It may be required by some jurisdiction</w:t>
            </w:r>
            <w:r w:rsidRPr="00B833A2">
              <w:t>s that RTOs provide a percentile graded result for the purpose of regulatory or licensing requirements.</w:t>
            </w:r>
          </w:p>
          <w:p w:rsidR="00000000" w:rsidRPr="00B833A2" w:rsidP="00B833A2">
            <w:pPr>
              <w:pStyle w:val="ListBullet2"/>
            </w:pPr>
            <w:r w:rsidRPr="00B833A2">
              <w:t>Demonstrate an appropriate level of skills enabling employment</w:t>
            </w:r>
          </w:p>
          <w:p w:rsidR="00000000" w:rsidP="00B833A2">
            <w:pPr>
              <w:pStyle w:val="ListBullet2"/>
              <w:rPr>
                <w:lang w:val="en-NZ"/>
              </w:rPr>
            </w:pPr>
            <w:r w:rsidRPr="00B833A2">
              <w:t>Conduct work observing the relevant Anti Discrimination legislation, regulations, polices</w:t>
            </w:r>
            <w:r w:rsidRPr="00B833A2">
              <w:t xml:space="preserve"> and workplace procedures</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33A2">
            <w:pPr>
              <w:pStyle w:val="ListBullet"/>
              <w:rPr>
                <w:lang w:val="en-NZ"/>
              </w:rPr>
            </w:pPr>
            <w:r w:rsidRPr="00B833A2">
              <w:t>Demonstrated consistent performance across a representative range of contexts from the prescribed items below:</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33A2">
            <w:pPr>
              <w:pStyle w:val="ListBullet2"/>
              <w:rPr>
                <w:lang w:val="en-NZ"/>
              </w:rPr>
            </w:pPr>
            <w:r w:rsidRPr="00B833A2">
              <w:t>Install and set up micro-hydro systems as described in 8) and including:</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A</w:t>
            </w:r>
          </w:p>
        </w:tc>
        <w:tc>
          <w:tcPr>
            <w:tcW w:w="50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Reading and interpreting drawings related to and apparatus locations and circuit connections.</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B</w:t>
            </w:r>
          </w:p>
        </w:tc>
        <w:tc>
          <w:tcPr>
            <w:tcW w:w="50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 xml:space="preserve">Placing and securing system components accurately </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C</w:t>
            </w:r>
          </w:p>
        </w:tc>
        <w:tc>
          <w:tcPr>
            <w:tcW w:w="50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Maintaining fire integrity</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D</w:t>
            </w:r>
          </w:p>
        </w:tc>
        <w:tc>
          <w:tcPr>
            <w:tcW w:w="50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Connecting system components to comply with requirements</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E</w:t>
            </w:r>
          </w:p>
        </w:tc>
        <w:tc>
          <w:tcPr>
            <w:tcW w:w="504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Dealing with unplanned events by drawing on essential knowledge and skills to provide appropriate solutions incorporated in a holistic assessment with the above listed items</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9</w:t>
            </w:r>
            <w:r w:rsidRPr="00B833A2">
              <w:t>.</w:t>
            </w:r>
            <w:r w:rsidRPr="00B833A2">
              <w:rPr>
                <w:rStyle w:val="SpecialBold"/>
              </w:rPr>
              <w:t>3</w:t>
            </w:r>
            <w:r w:rsidRPr="00B833A2">
              <w:t xml:space="preserve">) </w:t>
            </w:r>
          </w:p>
          <w:p w:rsidR="00000000" w:rsidRPr="00B833A2" w:rsidP="00B833A2">
            <w:pPr>
              <w:pStyle w:val="BodyText"/>
            </w:pPr>
            <w:r w:rsidRPr="00B833A2">
              <w:t>This unit should be assessed as it relates to normal work practice using procedures, information and resources typical of a workplace. This should include:</w:t>
            </w:r>
          </w:p>
          <w:p w:rsidR="00000000" w:rsidRPr="00B833A2" w:rsidP="00B833A2">
            <w:pPr>
              <w:pStyle w:val="ListBullet"/>
            </w:pPr>
            <w:r w:rsidRPr="00B833A2">
              <w:t>OHS policy and work procedures and instructions.</w:t>
            </w:r>
          </w:p>
          <w:p w:rsidR="00000000" w:rsidRPr="00B833A2" w:rsidP="00B833A2">
            <w:pPr>
              <w:pStyle w:val="ListBullet"/>
            </w:pPr>
            <w:r w:rsidRPr="00B833A2">
              <w:t>Suitable work environment, facilities, equipment a</w:t>
            </w:r>
            <w:r w:rsidRPr="00B833A2">
              <w:t>nd materials to undertake actual work as prescribed by this unit.</w:t>
            </w:r>
          </w:p>
          <w:p w:rsidR="00000000" w:rsidRPr="00B833A2" w:rsidP="00B833A2">
            <w:pPr>
              <w:pStyle w:val="BodyText"/>
            </w:pPr>
            <w:r w:rsidRPr="00B833A2">
              <w:t>These should be part of the formal learning/assessment environment.</w:t>
            </w:r>
          </w:p>
          <w:p w:rsidR="00000000" w:rsidRPr="00B833A2" w:rsidP="00B833A2">
            <w:pPr>
              <w:pStyle w:val="BodyText"/>
            </w:pPr>
            <w:r w:rsidRPr="00B833A2">
              <w:t>Note:</w:t>
            </w:r>
          </w:p>
          <w:p w:rsidR="00000000" w:rsidP="00B833A2">
            <w:pPr>
              <w:pStyle w:val="BodyText"/>
              <w:rPr>
                <w:lang w:val="en-NZ"/>
              </w:rPr>
            </w:pPr>
            <w:r w:rsidRPr="00B833A2">
              <w:t>Where simulation is considered a suitable strategy for assessment, conditions must be authentic and as far as possib</w:t>
            </w:r>
            <w:r w:rsidRPr="00B833A2">
              <w:t>le reproduce and replicate the workplace and be consistent with the approved industry simulation policy.</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The resources used for assessment should reflect current industry practices in relation to installing and setting up micro-hydro systems.</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9</w:t>
            </w:r>
            <w:r w:rsidRPr="00B833A2">
              <w:t>.</w:t>
            </w:r>
            <w:r w:rsidRPr="00B833A2">
              <w:rPr>
                <w:rStyle w:val="SpecialBold"/>
              </w:rPr>
              <w:t>4</w:t>
            </w:r>
            <w:r w:rsidRPr="00B833A2">
              <w:t xml:space="preserve">) </w:t>
            </w:r>
          </w:p>
          <w:p w:rsidR="00000000" w:rsidRPr="00B833A2" w:rsidP="00B833A2">
            <w:pPr>
              <w:pStyle w:val="BodyText"/>
            </w:pPr>
            <w:r w:rsidRPr="00B833A2">
              <w:t>This unit shall be assessed by methods given in Volume 1, Part 3 'Assessment Guidelines'.</w:t>
            </w:r>
          </w:p>
          <w:p w:rsidR="00000000" w:rsidP="00B833A2">
            <w:pPr>
              <w:pStyle w:val="BodyText"/>
              <w:rPr>
                <w:lang w:val="en-NZ"/>
              </w:rPr>
            </w:pPr>
            <w:r w:rsidRPr="00B833A2">
              <w:t xml:space="preserve">Note: </w:t>
            </w:r>
            <w:r w:rsidRPr="00B833A2">
              <w:br/>
              <w:t>Competent performance with inherent safe working practices is expected in the Industry to which this unit applies. This requires ass</w:t>
            </w:r>
            <w:r w:rsidRPr="00B833A2">
              <w:t>essment in a structured environment which is intended primarily for learning/assessment and incorporates all necessary equipment and facilities for learners to develop and demonstrate the essential knowledge and skills described in this unit.</w:t>
            </w:r>
          </w:p>
        </w:tc>
      </w:tr>
      <w:tr w:rsidTr="007D06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Concurrent</w:t>
            </w:r>
            <w:r w:rsidRPr="00B833A2">
              <w:rPr>
                <w:rStyle w:val="SpecialBold"/>
              </w:rPr>
              <w:t xml:space="preserve">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9</w:t>
            </w:r>
            <w:r w:rsidRPr="00B833A2">
              <w:t>.</w:t>
            </w:r>
            <w:r w:rsidRPr="00B833A2">
              <w:rPr>
                <w:rStyle w:val="SpecialBold"/>
              </w:rPr>
              <w:t>5</w:t>
            </w:r>
            <w:r w:rsidRPr="00B833A2">
              <w:t>)</w:t>
            </w:r>
          </w:p>
        </w:tc>
      </w:tr>
      <w:tr w:rsidTr="007D06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There are no concurrent assessment recommendations for this unit.</w:t>
            </w:r>
          </w:p>
        </w:tc>
      </w:tr>
      <w:tr w:rsidTr="007D06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The critical aspects of occupational health and safety covered in unit UEENEEE001B and other discipline specific occupational health and safety units shall be incorporated in relation to this unit.</w:t>
            </w:r>
          </w:p>
        </w:tc>
      </w:tr>
    </w:tbl>
    <w:p w:rsidR="007D06D3" w:rsidP="00B833A2">
      <w:pPr>
        <w:pStyle w:val="BodyText"/>
      </w:pPr>
    </w:p>
    <w:p w:rsidR="007D06D3" w:rsidP="00B833A2">
      <w:pPr>
        <w:pStyle w:val="BodyText"/>
      </w:pPr>
    </w:p>
    <w:p w:rsidR="00000000" w:rsidRPr="00B833A2" w:rsidP="00B833A2">
      <w:pPr>
        <w:pStyle w:val="Heading1"/>
      </w:pPr>
      <w:bookmarkStart w:id="11" w:name="O_255636"/>
      <w:bookmarkEnd w:id="11"/>
      <w:r w:rsidRPr="00B833A2">
        <w:t>Range Statement</w:t>
      </w:r>
    </w:p>
    <w:tbl>
      <w:tblPr>
        <w:tblW w:w="0" w:type="auto"/>
        <w:tblLayout w:type="fixed"/>
        <w:tblCellMar>
          <w:left w:w="62" w:type="dxa"/>
          <w:right w:w="62" w:type="dxa"/>
        </w:tblCellMar>
        <w:tblLook w:val="0000"/>
      </w:tblPr>
      <w:tblGrid>
        <w:gridCol w:w="8460"/>
      </w:tblGrid>
      <w:tr w:rsidTr="007D06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RANGE STATEMENT</w:t>
            </w:r>
          </w:p>
        </w:tc>
      </w:tr>
      <w:tr w:rsidTr="007D06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8</w:t>
            </w:r>
            <w:r w:rsidRPr="00B833A2">
              <w:t>) This relates to the unit as a whole providing the range of contexts and conditions to which the performance criteria apply. It allows for different work environments and situations that will affect performance.</w:t>
            </w:r>
          </w:p>
        </w:tc>
      </w:tr>
      <w:tr w:rsidTr="007D06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This unit must be demonstrated in relation</w:t>
            </w:r>
            <w:r w:rsidRPr="00B833A2">
              <w:t xml:space="preserve"> to installing micro-hydro systems in at least two different types of premises construction or environment.</w:t>
            </w:r>
          </w:p>
        </w:tc>
      </w:tr>
      <w:tr w:rsidTr="007D06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Generic terms used throughout this Vocational Standard shall be regarded as part of the Range Statement in which competency is demonstrated. The de</w:t>
            </w:r>
            <w:r w:rsidRPr="00B833A2">
              <w:t>finition of these and other terms that apply are given in Volume 2, Part 2.1.</w:t>
            </w:r>
          </w:p>
        </w:tc>
      </w:tr>
    </w:tbl>
    <w:p w:rsidR="007D06D3" w:rsidP="00B833A2">
      <w:pPr>
        <w:pStyle w:val="BodyText"/>
      </w:pPr>
    </w:p>
    <w:p w:rsidR="007D06D3" w:rsidP="00B833A2">
      <w:pPr>
        <w:pStyle w:val="BodyText"/>
      </w:pPr>
    </w:p>
    <w:p w:rsidR="00000000" w:rsidRPr="00B833A2" w:rsidP="00B833A2">
      <w:pPr>
        <w:pStyle w:val="Heading1"/>
      </w:pPr>
      <w:bookmarkStart w:id="12" w:name="O_296649"/>
      <w:bookmarkEnd w:id="12"/>
      <w:r w:rsidRPr="00B833A2">
        <w:t>Unit Sector(s)</w:t>
      </w:r>
    </w:p>
    <w:p w:rsidR="00000000" w:rsidRPr="00B833A2" w:rsidP="00B833A2">
      <w:pPr>
        <w:pStyle w:val="BodyText"/>
      </w:pPr>
      <w:r w:rsidRPr="00B833A2">
        <w:t>Not Applicable</w:t>
      </w:r>
    </w:p>
    <w:p w:rsidR="00000000" w:rsidRPr="00B833A2" w:rsidP="00B833A2">
      <w:pPr>
        <w:pStyle w:val="AllowPageBreak"/>
      </w:pPr>
    </w:p>
    <w:p w:rsidR="00000000" w:rsidRPr="00B833A2" w:rsidP="00B833A2">
      <w:pPr>
        <w:pStyle w:val="Heading1"/>
      </w:pPr>
      <w:bookmarkStart w:id="13" w:name="O_228441"/>
      <w:bookmarkEnd w:id="13"/>
      <w:r w:rsidRPr="00B833A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D06D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2</w:t>
            </w:r>
            <w:r w:rsidRPr="00B833A2">
              <w:t>.</w:t>
            </w:r>
            <w:r w:rsidRPr="00B833A2">
              <w:rPr>
                <w:rStyle w:val="SpecialBold"/>
              </w:rPr>
              <w:t>2</w:t>
            </w:r>
            <w:r w:rsidRPr="00B833A2">
              <w:t xml:space="preserve">) </w:t>
            </w:r>
            <w:r w:rsidRPr="00B833A2">
              <w:rPr>
                <w:rStyle w:val="SpecialBold"/>
              </w:rPr>
              <w:t>Literacy and numeracy skills</w:t>
            </w:r>
          </w:p>
          <w:p w:rsidR="00000000" w:rsidP="00B833A2">
            <w:pPr>
              <w:pStyle w:val="BodyText"/>
              <w:rPr>
                <w:lang w:val="en-NZ"/>
              </w:rPr>
            </w:pPr>
            <w:r w:rsidRPr="00B833A2">
              <w:t>Participants are best equipped to achieve competency in this</w:t>
            </w:r>
            <w:r w:rsidRPr="00B833A2">
              <w:t xml:space="preserve"> unit if they have reading, writing and numeracy skills indicated by the following scales. Description of each scale is given in Volume 2, Part 3 'Literacy and Numeracy'</w:t>
            </w:r>
          </w:p>
        </w:tc>
      </w:tr>
      <w:tr w:rsidTr="007D06D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Reading</w:t>
            </w:r>
          </w:p>
        </w:tc>
        <w:tc>
          <w:tcPr>
            <w:tcW w:w="1182"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3</w:t>
            </w:r>
          </w:p>
        </w:tc>
        <w:tc>
          <w:tcPr>
            <w:tcW w:w="1739"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Writing</w:t>
            </w:r>
          </w:p>
        </w:tc>
        <w:tc>
          <w:tcPr>
            <w:tcW w:w="1182"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3</w:t>
            </w:r>
          </w:p>
        </w:tc>
        <w:tc>
          <w:tcPr>
            <w:tcW w:w="1721"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t>Numeracy</w:t>
            </w:r>
          </w:p>
        </w:tc>
        <w:tc>
          <w:tcPr>
            <w:tcW w:w="1182"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3</w:t>
            </w:r>
          </w:p>
        </w:tc>
      </w:tr>
    </w:tbl>
    <w:p w:rsidR="007D06D3" w:rsidP="00B833A2">
      <w:pPr>
        <w:pStyle w:val="BodyText"/>
      </w:pPr>
    </w:p>
    <w:p w:rsidR="007D06D3" w:rsidP="00B833A2">
      <w:pPr>
        <w:pStyle w:val="BodyText"/>
      </w:pPr>
    </w:p>
    <w:p w:rsidR="00000000" w:rsidRPr="00B833A2" w:rsidP="00B833A2">
      <w:pPr>
        <w:pStyle w:val="Heading1"/>
      </w:pPr>
      <w:bookmarkStart w:id="14" w:name="O_228444"/>
      <w:bookmarkEnd w:id="14"/>
      <w:r w:rsidRPr="00B833A2">
        <w:t>Custom Content Section</w:t>
      </w:r>
    </w:p>
    <w:tbl>
      <w:tblPr>
        <w:tblW w:w="0" w:type="auto"/>
        <w:tblLayout w:type="fixed"/>
        <w:tblCellMar>
          <w:left w:w="62" w:type="dxa"/>
          <w:right w:w="62" w:type="dxa"/>
        </w:tblCellMar>
        <w:tblLook w:val="0000"/>
      </w:tblPr>
      <w:tblGrid>
        <w:gridCol w:w="2700"/>
        <w:gridCol w:w="5760"/>
      </w:tblGrid>
      <w:tr w:rsidTr="007D06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33A2">
            <w:pPr>
              <w:pStyle w:val="BodyText"/>
              <w:rPr>
                <w:lang w:val="en-NZ"/>
              </w:rPr>
            </w:pPr>
            <w:r w:rsidRPr="00B833A2">
              <w:rPr>
                <w:rStyle w:val="SpecialBold"/>
              </w:rPr>
              <w:t>5</w:t>
            </w:r>
            <w:r w:rsidRPr="00B833A2">
              <w:t>)</w:t>
            </w:r>
          </w:p>
        </w:tc>
      </w:tr>
      <w:tr w:rsidTr="007D06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3A2" w:rsidP="00B833A2">
            <w:pPr>
              <w:pStyle w:val="BodyText"/>
            </w:pPr>
            <w:r w:rsidRPr="00B833A2">
              <w:t>Renewable and Sustainable Energy</w:t>
            </w:r>
          </w:p>
        </w:tc>
      </w:tr>
    </w:tbl>
    <w:p w:rsidR="007D06D3" w:rsidP="00B833A2">
      <w:pPr>
        <w:pStyle w:val="BodyText"/>
      </w:pPr>
    </w:p>
    <w:p w:rsidR="007D06D3" w:rsidP="00B833A2">
      <w:pPr>
        <w:pStyle w:val="BodyText"/>
      </w:pPr>
    </w:p>
    <w:p w:rsidR="00000000" w:rsidRPr="00B833A2" w:rsidP="00B833A2"/>
    <w:sectPr w:rsidSect="00B83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6D3" w:rsidP="007D06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D3" w:rsidP="00B83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06D3" w:rsidP="00B833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D06D3" w:rsidP="00B833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6D3" w:rsidP="007D06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D3" w:rsidP="00B833A2">
    <w:pPr>
      <w:pStyle w:val="Header"/>
      <w:framePr w:wrap="around"/>
    </w:pPr>
    <w:r>
      <w:fldChar w:fldCharType="begin"/>
    </w:r>
    <w:r>
      <w:instrText xml:space="preserve"> TITLE   \* MERGEFORMAT </w:instrText>
    </w:r>
    <w:r>
      <w:fldChar w:fldCharType="separate"/>
    </w:r>
    <w:r>
      <w:t>UEENEEK037B Install and set up micro-hydro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06D3" w:rsidP="00B833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50B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4E8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A0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3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33A2"/>
    <w:pPr>
      <w:spacing w:before="360" w:after="60"/>
      <w:outlineLvl w:val="0"/>
    </w:pPr>
    <w:rPr>
      <w:sz w:val="32"/>
    </w:rPr>
  </w:style>
  <w:style w:type="paragraph" w:styleId="Heading2">
    <w:name w:val="heading 2"/>
    <w:basedOn w:val="HeadingBase"/>
    <w:next w:val="BodyText"/>
    <w:link w:val="Heading2Char"/>
    <w:qFormat/>
    <w:rsid w:val="00B833A2"/>
    <w:pPr>
      <w:keepLines/>
      <w:spacing w:before="240" w:after="120"/>
      <w:outlineLvl w:val="1"/>
    </w:pPr>
    <w:rPr>
      <w:sz w:val="28"/>
      <w:szCs w:val="40"/>
    </w:rPr>
  </w:style>
  <w:style w:type="paragraph" w:styleId="Heading3">
    <w:name w:val="heading 3"/>
    <w:basedOn w:val="HeadingBase"/>
    <w:next w:val="BodyText"/>
    <w:link w:val="Heading3Char"/>
    <w:qFormat/>
    <w:rsid w:val="00B833A2"/>
    <w:pPr>
      <w:spacing w:before="180" w:after="120"/>
      <w:outlineLvl w:val="2"/>
    </w:pPr>
    <w:rPr>
      <w:spacing w:val="-10"/>
      <w:kern w:val="32"/>
    </w:rPr>
  </w:style>
  <w:style w:type="paragraph" w:styleId="Heading4">
    <w:name w:val="heading 4"/>
    <w:basedOn w:val="HeadingBase"/>
    <w:next w:val="BodyText"/>
    <w:link w:val="Heading4Char"/>
    <w:qFormat/>
    <w:rsid w:val="00B833A2"/>
    <w:pPr>
      <w:spacing w:before="160" w:after="120"/>
      <w:outlineLvl w:val="3"/>
    </w:pPr>
    <w:rPr>
      <w:sz w:val="22"/>
    </w:rPr>
  </w:style>
  <w:style w:type="paragraph" w:styleId="Heading5">
    <w:name w:val="heading 5"/>
    <w:basedOn w:val="HeadingBase"/>
    <w:next w:val="Normal"/>
    <w:link w:val="Heading5Char"/>
    <w:qFormat/>
    <w:rsid w:val="00B833A2"/>
    <w:pPr>
      <w:spacing w:before="80"/>
      <w:outlineLvl w:val="4"/>
    </w:pPr>
    <w:rPr>
      <w:color w:val="918585"/>
      <w:sz w:val="20"/>
    </w:rPr>
  </w:style>
  <w:style w:type="paragraph" w:styleId="Heading6">
    <w:name w:val="heading 6"/>
    <w:basedOn w:val="HeadingBase"/>
    <w:next w:val="Normal"/>
    <w:link w:val="Heading6Char"/>
    <w:qFormat/>
    <w:rsid w:val="00B833A2"/>
    <w:pPr>
      <w:spacing w:before="60"/>
      <w:outlineLvl w:val="5"/>
    </w:pPr>
    <w:rPr>
      <w:color w:val="918585"/>
      <w:sz w:val="20"/>
    </w:rPr>
  </w:style>
  <w:style w:type="paragraph" w:styleId="Heading7">
    <w:name w:val="heading 7"/>
    <w:basedOn w:val="Normal"/>
    <w:next w:val="Normal"/>
    <w:link w:val="Heading7Char"/>
    <w:qFormat/>
    <w:rsid w:val="00B833A2"/>
    <w:pPr>
      <w:ind w:left="720"/>
      <w:outlineLvl w:val="6"/>
    </w:pPr>
    <w:rPr>
      <w:i/>
    </w:rPr>
  </w:style>
  <w:style w:type="paragraph" w:styleId="Heading8">
    <w:name w:val="heading 8"/>
    <w:basedOn w:val="Normal"/>
    <w:next w:val="Normal"/>
    <w:link w:val="Heading8Char"/>
    <w:qFormat/>
    <w:rsid w:val="00B833A2"/>
    <w:pPr>
      <w:ind w:left="720"/>
      <w:outlineLvl w:val="7"/>
    </w:pPr>
    <w:rPr>
      <w:i/>
    </w:rPr>
  </w:style>
  <w:style w:type="paragraph" w:styleId="Heading9">
    <w:name w:val="heading 9"/>
    <w:basedOn w:val="Normal"/>
    <w:next w:val="Normal"/>
    <w:link w:val="Heading9Char"/>
    <w:qFormat/>
    <w:rsid w:val="00B833A2"/>
    <w:pPr>
      <w:ind w:left="720"/>
      <w:outlineLvl w:val="8"/>
    </w:pPr>
    <w:rPr>
      <w:i/>
    </w:rPr>
  </w:style>
  <w:style w:type="character" w:default="1" w:styleId="DefaultParagraphFont">
    <w:name w:val="Default Paragraph Font"/>
    <w:uiPriority w:val="1"/>
    <w:unhideWhenUsed/>
    <w:rsid w:val="00B83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3A2"/>
  </w:style>
  <w:style w:type="character" w:customStyle="1" w:styleId="Heading1Char">
    <w:name w:val="Heading 1 Char"/>
    <w:basedOn w:val="DefaultParagraphFont"/>
    <w:link w:val="Heading1"/>
    <w:rsid w:val="00B833A2"/>
    <w:rPr>
      <w:rFonts w:ascii="Times New Roman" w:eastAsia="Times New Roman" w:hAnsi="Times New Roman" w:cs="Times New Roman"/>
      <w:b/>
      <w:sz w:val="32"/>
      <w:szCs w:val="20"/>
      <w:lang w:eastAsia="en-US"/>
    </w:rPr>
  </w:style>
  <w:style w:type="paragraph" w:styleId="BodyText">
    <w:name w:val="Body Text"/>
    <w:basedOn w:val="Normal"/>
    <w:link w:val="BodyTextChar"/>
    <w:rsid w:val="00B83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3A2"/>
    <w:rPr>
      <w:rFonts w:ascii="Times New Roman" w:eastAsia="Times New Roman" w:hAnsi="Times New Roman" w:cs="Times New Roman"/>
      <w:sz w:val="24"/>
      <w:lang w:val="en-US" w:eastAsia="en-US"/>
    </w:rPr>
  </w:style>
  <w:style w:type="paragraph" w:styleId="Footer">
    <w:name w:val="footer"/>
    <w:basedOn w:val="Normal"/>
    <w:link w:val="FooterChar"/>
    <w:rsid w:val="00B83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3A2"/>
    <w:rPr>
      <w:rFonts w:ascii="Times New Roman" w:eastAsia="Times New Roman" w:hAnsi="Times New Roman" w:cs="Times New Roman"/>
      <w:sz w:val="16"/>
      <w:lang w:val="en-US" w:eastAsia="en-US"/>
    </w:rPr>
  </w:style>
  <w:style w:type="paragraph" w:styleId="ListBullet">
    <w:name w:val="List Bullet"/>
    <w:basedOn w:val="List"/>
    <w:rsid w:val="00B833A2"/>
    <w:pPr>
      <w:numPr>
        <w:numId w:val="13"/>
      </w:numPr>
      <w:tabs>
        <w:tab w:val="clear" w:pos="340"/>
      </w:tabs>
      <w:spacing w:before="40" w:after="40"/>
    </w:pPr>
  </w:style>
  <w:style w:type="character" w:customStyle="1" w:styleId="SpecialBold">
    <w:name w:val="Special Bold"/>
    <w:basedOn w:val="DefaultParagraphFont"/>
    <w:rsid w:val="00B833A2"/>
    <w:rPr>
      <w:b/>
      <w:spacing w:val="0"/>
    </w:rPr>
  </w:style>
  <w:style w:type="paragraph" w:styleId="ListBullet2">
    <w:name w:val="List Bullet 2"/>
    <w:basedOn w:val="List2"/>
    <w:rsid w:val="00B833A2"/>
    <w:pPr>
      <w:numPr>
        <w:numId w:val="14"/>
      </w:numPr>
      <w:tabs>
        <w:tab w:val="clear" w:pos="680"/>
      </w:tabs>
    </w:pPr>
  </w:style>
  <w:style w:type="paragraph" w:styleId="Header">
    <w:name w:val="header"/>
    <w:basedOn w:val="Normal"/>
    <w:link w:val="HeaderChar"/>
    <w:rsid w:val="00B83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3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33A2"/>
    <w:pPr>
      <w:spacing w:before="240" w:after="120"/>
      <w:outlineLvl w:val="0"/>
    </w:pPr>
    <w:rPr>
      <w:rFonts w:ascii="Times New Roman" w:hAnsi="Times New Roman"/>
      <w:b/>
      <w:sz w:val="28"/>
    </w:rPr>
  </w:style>
  <w:style w:type="paragraph" w:customStyle="1" w:styleId="AllowPageBreak">
    <w:name w:val="AllowPageBreak"/>
    <w:rsid w:val="00B83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3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33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33A2"/>
    <w:rPr>
      <w:rFonts w:ascii="Courier New" w:eastAsia="Times New Roman" w:hAnsi="Courier New" w:cs="Times New Roman"/>
      <w:i/>
      <w:szCs w:val="20"/>
      <w:lang w:val="en-US" w:eastAsia="en-US"/>
    </w:rPr>
  </w:style>
  <w:style w:type="paragraph" w:customStyle="1" w:styleId="HeadingBase">
    <w:name w:val="Heading Base"/>
    <w:rsid w:val="00B83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3A2"/>
    <w:pPr>
      <w:tabs>
        <w:tab w:val="right" w:leader="dot" w:pos="9072"/>
      </w:tabs>
      <w:ind w:left="567"/>
    </w:pPr>
    <w:rPr>
      <w:szCs w:val="22"/>
    </w:rPr>
  </w:style>
  <w:style w:type="paragraph" w:customStyle="1" w:styleId="TOCBase">
    <w:name w:val="TOC Base"/>
    <w:rsid w:val="00B83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3A2"/>
    <w:pPr>
      <w:tabs>
        <w:tab w:val="right" w:leader="dot" w:pos="9072"/>
      </w:tabs>
      <w:spacing w:before="40" w:after="40"/>
      <w:ind w:left="284"/>
    </w:pPr>
    <w:rPr>
      <w:rFonts w:ascii="Times New Roman" w:hAnsi="Times New Roman"/>
    </w:rPr>
  </w:style>
  <w:style w:type="paragraph" w:styleId="TOC1">
    <w:name w:val="toc 1"/>
    <w:basedOn w:val="TOCBase"/>
    <w:next w:val="Normal"/>
    <w:rsid w:val="00B833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3A2"/>
    <w:pPr>
      <w:spacing w:before="5040"/>
      <w:jc w:val="center"/>
    </w:pPr>
    <w:rPr>
      <w:sz w:val="48"/>
      <w:szCs w:val="72"/>
      <w:lang w:val="en-US"/>
    </w:rPr>
  </w:style>
  <w:style w:type="character" w:customStyle="1" w:styleId="TitleChar">
    <w:name w:val="Title Char"/>
    <w:basedOn w:val="DefaultParagraphFont"/>
    <w:link w:val="Title"/>
    <w:rsid w:val="00B83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3A2"/>
    <w:pPr>
      <w:tabs>
        <w:tab w:val="left" w:pos="3600"/>
        <w:tab w:val="left" w:pos="3958"/>
      </w:tabs>
    </w:pPr>
  </w:style>
  <w:style w:type="paragraph" w:styleId="List">
    <w:name w:val="List"/>
    <w:basedOn w:val="BodyText"/>
    <w:next w:val="BodyText"/>
    <w:rsid w:val="00B833A2"/>
    <w:pPr>
      <w:tabs>
        <w:tab w:val="left" w:pos="340"/>
      </w:tabs>
      <w:spacing w:before="60" w:after="60"/>
      <w:ind w:left="340" w:hanging="340"/>
    </w:pPr>
  </w:style>
  <w:style w:type="paragraph" w:customStyle="1" w:styleId="Note">
    <w:name w:val="Note"/>
    <w:basedOn w:val="BodyText"/>
    <w:rsid w:val="00B83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3A2"/>
    <w:pPr>
      <w:framePr w:wrap="auto" w:hAnchor="text" w:y="6049"/>
    </w:pPr>
    <w:rPr>
      <w:color w:val="000000"/>
      <w:sz w:val="40"/>
    </w:rPr>
  </w:style>
  <w:style w:type="paragraph" w:customStyle="1" w:styleId="TOCTitle">
    <w:name w:val="TOCTitle"/>
    <w:basedOn w:val="Heading1"/>
    <w:rsid w:val="00B833A2"/>
    <w:pPr>
      <w:spacing w:after="240"/>
      <w:jc w:val="center"/>
      <w:outlineLvl w:val="9"/>
    </w:pPr>
    <w:rPr>
      <w:caps/>
    </w:rPr>
  </w:style>
  <w:style w:type="paragraph" w:customStyle="1" w:styleId="Version">
    <w:name w:val="Version"/>
    <w:rsid w:val="00B83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3A2"/>
    <w:pPr>
      <w:keepNext w:val="0"/>
      <w:tabs>
        <w:tab w:val="right" w:pos="4176"/>
      </w:tabs>
      <w:ind w:left="198" w:hanging="198"/>
    </w:pPr>
    <w:rPr>
      <w:rFonts w:ascii="Garamond" w:hAnsi="Garamond"/>
    </w:rPr>
  </w:style>
  <w:style w:type="paragraph" w:styleId="IndexHeading">
    <w:name w:val="index heading"/>
    <w:basedOn w:val="Normal"/>
    <w:next w:val="Index1"/>
    <w:semiHidden/>
    <w:rsid w:val="00B833A2"/>
    <w:pPr>
      <w:spacing w:before="120" w:after="120"/>
    </w:pPr>
    <w:rPr>
      <w:rFonts w:ascii="Arial" w:hAnsi="Arial"/>
      <w:b/>
      <w:color w:val="918585"/>
      <w:sz w:val="24"/>
    </w:rPr>
  </w:style>
  <w:style w:type="paragraph" w:customStyle="1" w:styleId="Chapter">
    <w:name w:val="Chapter"/>
    <w:basedOn w:val="Normal"/>
    <w:rsid w:val="00B833A2"/>
    <w:pPr>
      <w:spacing w:before="240"/>
    </w:pPr>
    <w:rPr>
      <w:rFonts w:ascii="Times New Roman" w:hAnsi="Times New Roman"/>
      <w:smallCaps/>
      <w:spacing w:val="80"/>
      <w:sz w:val="28"/>
    </w:rPr>
  </w:style>
  <w:style w:type="paragraph" w:customStyle="1" w:styleId="InChapter">
    <w:name w:val="InChapter"/>
    <w:basedOn w:val="Heading3"/>
    <w:rsid w:val="00B833A2"/>
    <w:pPr>
      <w:spacing w:after="240"/>
      <w:outlineLvl w:val="9"/>
    </w:pPr>
    <w:rPr>
      <w:noProof/>
    </w:rPr>
  </w:style>
  <w:style w:type="paragraph" w:styleId="Index2">
    <w:name w:val="index 2"/>
    <w:basedOn w:val="Normal"/>
    <w:next w:val="Normal"/>
    <w:semiHidden/>
    <w:rsid w:val="00B833A2"/>
    <w:pPr>
      <w:tabs>
        <w:tab w:val="right" w:pos="4176"/>
      </w:tabs>
      <w:ind w:left="568" w:hanging="284"/>
    </w:pPr>
    <w:rPr>
      <w:rFonts w:ascii="Garamond" w:hAnsi="Garamond"/>
    </w:rPr>
  </w:style>
  <w:style w:type="paragraph" w:customStyle="1" w:styleId="Byline">
    <w:name w:val="Byline"/>
    <w:rsid w:val="00B83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3A2"/>
    <w:pPr>
      <w:tabs>
        <w:tab w:val="clear" w:pos="3600"/>
        <w:tab w:val="clear" w:pos="3958"/>
      </w:tabs>
      <w:jc w:val="right"/>
    </w:pPr>
  </w:style>
  <w:style w:type="character" w:styleId="Emphasis">
    <w:name w:val="Emphasis"/>
    <w:basedOn w:val="DefaultParagraphFont"/>
    <w:qFormat/>
    <w:rsid w:val="00B833A2"/>
    <w:rPr>
      <w:i/>
    </w:rPr>
  </w:style>
  <w:style w:type="paragraph" w:styleId="Caption">
    <w:name w:val="caption"/>
    <w:basedOn w:val="BodyText"/>
    <w:next w:val="Normal"/>
    <w:qFormat/>
    <w:rsid w:val="00B833A2"/>
    <w:pPr>
      <w:framePr w:w="2268" w:hSpace="181" w:vSpace="181" w:wrap="around" w:vAnchor="text" w:hAnchor="page" w:x="1135" w:y="285" w:anchorLock="1"/>
    </w:pPr>
    <w:rPr>
      <w:i/>
    </w:rPr>
  </w:style>
  <w:style w:type="paragraph" w:customStyle="1" w:styleId="MiniTOCTitle">
    <w:name w:val="MiniTOCTitle"/>
    <w:basedOn w:val="Heading4"/>
    <w:rsid w:val="00B833A2"/>
    <w:pPr>
      <w:spacing w:before="240"/>
      <w:outlineLvl w:val="9"/>
    </w:pPr>
    <w:rPr>
      <w:noProof/>
      <w:sz w:val="24"/>
    </w:rPr>
  </w:style>
  <w:style w:type="paragraph" w:customStyle="1" w:styleId="MiniTOCItem">
    <w:name w:val="MiniTOCItem"/>
    <w:basedOn w:val="ListBullet"/>
    <w:rsid w:val="00B833A2"/>
    <w:pPr>
      <w:numPr>
        <w:numId w:val="0"/>
      </w:numPr>
      <w:tabs>
        <w:tab w:val="right" w:leader="dot" w:pos="6521"/>
      </w:tabs>
      <w:spacing w:before="0" w:after="0"/>
    </w:pPr>
  </w:style>
  <w:style w:type="paragraph" w:customStyle="1" w:styleId="TOFTitle">
    <w:name w:val="TOFTitle"/>
    <w:basedOn w:val="TOCTitle"/>
    <w:rsid w:val="00B833A2"/>
  </w:style>
  <w:style w:type="paragraph" w:styleId="TableofFigures">
    <w:name w:val="table of figures"/>
    <w:basedOn w:val="Normal"/>
    <w:next w:val="Normal"/>
    <w:semiHidden/>
    <w:rsid w:val="00B833A2"/>
    <w:pPr>
      <w:tabs>
        <w:tab w:val="right" w:leader="dot" w:pos="9072"/>
      </w:tabs>
      <w:ind w:left="970" w:hanging="403"/>
    </w:pPr>
    <w:rPr>
      <w:rFonts w:ascii="Times New Roman" w:hAnsi="Times New Roman"/>
      <w:b/>
    </w:rPr>
  </w:style>
  <w:style w:type="paragraph" w:styleId="ListNumber">
    <w:name w:val="List Number"/>
    <w:basedOn w:val="List"/>
    <w:rsid w:val="00B833A2"/>
    <w:pPr>
      <w:numPr>
        <w:numId w:val="11"/>
      </w:numPr>
    </w:pPr>
  </w:style>
  <w:style w:type="character" w:customStyle="1" w:styleId="WingdingSymbols">
    <w:name w:val="Wingding Symbols"/>
    <w:rsid w:val="00B833A2"/>
    <w:rPr>
      <w:rFonts w:ascii="Wingdings" w:hAnsi="Wingdings"/>
    </w:rPr>
  </w:style>
  <w:style w:type="paragraph" w:customStyle="1" w:styleId="TableHeading">
    <w:name w:val="Table Heading"/>
    <w:basedOn w:val="HeadingBase"/>
    <w:rsid w:val="00B833A2"/>
    <w:pPr>
      <w:keepLines/>
      <w:pBdr>
        <w:bottom w:val="single" w:sz="6" w:space="1" w:color="918585"/>
      </w:pBdr>
      <w:spacing w:before="240"/>
    </w:pPr>
  </w:style>
  <w:style w:type="character" w:customStyle="1" w:styleId="HotSpot">
    <w:name w:val="HotSpot"/>
    <w:rsid w:val="00B833A2"/>
    <w:rPr>
      <w:color w:val="0033CC"/>
      <w:u w:val="none"/>
    </w:rPr>
  </w:style>
  <w:style w:type="paragraph" w:customStyle="1" w:styleId="BodyTextRight">
    <w:name w:val="Body Text Right"/>
    <w:basedOn w:val="BodyText"/>
    <w:rsid w:val="00B833A2"/>
    <w:pPr>
      <w:spacing w:before="0" w:after="0"/>
      <w:jc w:val="right"/>
    </w:pPr>
  </w:style>
  <w:style w:type="paragraph" w:styleId="Index3">
    <w:name w:val="index 3"/>
    <w:basedOn w:val="ListNumber2"/>
    <w:next w:val="Normal"/>
    <w:semiHidden/>
    <w:rsid w:val="00B833A2"/>
    <w:pPr>
      <w:numPr>
        <w:numId w:val="0"/>
      </w:numPr>
      <w:tabs>
        <w:tab w:val="right" w:leader="dot" w:pos="4176"/>
      </w:tabs>
    </w:pPr>
  </w:style>
  <w:style w:type="paragraph" w:styleId="ListNumber2">
    <w:name w:val="List Number 2"/>
    <w:basedOn w:val="List2"/>
    <w:rsid w:val="00B833A2"/>
    <w:pPr>
      <w:numPr>
        <w:numId w:val="10"/>
      </w:numPr>
      <w:tabs>
        <w:tab w:val="clear" w:pos="1060"/>
      </w:tabs>
    </w:pPr>
  </w:style>
  <w:style w:type="paragraph" w:customStyle="1" w:styleId="MarginNote">
    <w:name w:val="Margin Note"/>
    <w:basedOn w:val="BodyText"/>
    <w:rsid w:val="00B83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3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33A2"/>
    <w:rPr>
      <w:sz w:val="32"/>
    </w:rPr>
  </w:style>
  <w:style w:type="paragraph" w:customStyle="1" w:styleId="HeadingProcedure">
    <w:name w:val="Heading Procedure"/>
    <w:basedOn w:val="HeadingBase"/>
    <w:next w:val="Normal"/>
    <w:rsid w:val="00B833A2"/>
    <w:pPr>
      <w:tabs>
        <w:tab w:val="left" w:pos="0"/>
      </w:tabs>
      <w:spacing w:before="120" w:after="60"/>
    </w:pPr>
    <w:rPr>
      <w:i/>
      <w:color w:val="918585"/>
      <w:sz w:val="22"/>
    </w:rPr>
  </w:style>
  <w:style w:type="paragraph" w:customStyle="1" w:styleId="TableBodyText">
    <w:name w:val="Table Body Text"/>
    <w:basedOn w:val="BodyText"/>
    <w:rsid w:val="00B833A2"/>
    <w:pPr>
      <w:spacing w:before="60" w:after="60"/>
    </w:pPr>
  </w:style>
  <w:style w:type="paragraph" w:styleId="ListContinue">
    <w:name w:val="List Continue"/>
    <w:basedOn w:val="List"/>
    <w:rsid w:val="00B833A2"/>
    <w:pPr>
      <w:ind w:firstLine="0"/>
    </w:pPr>
  </w:style>
  <w:style w:type="paragraph" w:customStyle="1" w:styleId="ListNote">
    <w:name w:val="List Note"/>
    <w:basedOn w:val="List"/>
    <w:rsid w:val="00B833A2"/>
    <w:pPr>
      <w:pBdr>
        <w:top w:val="single" w:sz="6" w:space="2" w:color="918585"/>
        <w:bottom w:val="single" w:sz="6" w:space="2" w:color="918585"/>
      </w:pBdr>
      <w:tabs>
        <w:tab w:val="left" w:pos="1021"/>
      </w:tabs>
      <w:ind w:firstLine="0"/>
    </w:pPr>
  </w:style>
  <w:style w:type="paragraph" w:customStyle="1" w:styleId="Warning">
    <w:name w:val="Warning"/>
    <w:basedOn w:val="BodyText"/>
    <w:rsid w:val="00B833A2"/>
    <w:pPr>
      <w:shd w:val="clear" w:color="auto" w:fill="D9D9D9"/>
      <w:tabs>
        <w:tab w:val="left" w:pos="992"/>
      </w:tabs>
      <w:ind w:left="119" w:right="119"/>
    </w:pPr>
    <w:rPr>
      <w:sz w:val="20"/>
    </w:rPr>
  </w:style>
  <w:style w:type="paragraph" w:customStyle="1" w:styleId="MarginIcons">
    <w:name w:val="Margin Icons"/>
    <w:basedOn w:val="BodyText"/>
    <w:rsid w:val="00B83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3A2"/>
    <w:rPr>
      <w:rFonts w:ascii="Courier New" w:hAnsi="Courier New"/>
    </w:rPr>
  </w:style>
  <w:style w:type="paragraph" w:customStyle="1" w:styleId="NoteBullet">
    <w:name w:val="Note Bullet"/>
    <w:basedOn w:val="Note"/>
    <w:rsid w:val="00B833A2"/>
    <w:pPr>
      <w:tabs>
        <w:tab w:val="clear" w:pos="680"/>
      </w:tabs>
      <w:spacing w:before="60" w:after="60"/>
    </w:pPr>
  </w:style>
  <w:style w:type="paragraph" w:customStyle="1" w:styleId="SubHeading2">
    <w:name w:val="SubHeading2"/>
    <w:basedOn w:val="HeadingBase"/>
    <w:rsid w:val="00B833A2"/>
    <w:pPr>
      <w:spacing w:before="240" w:after="60"/>
    </w:pPr>
    <w:rPr>
      <w:sz w:val="20"/>
    </w:rPr>
  </w:style>
  <w:style w:type="paragraph" w:customStyle="1" w:styleId="SubHeading1">
    <w:name w:val="SubHeading1"/>
    <w:basedOn w:val="HeadingBase"/>
    <w:rsid w:val="00B833A2"/>
    <w:pPr>
      <w:spacing w:before="240" w:after="60"/>
    </w:pPr>
    <w:rPr>
      <w:color w:val="918585"/>
      <w:sz w:val="22"/>
    </w:rPr>
  </w:style>
  <w:style w:type="paragraph" w:customStyle="1" w:styleId="SideHeading">
    <w:name w:val="Side Heading"/>
    <w:basedOn w:val="HeadingBase"/>
    <w:rsid w:val="00B83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3A2"/>
    <w:pPr>
      <w:numPr>
        <w:numId w:val="12"/>
      </w:numPr>
    </w:pPr>
  </w:style>
  <w:style w:type="paragraph" w:styleId="PlainText">
    <w:name w:val="Plain Text"/>
    <w:basedOn w:val="Normal"/>
    <w:link w:val="PlainTextChar"/>
    <w:rsid w:val="00B833A2"/>
    <w:rPr>
      <w:sz w:val="20"/>
    </w:rPr>
  </w:style>
  <w:style w:type="character" w:customStyle="1" w:styleId="PlainTextChar">
    <w:name w:val="Plain Text Char"/>
    <w:basedOn w:val="DefaultParagraphFont"/>
    <w:link w:val="PlainText"/>
    <w:rsid w:val="00B833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33A2"/>
    <w:rPr>
      <w:b/>
      <w:smallCaps/>
    </w:rPr>
  </w:style>
  <w:style w:type="paragraph" w:customStyle="1" w:styleId="TableListNumber">
    <w:name w:val="Table List Number"/>
    <w:basedOn w:val="ListNumber"/>
    <w:rsid w:val="00B833A2"/>
    <w:pPr>
      <w:numPr>
        <w:numId w:val="0"/>
      </w:numPr>
    </w:pPr>
  </w:style>
  <w:style w:type="paragraph" w:styleId="TOC4">
    <w:name w:val="toc 4"/>
    <w:basedOn w:val="TOCBase"/>
    <w:next w:val="Normal"/>
    <w:semiHidden/>
    <w:rsid w:val="00B833A2"/>
    <w:pPr>
      <w:tabs>
        <w:tab w:val="right" w:leader="dot" w:pos="9071"/>
      </w:tabs>
      <w:ind w:left="1701"/>
    </w:pPr>
  </w:style>
  <w:style w:type="paragraph" w:customStyle="1" w:styleId="ListAlpha">
    <w:name w:val="List Alpha"/>
    <w:basedOn w:val="List"/>
    <w:rsid w:val="00B833A2"/>
    <w:pPr>
      <w:numPr>
        <w:numId w:val="9"/>
      </w:numPr>
    </w:pPr>
  </w:style>
  <w:style w:type="paragraph" w:customStyle="1" w:styleId="ListAlpha2">
    <w:name w:val="List Alpha 2"/>
    <w:basedOn w:val="List2"/>
    <w:rsid w:val="00B833A2"/>
    <w:pPr>
      <w:numPr>
        <w:numId w:val="8"/>
      </w:numPr>
    </w:pPr>
  </w:style>
  <w:style w:type="paragraph" w:styleId="List2">
    <w:name w:val="List 2"/>
    <w:basedOn w:val="BodyText"/>
    <w:rsid w:val="00B833A2"/>
    <w:pPr>
      <w:tabs>
        <w:tab w:val="left" w:pos="680"/>
      </w:tabs>
      <w:spacing w:before="60" w:after="60"/>
      <w:ind w:left="680" w:hanging="340"/>
    </w:pPr>
  </w:style>
  <w:style w:type="paragraph" w:styleId="List3">
    <w:name w:val="List 3"/>
    <w:basedOn w:val="BodyText"/>
    <w:rsid w:val="00B833A2"/>
    <w:pPr>
      <w:tabs>
        <w:tab w:val="left" w:pos="1021"/>
      </w:tabs>
      <w:spacing w:before="60" w:after="60"/>
      <w:ind w:left="1020" w:hanging="340"/>
    </w:pPr>
  </w:style>
  <w:style w:type="paragraph" w:styleId="List4">
    <w:name w:val="List 4"/>
    <w:basedOn w:val="BodyText"/>
    <w:rsid w:val="00B833A2"/>
    <w:pPr>
      <w:tabs>
        <w:tab w:val="left" w:pos="1361"/>
      </w:tabs>
      <w:spacing w:before="60" w:after="60"/>
      <w:ind w:left="1361" w:hanging="340"/>
    </w:pPr>
  </w:style>
  <w:style w:type="paragraph" w:styleId="List5">
    <w:name w:val="List 5"/>
    <w:basedOn w:val="BodyText"/>
    <w:rsid w:val="00B833A2"/>
    <w:pPr>
      <w:tabs>
        <w:tab w:val="left" w:pos="1701"/>
      </w:tabs>
      <w:spacing w:before="60" w:after="60"/>
      <w:ind w:left="1701" w:hanging="340"/>
    </w:pPr>
  </w:style>
  <w:style w:type="paragraph" w:styleId="ListBullet3">
    <w:name w:val="List Bullet 3"/>
    <w:basedOn w:val="List3"/>
    <w:rsid w:val="00B833A2"/>
    <w:pPr>
      <w:numPr>
        <w:numId w:val="15"/>
      </w:numPr>
      <w:tabs>
        <w:tab w:val="clear" w:pos="1021"/>
      </w:tabs>
      <w:ind w:left="1037" w:hanging="357"/>
    </w:pPr>
  </w:style>
  <w:style w:type="paragraph" w:styleId="ListBullet4">
    <w:name w:val="List Bullet 4"/>
    <w:basedOn w:val="List4"/>
    <w:rsid w:val="00B833A2"/>
    <w:pPr>
      <w:numPr>
        <w:numId w:val="3"/>
      </w:numPr>
    </w:pPr>
  </w:style>
  <w:style w:type="paragraph" w:styleId="ListBullet5">
    <w:name w:val="List Bullet 5"/>
    <w:basedOn w:val="List5"/>
    <w:rsid w:val="00B833A2"/>
    <w:pPr>
      <w:numPr>
        <w:numId w:val="4"/>
      </w:numPr>
    </w:pPr>
  </w:style>
  <w:style w:type="paragraph" w:styleId="ListContinue2">
    <w:name w:val="List Continue 2"/>
    <w:basedOn w:val="List2"/>
    <w:rsid w:val="00B833A2"/>
    <w:pPr>
      <w:ind w:firstLine="0"/>
    </w:pPr>
  </w:style>
  <w:style w:type="paragraph" w:styleId="ListContinue3">
    <w:name w:val="List Continue 3"/>
    <w:basedOn w:val="List3"/>
    <w:rsid w:val="00B833A2"/>
    <w:pPr>
      <w:ind w:left="1021" w:firstLine="0"/>
    </w:pPr>
  </w:style>
  <w:style w:type="paragraph" w:styleId="ListContinue4">
    <w:name w:val="List Continue 4"/>
    <w:basedOn w:val="List4"/>
    <w:rsid w:val="00B833A2"/>
    <w:pPr>
      <w:ind w:firstLine="0"/>
    </w:pPr>
  </w:style>
  <w:style w:type="paragraph" w:styleId="ListContinue5">
    <w:name w:val="List Continue 5"/>
    <w:basedOn w:val="List5"/>
    <w:rsid w:val="00B833A2"/>
    <w:pPr>
      <w:ind w:firstLine="0"/>
    </w:pPr>
  </w:style>
  <w:style w:type="paragraph" w:styleId="ListNumber3">
    <w:name w:val="List Number 3"/>
    <w:basedOn w:val="List3"/>
    <w:rsid w:val="00B833A2"/>
    <w:pPr>
      <w:numPr>
        <w:numId w:val="5"/>
      </w:numPr>
    </w:pPr>
  </w:style>
  <w:style w:type="paragraph" w:styleId="ListNumber4">
    <w:name w:val="List Number 4"/>
    <w:basedOn w:val="List4"/>
    <w:rsid w:val="00B833A2"/>
    <w:pPr>
      <w:numPr>
        <w:numId w:val="6"/>
      </w:numPr>
    </w:pPr>
  </w:style>
  <w:style w:type="paragraph" w:styleId="ListNumber5">
    <w:name w:val="List Number 5"/>
    <w:basedOn w:val="List5"/>
    <w:rsid w:val="00B833A2"/>
    <w:pPr>
      <w:numPr>
        <w:numId w:val="7"/>
      </w:numPr>
    </w:pPr>
  </w:style>
  <w:style w:type="paragraph" w:styleId="BlockText">
    <w:name w:val="Block Text"/>
    <w:basedOn w:val="Normal"/>
    <w:rsid w:val="00B833A2"/>
    <w:pPr>
      <w:spacing w:after="120"/>
      <w:ind w:left="1440" w:right="1440"/>
    </w:pPr>
  </w:style>
  <w:style w:type="character" w:customStyle="1" w:styleId="Subscript">
    <w:name w:val="Subscript"/>
    <w:basedOn w:val="DefaultParagraphFont"/>
    <w:rsid w:val="00B833A2"/>
    <w:rPr>
      <w:sz w:val="16"/>
      <w:vertAlign w:val="subscript"/>
    </w:rPr>
  </w:style>
  <w:style w:type="character" w:customStyle="1" w:styleId="Superscript">
    <w:name w:val="Superscript"/>
    <w:basedOn w:val="DefaultParagraphFont"/>
    <w:rsid w:val="00B833A2"/>
    <w:rPr>
      <w:sz w:val="16"/>
      <w:vertAlign w:val="superscript"/>
    </w:rPr>
  </w:style>
  <w:style w:type="character" w:customStyle="1" w:styleId="Symbols">
    <w:name w:val="Symbols"/>
    <w:basedOn w:val="DefaultParagraphFont"/>
    <w:rsid w:val="00B833A2"/>
    <w:rPr>
      <w:rFonts w:ascii="Symbol" w:hAnsi="Symbol"/>
    </w:rPr>
  </w:style>
  <w:style w:type="character" w:customStyle="1" w:styleId="MenuOptions">
    <w:name w:val="Menu Options"/>
    <w:basedOn w:val="DefaultParagraphFont"/>
    <w:rsid w:val="00B833A2"/>
    <w:rPr>
      <w:rFonts w:ascii="Arial Narrow" w:hAnsi="Arial Narrow"/>
      <w:smallCaps/>
    </w:rPr>
  </w:style>
  <w:style w:type="character" w:customStyle="1" w:styleId="Buttons">
    <w:name w:val="Buttons"/>
    <w:basedOn w:val="DefaultParagraphFont"/>
    <w:rsid w:val="00B833A2"/>
    <w:rPr>
      <w:b/>
    </w:rPr>
  </w:style>
  <w:style w:type="character" w:customStyle="1" w:styleId="Underlined">
    <w:name w:val="Underlined"/>
    <w:basedOn w:val="DefaultParagraphFont"/>
    <w:rsid w:val="00B833A2"/>
    <w:rPr>
      <w:u w:val="single"/>
    </w:rPr>
  </w:style>
  <w:style w:type="paragraph" w:customStyle="1" w:styleId="TableBodyTextRight">
    <w:name w:val="Table Body Text Right"/>
    <w:basedOn w:val="TableBodyText"/>
    <w:rsid w:val="00B833A2"/>
    <w:pPr>
      <w:widowControl w:val="0"/>
      <w:autoSpaceDE w:val="0"/>
      <w:autoSpaceDN w:val="0"/>
      <w:adjustRightInd w:val="0"/>
      <w:jc w:val="right"/>
    </w:pPr>
    <w:rPr>
      <w:rFonts w:cs="Arial"/>
      <w:szCs w:val="18"/>
    </w:rPr>
  </w:style>
  <w:style w:type="paragraph" w:customStyle="1" w:styleId="CopyrightText">
    <w:name w:val="Copyright Text"/>
    <w:basedOn w:val="BodyText"/>
    <w:rsid w:val="00B833A2"/>
    <w:rPr>
      <w:sz w:val="18"/>
    </w:rPr>
  </w:style>
  <w:style w:type="paragraph" w:customStyle="1" w:styleId="BodySmallRight">
    <w:name w:val="Body Small Right"/>
    <w:basedOn w:val="BodyTextRight"/>
    <w:rsid w:val="00B833A2"/>
    <w:rPr>
      <w:sz w:val="18"/>
      <w:szCs w:val="18"/>
    </w:rPr>
  </w:style>
  <w:style w:type="paragraph" w:customStyle="1" w:styleId="MarginEdition">
    <w:name w:val="Margin Edition"/>
    <w:basedOn w:val="MarginNote"/>
    <w:rsid w:val="00B833A2"/>
    <w:pPr>
      <w:spacing w:before="0" w:after="0"/>
    </w:pPr>
    <w:rPr>
      <w:rFonts w:ascii="Times New Roman" w:hAnsi="Times New Roman"/>
      <w:color w:val="999999"/>
    </w:rPr>
  </w:style>
  <w:style w:type="paragraph" w:customStyle="1" w:styleId="Spacer">
    <w:name w:val="Spacer"/>
    <w:basedOn w:val="Normal"/>
    <w:rsid w:val="00B833A2"/>
    <w:rPr>
      <w:sz w:val="2"/>
      <w:szCs w:val="2"/>
    </w:rPr>
  </w:style>
  <w:style w:type="character" w:customStyle="1" w:styleId="Small">
    <w:name w:val="Small"/>
    <w:basedOn w:val="DefaultParagraphFont"/>
    <w:rsid w:val="00B833A2"/>
    <w:rPr>
      <w:sz w:val="16"/>
    </w:rPr>
  </w:style>
  <w:style w:type="paragraph" w:customStyle="1" w:styleId="WideTable">
    <w:name w:val="Wide Table"/>
    <w:basedOn w:val="Normal"/>
    <w:rsid w:val="00B833A2"/>
    <w:pPr>
      <w:ind w:left="-1418"/>
    </w:pPr>
    <w:rPr>
      <w:sz w:val="2"/>
      <w:szCs w:val="2"/>
    </w:rPr>
  </w:style>
  <w:style w:type="character" w:styleId="PageNumber">
    <w:name w:val="page number"/>
    <w:basedOn w:val="DefaultParagraphFont"/>
    <w:rsid w:val="00B833A2"/>
  </w:style>
  <w:style w:type="paragraph" w:styleId="Quote">
    <w:name w:val="Quote"/>
    <w:basedOn w:val="Heading1"/>
    <w:link w:val="QuoteChar"/>
    <w:qFormat/>
    <w:rsid w:val="00B833A2"/>
    <w:rPr>
      <w:b w:val="0"/>
      <w:sz w:val="72"/>
      <w:szCs w:val="72"/>
      <w:lang w:val="en-NZ"/>
    </w:rPr>
  </w:style>
  <w:style w:type="character" w:customStyle="1" w:styleId="QuoteChar">
    <w:name w:val="Quote Char"/>
    <w:basedOn w:val="DefaultParagraphFont"/>
    <w:link w:val="Quote"/>
    <w:rsid w:val="00B83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3A2"/>
    <w:pPr>
      <w:pageBreakBefore/>
    </w:pPr>
  </w:style>
  <w:style w:type="paragraph" w:customStyle="1" w:styleId="Border">
    <w:name w:val="Border"/>
    <w:basedOn w:val="Normal"/>
    <w:qFormat/>
    <w:rsid w:val="00B83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3A2"/>
    <w:rPr>
      <w:b/>
      <w:bCs/>
      <w:i/>
      <w:iCs/>
      <w:color w:val="auto"/>
    </w:rPr>
  </w:style>
  <w:style w:type="paragraph" w:styleId="IntenseQuote">
    <w:name w:val="Intense Quote"/>
    <w:basedOn w:val="Normal"/>
    <w:next w:val="Normal"/>
    <w:link w:val="IntenseQuoteChar"/>
    <w:uiPriority w:val="30"/>
    <w:qFormat/>
    <w:rsid w:val="00B83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3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33A2"/>
    <w:rPr>
      <w:smallCaps/>
      <w:color w:val="auto"/>
      <w:u w:val="single"/>
    </w:rPr>
  </w:style>
  <w:style w:type="character" w:styleId="IntenseReference">
    <w:name w:val="Intense Reference"/>
    <w:basedOn w:val="DefaultParagraphFont"/>
    <w:uiPriority w:val="32"/>
    <w:qFormat/>
    <w:rsid w:val="00B833A2"/>
    <w:rPr>
      <w:b/>
      <w:bCs/>
      <w:smallCaps/>
      <w:color w:val="auto"/>
      <w:spacing w:val="5"/>
      <w:u w:val="single"/>
    </w:rPr>
  </w:style>
  <w:style w:type="paragraph" w:customStyle="1" w:styleId="2ColumnHeading">
    <w:name w:val="2Column Heading"/>
    <w:basedOn w:val="BodyText"/>
    <w:qFormat/>
    <w:rsid w:val="00B833A2"/>
    <w:pPr>
      <w:spacing w:after="60"/>
      <w:ind w:left="-2268"/>
    </w:pPr>
    <w:rPr>
      <w:b/>
    </w:rPr>
  </w:style>
  <w:style w:type="paragraph" w:customStyle="1" w:styleId="Heading1TOC">
    <w:name w:val="Heading1 TOC"/>
    <w:basedOn w:val="Normal"/>
    <w:qFormat/>
    <w:rsid w:val="00B833A2"/>
    <w:pPr>
      <w:spacing w:before="240" w:after="120"/>
    </w:pPr>
    <w:rPr>
      <w:rFonts w:ascii="Times New Roman" w:hAnsi="Times New Roman"/>
      <w:b/>
      <w:sz w:val="32"/>
    </w:rPr>
  </w:style>
  <w:style w:type="paragraph" w:customStyle="1" w:styleId="Heading2TOC">
    <w:name w:val="Heading2 TOC"/>
    <w:basedOn w:val="Normal"/>
    <w:qFormat/>
    <w:rsid w:val="00B833A2"/>
    <w:pPr>
      <w:spacing w:before="240" w:after="60"/>
    </w:pPr>
    <w:rPr>
      <w:rFonts w:ascii="Times New Roman" w:hAnsi="Times New Roman"/>
      <w:b/>
      <w:sz w:val="28"/>
    </w:rPr>
  </w:style>
  <w:style w:type="character" w:customStyle="1" w:styleId="Underline">
    <w:name w:val="Underline"/>
    <w:basedOn w:val="DefaultParagraphFont"/>
    <w:qFormat/>
    <w:rsid w:val="00B833A2"/>
    <w:rPr>
      <w:u w:val="single"/>
    </w:rPr>
  </w:style>
  <w:style w:type="character" w:customStyle="1" w:styleId="BoldandItalics">
    <w:name w:val="Bold and Italics"/>
    <w:qFormat/>
    <w:rsid w:val="00B833A2"/>
    <w:rPr>
      <w:b/>
      <w:i/>
      <w:u w:val="none"/>
    </w:rPr>
  </w:style>
  <w:style w:type="paragraph" w:styleId="BalloonText">
    <w:name w:val="Balloon Text"/>
    <w:basedOn w:val="Normal"/>
    <w:link w:val="BalloonTextChar"/>
    <w:rsid w:val="00B833A2"/>
    <w:rPr>
      <w:rFonts w:ascii="Tahoma" w:hAnsi="Tahoma" w:cs="Tahoma"/>
      <w:sz w:val="16"/>
      <w:szCs w:val="16"/>
    </w:rPr>
  </w:style>
  <w:style w:type="character" w:customStyle="1" w:styleId="BalloonTextChar">
    <w:name w:val="Balloon Text Char"/>
    <w:basedOn w:val="DefaultParagraphFont"/>
    <w:link w:val="BalloonText"/>
    <w:rsid w:val="00B833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3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3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1985</Words>
  <Characters>11755</Characters>
  <Application>Microsoft Office Word</Application>
  <DocSecurity>0</DocSecurity>
  <Lines>456</Lines>
  <Paragraphs>167</Paragraphs>
  <ScaleCrop>false</ScaleCrop>
  <Company>Author-it Software Corporation Ltd.</Company>
  <LinksUpToDate>false</LinksUpToDate>
  <CharactersWithSpaces>13601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UEENEEK037B Install and set up micro-hydro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2012-05-26T11:44:00Z</dcterms:created>
  <dcterms:modified xsi:type="dcterms:W3CDTF">2012-05-26T11:44:00Z</dcterms:modified>
</cp:coreProperties>
</file>