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FAD" w:rsidP="00B44FAD">
      <w:pPr>
        <w:pStyle w:val="Title"/>
      </w:pPr>
      <w:r>
        <w:fldChar w:fldCharType="begin"/>
      </w:r>
      <w:r>
        <w:instrText xml:space="preserve"> TITLE   \* MERGEFORMAT </w:instrText>
      </w:r>
      <w:r>
        <w:fldChar w:fldCharType="separate"/>
      </w:r>
      <w:r>
        <w:t>UEENEEJ191A Select residential air conditioning system equipment, components and accessories</w:t>
      </w:r>
      <w:r>
        <w:fldChar w:fldCharType="end"/>
      </w:r>
    </w:p>
    <w:p w:rsidR="00B44FAD" w:rsidP="00B44FAD">
      <w:pPr>
        <w:pStyle w:val="Version"/>
        <w:sectPr w:rsidSect="002F3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F3AAF" w:rsidP="002F3AAF">
      <w:pPr>
        <w:pStyle w:val="SuperHeading"/>
      </w:pPr>
      <w:r w:rsidRPr="002F3AAF">
        <w:t>UEENEEJ191A Select residential air conditioning system equipment, components and accessories</w:t>
      </w:r>
    </w:p>
    <w:p w:rsidR="00000000" w:rsidRPr="002F3AAF" w:rsidP="002F3AAF">
      <w:pPr>
        <w:pStyle w:val="Heading1"/>
      </w:pPr>
      <w:bookmarkStart w:id="1" w:name="O_710466"/>
      <w:bookmarkEnd w:id="1"/>
      <w:r w:rsidRPr="002F3AAF">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B44FA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Points</w:t>
            </w:r>
          </w:p>
        </w:tc>
      </w:tr>
      <w:tr w:rsidTr="00B44FA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AAF">
            <w:pPr>
              <w:pStyle w:val="BodyText"/>
              <w:rPr>
                <w:lang w:val="en-NZ"/>
              </w:rPr>
            </w:pPr>
            <w:r w:rsidRPr="002F3AAF">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AAF" w:rsidP="002F3AAF">
            <w:pPr>
              <w:pStyle w:val="BodyText"/>
            </w:pPr>
            <w:r w:rsidRPr="002F3AAF">
              <w:t>Update pre-requisite</w:t>
            </w:r>
          </w:p>
          <w:p w:rsidR="00000000" w:rsidP="002F3AAF">
            <w:pPr>
              <w:pStyle w:val="BodyText"/>
              <w:rPr>
                <w:lang w:val="en-NZ"/>
              </w:rPr>
            </w:pPr>
            <w:r w:rsidRPr="002F3AAF">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AAF" w:rsidP="002F3AAF">
            <w:pPr>
              <w:pStyle w:val="BodyText"/>
            </w:pPr>
          </w:p>
        </w:tc>
      </w:tr>
    </w:tbl>
    <w:p w:rsidR="00000000" w:rsidRPr="002F3AAF" w:rsidP="002F3AAF">
      <w:pPr>
        <w:pStyle w:val="BodyText"/>
      </w:pPr>
    </w:p>
    <w:p w:rsidR="00000000" w:rsidRPr="002F3AAF" w:rsidP="002F3AAF">
      <w:pPr>
        <w:pStyle w:val="AllowPageBreak"/>
      </w:pPr>
    </w:p>
    <w:p w:rsidR="00000000" w:rsidRPr="002F3AAF" w:rsidP="002F3AAF">
      <w:pPr>
        <w:pStyle w:val="Heading1"/>
      </w:pPr>
      <w:bookmarkStart w:id="2" w:name="O_710465"/>
      <w:bookmarkEnd w:id="2"/>
      <w:r w:rsidRPr="002F3AAF">
        <w:t>Unit Descriptor</w:t>
      </w:r>
    </w:p>
    <w:tbl>
      <w:tblPr>
        <w:tblW w:w="0" w:type="auto"/>
        <w:tblLayout w:type="fixed"/>
        <w:tblCellMar>
          <w:left w:w="62" w:type="dxa"/>
          <w:right w:w="62" w:type="dxa"/>
        </w:tblCellMar>
        <w:tblLook w:val="0000"/>
      </w:tblPr>
      <w:tblGrid>
        <w:gridCol w:w="2700"/>
        <w:gridCol w:w="5760"/>
      </w:tblGrid>
      <w:tr w:rsidTr="00B44F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1</w:t>
            </w:r>
            <w:r w:rsidRPr="002F3AAF">
              <w:t xml:space="preserve">) </w:t>
            </w:r>
          </w:p>
          <w:p w:rsidR="00000000" w:rsidP="002F3AAF">
            <w:pPr>
              <w:pStyle w:val="BodyText"/>
              <w:rPr>
                <w:lang w:val="en-NZ"/>
              </w:rPr>
            </w:pPr>
            <w:r w:rsidRPr="002F3AAF">
              <w:rPr>
                <w:rStyle w:val="SpecialBold"/>
              </w:rPr>
              <w:t>1</w:t>
            </w:r>
            <w:r w:rsidRPr="002F3AAF">
              <w:t>.</w:t>
            </w:r>
            <w:r w:rsidRPr="002F3AAF">
              <w:rPr>
                <w:rStyle w:val="SpecialBold"/>
              </w:rPr>
              <w:t>1</w:t>
            </w:r>
            <w:r w:rsidRPr="002F3AAF">
              <w:t xml:space="preserve">) </w:t>
            </w:r>
            <w:r w:rsidRPr="002F3AAF">
              <w:rPr>
                <w:rStyle w:val="SpecialBold"/>
              </w:rPr>
              <w:t>Descriptor</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 xml:space="preserve">Scope </w:t>
            </w:r>
          </w:p>
          <w:p w:rsidR="00000000" w:rsidRPr="002F3AAF" w:rsidP="002F3AAF">
            <w:pPr>
              <w:pStyle w:val="BodyText"/>
            </w:pPr>
            <w:r w:rsidRPr="002F3AAF">
              <w:t>This unit covers the selection residential air conditioning equipment, pipe work, air distribution components and controls. It encompasses the selection of the unitary air conditioning equipment and components, system controls, refrigerant and condensate p</w:t>
            </w:r>
            <w:r w:rsidRPr="002F3AAF">
              <w:t>ipe work based on specifications, standards and manufacturer catalogues to determine calculated and deemed-to comply solutions and documenting all selection information. It also includes the selection and layout of the air distribution system and component</w:t>
            </w:r>
            <w:r w:rsidRPr="002F3AAF">
              <w:t>s.</w:t>
            </w:r>
          </w:p>
          <w:p w:rsidR="00000000" w:rsidRPr="002F3AAF" w:rsidP="002F3AAF">
            <w:pPr>
              <w:pStyle w:val="BodyText"/>
            </w:pPr>
            <w:r w:rsidRPr="002F3AAF">
              <w:t>Note: Residential air conditioning applications are those covered under the Building Code of Australia - Class 1A Residential Buildings.</w:t>
            </w:r>
          </w:p>
        </w:tc>
      </w:tr>
    </w:tbl>
    <w:p w:rsidR="00B44FAD" w:rsidP="002F3AAF">
      <w:pPr>
        <w:pStyle w:val="BodyText"/>
      </w:pPr>
    </w:p>
    <w:p w:rsidR="00B44FAD" w:rsidP="002F3AAF">
      <w:pPr>
        <w:pStyle w:val="BodyText"/>
      </w:pPr>
    </w:p>
    <w:p w:rsidR="00000000" w:rsidRPr="002F3AAF" w:rsidP="002F3AAF">
      <w:pPr>
        <w:pStyle w:val="Heading1"/>
      </w:pPr>
      <w:bookmarkStart w:id="3" w:name="O_710464"/>
      <w:bookmarkEnd w:id="3"/>
      <w:r w:rsidRPr="002F3AAF">
        <w:t>Application of the Unit</w:t>
      </w:r>
    </w:p>
    <w:tbl>
      <w:tblPr>
        <w:tblW w:w="0" w:type="auto"/>
        <w:tblLayout w:type="fixed"/>
        <w:tblCellMar>
          <w:left w:w="62" w:type="dxa"/>
          <w:right w:w="62" w:type="dxa"/>
        </w:tblCellMar>
        <w:tblLook w:val="0000"/>
      </w:tblPr>
      <w:tblGrid>
        <w:gridCol w:w="2700"/>
        <w:gridCol w:w="5760"/>
      </w:tblGrid>
      <w:tr w:rsidTr="00B44F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4</w:t>
            </w:r>
            <w:r w:rsidRPr="002F3AAF">
              <w:t>)</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This unit is in</w:t>
            </w:r>
            <w:r w:rsidRPr="002F3AAF">
              <w:t xml:space="preserve">tended as an additional competency to relevant competencies previously acquired. It is suitable for employment-based programs under an approved </w:t>
            </w:r>
            <w:r w:rsidRPr="002F3AAF">
              <w:t>contract of training or institutional based delivery at the aligned AQF 4 level.</w:t>
            </w:r>
          </w:p>
        </w:tc>
      </w:tr>
    </w:tbl>
    <w:p w:rsidR="00B44FAD" w:rsidP="002F3AAF">
      <w:pPr>
        <w:pStyle w:val="BodyText"/>
      </w:pPr>
    </w:p>
    <w:p w:rsidR="00B44FAD" w:rsidP="002F3AAF">
      <w:pPr>
        <w:pStyle w:val="BodyText"/>
      </w:pPr>
    </w:p>
    <w:p w:rsidR="00000000" w:rsidRPr="002F3AAF" w:rsidP="002F3AAF">
      <w:pPr>
        <w:pStyle w:val="Heading1"/>
      </w:pPr>
      <w:bookmarkStart w:id="4" w:name="O_710463"/>
      <w:bookmarkEnd w:id="4"/>
      <w:r w:rsidRPr="002F3AAF">
        <w:t>Licensing/R</w:t>
      </w:r>
      <w:r w:rsidRPr="002F3AAF">
        <w:t>egulatory Information</w:t>
      </w:r>
    </w:p>
    <w:tbl>
      <w:tblPr>
        <w:tblW w:w="0" w:type="auto"/>
        <w:tblLayout w:type="fixed"/>
        <w:tblCellMar>
          <w:left w:w="62" w:type="dxa"/>
          <w:right w:w="62" w:type="dxa"/>
        </w:tblCellMar>
        <w:tblLook w:val="0000"/>
      </w:tblPr>
      <w:tblGrid>
        <w:gridCol w:w="8460"/>
      </w:tblGrid>
      <w:tr w:rsidTr="00B44F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1</w:t>
            </w:r>
            <w:r w:rsidRPr="002F3AAF">
              <w:t>.</w:t>
            </w:r>
            <w:r w:rsidRPr="002F3AAF">
              <w:rPr>
                <w:rStyle w:val="SpecialBold"/>
              </w:rPr>
              <w:t>2</w:t>
            </w:r>
            <w:r w:rsidRPr="002F3AAF">
              <w:t xml:space="preserve">) </w:t>
            </w:r>
            <w:r w:rsidRPr="002F3AAF">
              <w:rPr>
                <w:rStyle w:val="SpecialBold"/>
              </w:rPr>
              <w:t>License to practice</w:t>
            </w:r>
          </w:p>
        </w:tc>
      </w:tr>
      <w:tr w:rsidTr="00B44F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The skills and knowledge described in this unit do not require a license to practice in the workplace. However, practice in this unit is subject to regulations directly related to occupational health and safe</w:t>
            </w:r>
            <w:r w:rsidRPr="002F3AAF">
              <w:t>ty and where applicable contracts of training such as apprenticeships.</w:t>
            </w:r>
          </w:p>
          <w:p w:rsidR="00000000" w:rsidRPr="002F3AAF" w:rsidP="002F3AAF">
            <w:pPr>
              <w:pStyle w:val="BodyText"/>
            </w:pPr>
            <w:r w:rsidRPr="002F3AAF">
              <w:t xml:space="preserve">Note: </w:t>
            </w:r>
            <w:r w:rsidRPr="002F3AAF">
              <w:br/>
              <w:t>1. Compliance with permits may be required in various jurisdictions and typically relates to the operation of plant, machinery and equipment such as elevating work platforms, pow</w:t>
            </w:r>
            <w:r w:rsidRPr="002F3AAF">
              <w:t>der operated fixing tools, power operated tools, vehicles, road signage and traffic control, lifting equipment. Permits may also be required for some work environments such as confined spaces, working aloft, near live electrical apparatus and site rehabili</w:t>
            </w:r>
            <w:r w:rsidRPr="002F3AAF">
              <w:t>tation.</w:t>
            </w:r>
            <w:r w:rsidRPr="002F3AAF">
              <w:br/>
              <w:t>2. Compliance may be required in various jurisdictions relating to currency in First Aid, confined space, lifting and risk safety measures.</w:t>
            </w:r>
          </w:p>
        </w:tc>
      </w:tr>
    </w:tbl>
    <w:p w:rsidR="00B44FAD" w:rsidP="002F3AAF">
      <w:pPr>
        <w:pStyle w:val="BodyText"/>
      </w:pPr>
    </w:p>
    <w:p w:rsidR="00B44FAD" w:rsidP="002F3AAF">
      <w:pPr>
        <w:pStyle w:val="BodyText"/>
      </w:pPr>
    </w:p>
    <w:p w:rsidR="00000000" w:rsidRPr="002F3AAF" w:rsidP="002F3AAF">
      <w:pPr>
        <w:pStyle w:val="Heading1"/>
      </w:pPr>
      <w:bookmarkStart w:id="5" w:name="O_710462"/>
      <w:bookmarkEnd w:id="5"/>
      <w:r w:rsidRPr="002F3AAF">
        <w:t>Pre-Requisites</w:t>
      </w:r>
    </w:p>
    <w:tbl>
      <w:tblPr>
        <w:tblW w:w="0" w:type="auto"/>
        <w:tblLayout w:type="fixed"/>
        <w:tblCellMar>
          <w:left w:w="62" w:type="dxa"/>
          <w:right w:w="62" w:type="dxa"/>
        </w:tblCellMar>
        <w:tblLook w:val="0000"/>
      </w:tblPr>
      <w:tblGrid>
        <w:gridCol w:w="2700"/>
        <w:gridCol w:w="1350"/>
        <w:gridCol w:w="4410"/>
      </w:tblGrid>
      <w:tr w:rsidTr="00B44F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 xml:space="preserve">2) </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3AA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2.1) Competencies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Granting competency in this unit shall be made only after competency in the following unit(s) has/have been confirmed.</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UEENEEJ129A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Establish heat loads for commercial refrigeration and/or air conditioning applications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UEENEEJ127A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Establish the thermod</w:t>
            </w:r>
            <w:r w:rsidRPr="002F3AAF">
              <w:t>ynamic parameters of refrigeration and air conditioning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UEENEEJ192A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Analyse the psychrometric performance of HVAC/R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 xml:space="preserve">and </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UEENEEJ193A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Analyse the thermodynamic performance of HVAC/R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UEENEEJ110A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 refrigerant piping, accessories and associated controls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Establish the basic operating conditions of vapour compression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UEENEEE101A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Apply Occupational Health and Safety regulations, codes and practices in the workplace</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 xml:space="preserve">or </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p>
        </w:tc>
      </w:tr>
      <w:tr w:rsidTr="00B44FAD">
        <w:tblPrEx>
          <w:tblW w:w="0" w:type="auto"/>
          <w:tblLayout w:type="fixed"/>
          <w:tblCellMar>
            <w:left w:w="62" w:type="dxa"/>
            <w:right w:w="62" w:type="dxa"/>
          </w:tblCellMar>
          <w:tblLook w:val="0000"/>
        </w:tblPrEx>
        <w:trPr>
          <w:trHeight w:val="64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 xml:space="preserve">UEENEEJ109A </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Verify functionality and compliance of refrigeration and air conditioning installations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UEENEEE101A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Apply Occupational Health and Safety regulations, codes and practices in the workplace</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UEENEEE102A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Fabricate, assemble and dismantle util</w:t>
            </w:r>
            <w:r w:rsidRPr="002F3AAF">
              <w:t>ities industry components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Solve problems in ELV single path circuits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UEENEEE105A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Fix and secure electrotechnology equipment</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UEENEEE107A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Use drawings, diagrams, schedules, standards, codes and specifications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UEENEEE137A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Document and apply measures to control OHS risks associated with electrotechnology work</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UEENEEJ102A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Prepare and connect refrigerant tubing and fittings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Establish the basic operating conditions of vapour compression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UEENEEJ104A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Establish the basic operating conditions of air conditioning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UEENEEJ106A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Install refrigerant pipe work, flow controls and accessories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UEENEEJ107A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Install air conditioning and refrigeration systems, major components and associated equipment</w:t>
            </w:r>
          </w:p>
        </w:tc>
      </w:tr>
      <w:tr w:rsidTr="00B44FAD">
        <w:tblPrEx>
          <w:tblW w:w="0" w:type="auto"/>
          <w:tblLayout w:type="fixed"/>
          <w:tblCellMar>
            <w:left w:w="62" w:type="dxa"/>
            <w:right w:w="62" w:type="dxa"/>
          </w:tblCellMar>
          <w:tblLook w:val="0000"/>
        </w:tblPrEx>
        <w:trPr>
          <w:trHeight w:val="69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w:t>
            </w:r>
            <w:r w:rsidRPr="002F3AAF">
              <w:t>ENEEJ108A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Recover, pressure test, evacuate, charge and leak test refrigerants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UEENEEJ110A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 refrigerant piping, accessories and associated controls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UEENEEJ111A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Diagnose and rectify faults in air conditioning and refrigeration systems and components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UEENEEJ113A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Commission air conditioning and refrigeration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UEENEEJ153A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Find and rectify faults motors and associated controls in refrigeration and air condi</w:t>
            </w:r>
            <w:r w:rsidRPr="002F3AAF">
              <w:t>tioning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UEENEEJ170A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Diagnose and rectify faults in air conditioning and refrigeration control systems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UEENEEJ194A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Solve problems in low voltage refrigeration circuits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UEENEEP012A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Disconnect / reconnect composite appliances connected to low voltage installation wiring</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UEENEEP017A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Locate and rectify faults in low voltage composite appliances using set procedures</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UEENEEP024A</w:t>
            </w:r>
          </w:p>
        </w:tc>
        <w:tc>
          <w:tcPr>
            <w:tcW w:w="441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Attach cords and plugs to electrical equipment for conne</w:t>
            </w:r>
            <w:r w:rsidRPr="002F3AAF">
              <w:t>ction to a single phase 230 Volt supply</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UEENEEP025A</w:t>
            </w:r>
          </w:p>
        </w:tc>
        <w:tc>
          <w:tcPr>
            <w:tcW w:w="441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Attach cords, cables and plugs to electrical equipment for connection to 1000 Va.c. or 1500 Vd.c. supply</w:t>
            </w:r>
          </w:p>
        </w:tc>
      </w:tr>
    </w:tbl>
    <w:p w:rsidR="00B44FAD" w:rsidP="002F3AAF">
      <w:pPr>
        <w:pStyle w:val="BodyText"/>
      </w:pPr>
    </w:p>
    <w:p w:rsidR="00B44FAD" w:rsidP="002F3AAF">
      <w:pPr>
        <w:pStyle w:val="BodyText"/>
      </w:pPr>
    </w:p>
    <w:p w:rsidR="00000000" w:rsidRPr="002F3AAF" w:rsidP="002F3AAF">
      <w:pPr>
        <w:pStyle w:val="Heading1"/>
      </w:pPr>
      <w:bookmarkStart w:id="6" w:name="O_710461"/>
      <w:bookmarkEnd w:id="6"/>
      <w:r w:rsidRPr="002F3AAF">
        <w:t>Employability Skills Information</w:t>
      </w:r>
    </w:p>
    <w:tbl>
      <w:tblPr>
        <w:tblW w:w="0" w:type="auto"/>
        <w:tblLayout w:type="fixed"/>
        <w:tblCellMar>
          <w:left w:w="62" w:type="dxa"/>
          <w:right w:w="62" w:type="dxa"/>
        </w:tblCellMar>
        <w:tblLook w:val="0000"/>
      </w:tblPr>
      <w:tblGrid>
        <w:gridCol w:w="2700"/>
        <w:gridCol w:w="5760"/>
      </w:tblGrid>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3</w:t>
            </w:r>
            <w:r w:rsidRPr="002F3AAF">
              <w:t>)</w:t>
            </w:r>
          </w:p>
          <w:p w:rsidR="00000000" w:rsidRPr="002F3AAF" w:rsidP="002F3AAF">
            <w:pPr>
              <w:pStyle w:val="BodyText"/>
            </w:pPr>
            <w:r w:rsidRPr="002F3AAF">
              <w:t>This unit contains Employability Skills</w:t>
            </w:r>
          </w:p>
          <w:p w:rsidR="00000000" w:rsidRPr="002F3AAF" w:rsidP="002F3AAF">
            <w:pPr>
              <w:pStyle w:val="BodyText"/>
            </w:pPr>
            <w:r w:rsidRPr="002F3AAF">
              <w:t>The required outcomes described in this unit of competency contain applicable facets of Employability Skills. The Employability Skills Summary of the qualification in which this unit of competency is packaged will as</w:t>
            </w:r>
            <w:r w:rsidRPr="002F3AAF">
              <w:t>sist in identifying Employability Skill requirements.</w:t>
            </w:r>
          </w:p>
        </w:tc>
      </w:tr>
    </w:tbl>
    <w:p w:rsidR="00B44FAD" w:rsidP="002F3AAF">
      <w:pPr>
        <w:pStyle w:val="BodyText"/>
      </w:pPr>
    </w:p>
    <w:p w:rsidR="00B44FAD" w:rsidP="002F3AAF">
      <w:pPr>
        <w:pStyle w:val="BodyText"/>
      </w:pPr>
    </w:p>
    <w:p w:rsidR="00000000" w:rsidRPr="002F3AAF" w:rsidP="002F3AAF">
      <w:pPr>
        <w:pStyle w:val="Heading1"/>
      </w:pPr>
      <w:bookmarkStart w:id="7" w:name="O_710460"/>
      <w:bookmarkEnd w:id="7"/>
      <w:r w:rsidRPr="002F3AAF">
        <w:t>Elements and Performance Criteria Pre-Content</w:t>
      </w:r>
    </w:p>
    <w:tbl>
      <w:tblPr>
        <w:tblW w:w="0" w:type="auto"/>
        <w:tblLayout w:type="fixed"/>
        <w:tblCellMar>
          <w:left w:w="62" w:type="dxa"/>
          <w:right w:w="62" w:type="dxa"/>
        </w:tblCellMar>
        <w:tblLook w:val="0000"/>
      </w:tblPr>
      <w:tblGrid>
        <w:gridCol w:w="2268"/>
        <w:gridCol w:w="6523"/>
      </w:tblGrid>
      <w:tr w:rsidTr="00B44FA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6</w:t>
            </w:r>
            <w:r w:rsidRPr="002F3AAF">
              <w:t>) Elements describe the essential outcomes of a unit</w:t>
            </w:r>
          </w:p>
        </w:tc>
        <w:tc>
          <w:tcPr>
            <w:tcW w:w="6523"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Performance criteria describe the required performance needed to demonstrate achievement of the element. Assessment of performance is to be consistent with the evidence guide.</w:t>
            </w:r>
          </w:p>
        </w:tc>
      </w:tr>
    </w:tbl>
    <w:p w:rsidR="00000000" w:rsidRPr="002F3AAF" w:rsidP="002F3AAF">
      <w:pPr>
        <w:pStyle w:val="BodyText"/>
      </w:pPr>
    </w:p>
    <w:p w:rsidR="00000000" w:rsidRPr="002F3AAF" w:rsidP="002F3AAF">
      <w:pPr>
        <w:pStyle w:val="AllowPageBreak"/>
      </w:pPr>
    </w:p>
    <w:p w:rsidR="00000000" w:rsidRPr="002F3AAF" w:rsidP="002F3AAF">
      <w:pPr>
        <w:pStyle w:val="Heading1"/>
      </w:pPr>
      <w:bookmarkStart w:id="8" w:name="O_710459"/>
      <w:bookmarkEnd w:id="8"/>
      <w:r w:rsidRPr="002F3AAF">
        <w:t>Elements and Performance Criteria</w:t>
      </w:r>
    </w:p>
    <w:tbl>
      <w:tblPr>
        <w:tblW w:w="0" w:type="auto"/>
        <w:tblLayout w:type="fixed"/>
        <w:tblCellMar>
          <w:left w:w="62" w:type="dxa"/>
          <w:right w:w="62" w:type="dxa"/>
        </w:tblCellMar>
        <w:tblLook w:val="0000"/>
      </w:tblPr>
      <w:tblGrid>
        <w:gridCol w:w="404"/>
        <w:gridCol w:w="1864"/>
        <w:gridCol w:w="900"/>
        <w:gridCol w:w="5623"/>
      </w:tblGrid>
      <w:tr w:rsidTr="00B44FAD">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ELEMENT</w:t>
            </w:r>
          </w:p>
        </w:tc>
        <w:tc>
          <w:tcPr>
            <w:tcW w:w="652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PERFORMANCE CRITER</w:t>
            </w:r>
            <w:r w:rsidRPr="002F3AAF">
              <w:rPr>
                <w:rStyle w:val="SpecialBold"/>
              </w:rPr>
              <w:t>IA</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1</w:t>
            </w:r>
          </w:p>
        </w:tc>
        <w:tc>
          <w:tcPr>
            <w:tcW w:w="1864" w:type="dxa"/>
            <w:vMerge w:val="restart"/>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Prepare to select residential air conditioning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1.1</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The extent and nature of the air conditioning installation is determined from job specifications.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1.2</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Safety and other regulatory requirements to which the air conditioning system shall comply, are identified, obtained and understood</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2</w:t>
            </w:r>
          </w:p>
        </w:tc>
        <w:tc>
          <w:tcPr>
            <w:tcW w:w="1864" w:type="dxa"/>
            <w:vMerge w:val="restart"/>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Develop pipe work arrangements</w:t>
            </w: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2.1</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The intended location of air conditioning equipment is determined from job specificati</w:t>
            </w:r>
            <w:r w:rsidRPr="002F3AAF">
              <w:t>ons and site drawings or deemed to comply arrangements.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2.2</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Pipe work arranged to ensure safe and functional operation of the system.</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2.3</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Pipe work is arranged to comply with technical standards and job specifications and requirements.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w:t>
            </w:r>
          </w:p>
        </w:tc>
        <w:tc>
          <w:tcPr>
            <w:tcW w:w="186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 residential air conditioning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3.1</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 xml:space="preserve">Pipe and tubing is selected for suitability for the environments in which it is to be installed </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3.2</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Pipe and tubing is sized to meet air conditioning parameters and capacity requirements for the refrigerant to be used.</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3.3</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Pipe and tubing quantities are determined from equipment location diagrams and job specifications.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3.4</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Air conditioning unitary</w:t>
            </w:r>
            <w:r w:rsidRPr="002F3AAF">
              <w:t xml:space="preserve"> equipment and components are selected to meet load requirements based on calculated or deemed-to-comply solutions.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3.5</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Air distribution components and controls are selected to meet functional, specified and regulatory requirements.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3.6</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Automatic control devices are selected to meet functional, specified, regulatory requirements. And current, voltage and IP ratings.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3.7</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Evidence is obtained that the selected air conditioning equipment and components comply with all requirements.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4</w:t>
            </w:r>
          </w:p>
        </w:tc>
        <w:tc>
          <w:tcPr>
            <w:tcW w:w="186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Doc</w:t>
            </w:r>
            <w:r w:rsidRPr="002F3AAF">
              <w:t>ument selection of  system equipment and components</w:t>
            </w: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4.1</w:t>
            </w:r>
          </w:p>
        </w:tc>
        <w:tc>
          <w:tcPr>
            <w:tcW w:w="5623"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Reasons for selections made, including calculations, are documented in accordance with established procedures.</w:t>
            </w:r>
          </w:p>
        </w:tc>
      </w:tr>
      <w:tr w:rsidTr="00B44F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4.2</w:t>
            </w:r>
          </w:p>
        </w:tc>
        <w:tc>
          <w:tcPr>
            <w:tcW w:w="5623"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Air conditioning installation arrangement and specifications for all selected item</w:t>
            </w:r>
            <w:r w:rsidRPr="002F3AAF">
              <w:t>s are documented in accordance with established procedures and forwarded to appropriate person(s).</w:t>
            </w:r>
          </w:p>
        </w:tc>
      </w:tr>
    </w:tbl>
    <w:p w:rsidR="00B44FAD" w:rsidP="002F3AAF">
      <w:pPr>
        <w:pStyle w:val="BodyText"/>
      </w:pPr>
    </w:p>
    <w:p w:rsidR="00B44FAD" w:rsidP="002F3AAF">
      <w:pPr>
        <w:pStyle w:val="BodyText"/>
      </w:pPr>
    </w:p>
    <w:p w:rsidR="00000000" w:rsidRPr="002F3AAF" w:rsidP="002F3AAF">
      <w:pPr>
        <w:pStyle w:val="Heading1"/>
      </w:pPr>
      <w:bookmarkStart w:id="9" w:name="O_710458"/>
      <w:bookmarkEnd w:id="9"/>
      <w:r w:rsidRPr="002F3AAF">
        <w:t>Required Skills and Knowledge</w:t>
      </w:r>
    </w:p>
    <w:tbl>
      <w:tblPr>
        <w:tblW w:w="0" w:type="auto"/>
        <w:tblLayout w:type="fixed"/>
        <w:tblCellMar>
          <w:left w:w="62" w:type="dxa"/>
          <w:right w:w="62" w:type="dxa"/>
        </w:tblCellMar>
        <w:tblLook w:val="0000"/>
      </w:tblPr>
      <w:tblGrid>
        <w:gridCol w:w="1843"/>
        <w:gridCol w:w="6948"/>
        <w:gridCol w:w="29"/>
      </w:tblGrid>
      <w:tr w:rsidTr="00B44FAD">
        <w:tblPrEx>
          <w:tblW w:w="0" w:type="auto"/>
          <w:tblLayout w:type="fixed"/>
          <w:tblCellMar>
            <w:left w:w="62" w:type="dxa"/>
            <w:right w:w="62" w:type="dxa"/>
          </w:tblCellMar>
          <w:tblLook w:val="0000"/>
        </w:tblPrEx>
        <w:trPr>
          <w:gridAfter w:val="1"/>
          <w:wAfter w:w="29" w:type="dxa"/>
          <w:tblHeader/>
        </w:trPr>
        <w:tc>
          <w:tcPr>
            <w:tcW w:w="8791"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REQUIRED SKILLS AND KNOWLEDGE</w:t>
            </w:r>
          </w:p>
        </w:tc>
      </w:tr>
      <w:tr w:rsidTr="00B44FAD">
        <w:tblPrEx>
          <w:tblW w:w="0" w:type="auto"/>
          <w:tblLayout w:type="fixed"/>
          <w:tblCellMar>
            <w:left w:w="62" w:type="dxa"/>
            <w:right w:w="62" w:type="dxa"/>
          </w:tblCellMar>
          <w:tblLook w:val="0000"/>
        </w:tblPrEx>
        <w:trPr>
          <w:gridAfter w:val="1"/>
          <w:wAfter w:w="29" w:type="dxa"/>
        </w:trPr>
        <w:tc>
          <w:tcPr>
            <w:tcW w:w="8791"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7)</w:t>
            </w:r>
            <w:r w:rsidRPr="002F3AAF">
              <w:t xml:space="preserve"> This describes the essential skills and knowledge and their level, required for this unit.</w:t>
            </w:r>
          </w:p>
        </w:tc>
      </w:tr>
      <w:tr w:rsidTr="00B44FAD">
        <w:tblPrEx>
          <w:tblW w:w="0" w:type="auto"/>
          <w:tblLayout w:type="fixed"/>
          <w:tblCellMar>
            <w:left w:w="62" w:type="dxa"/>
            <w:right w:w="62" w:type="dxa"/>
          </w:tblCellMar>
          <w:tblLook w:val="0000"/>
        </w:tblPrEx>
        <w:trPr>
          <w:gridAfter w:val="1"/>
          <w:wAfter w:w="29" w:type="dxa"/>
        </w:trPr>
        <w:tc>
          <w:tcPr>
            <w:tcW w:w="8791" w:type="dxa"/>
            <w:gridSpan w:val="2"/>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Evidence shall show that knowledge has been acquired of safe working practices and selecting residential air conditioning system equipment and components.</w:t>
            </w:r>
          </w:p>
          <w:p w:rsidR="00000000" w:rsidP="002F3AAF">
            <w:pPr>
              <w:pStyle w:val="BodyText"/>
              <w:rPr>
                <w:lang w:val="en-NZ"/>
              </w:rPr>
            </w:pPr>
            <w:r w:rsidRPr="002F3AAF">
              <w:t>All kno</w:t>
            </w:r>
            <w:r w:rsidRPr="002F3AAF">
              <w:t>wledge and skills detailed in this unit should be contextualised to current industry practices and technologies.</w:t>
            </w:r>
          </w:p>
        </w:tc>
      </w:tr>
      <w:tr w:rsidTr="00B44FAD">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KS01-EJ191A</w:t>
            </w:r>
          </w:p>
        </w:tc>
        <w:tc>
          <w:tcPr>
            <w:tcW w:w="6977"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Air conditioning system equipment and component selection</w:t>
            </w:r>
          </w:p>
        </w:tc>
      </w:tr>
      <w:tr w:rsidTr="00B44FAD">
        <w:tblPrEx>
          <w:tblW w:w="0" w:type="auto"/>
          <w:tblLayout w:type="fixed"/>
          <w:tblCellMar>
            <w:left w:w="62" w:type="dxa"/>
            <w:right w:w="62" w:type="dxa"/>
          </w:tblCellMar>
          <w:tblLook w:val="0000"/>
        </w:tblPrEx>
        <w:trPr>
          <w:trHeight w:val="663"/>
        </w:trPr>
        <w:tc>
          <w:tcPr>
            <w:tcW w:w="8820" w:type="dxa"/>
            <w:gridSpan w:val="3"/>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Evidence shall show an understanding of air conditioning system equipment, components and piping selection, applying safe working practices and relevant Standards, Codes and Regulations to an extent indicated by the following aspects:</w:t>
            </w:r>
          </w:p>
        </w:tc>
      </w:tr>
      <w:tr w:rsidTr="00B44FAD">
        <w:tblPrEx>
          <w:tblW w:w="0" w:type="auto"/>
          <w:tblLayout w:type="fixed"/>
          <w:tblCellMar>
            <w:left w:w="62" w:type="dxa"/>
            <w:right w:w="62" w:type="dxa"/>
          </w:tblCellMar>
          <w:tblLook w:val="0000"/>
        </w:tblPrEx>
        <w:tc>
          <w:tcPr>
            <w:tcW w:w="8820" w:type="dxa"/>
            <w:gridSpan w:val="3"/>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T1        Residenti</w:t>
            </w:r>
            <w:r w:rsidRPr="002F3AAF">
              <w:t>al Air Conditioning Unitary Equipment</w:t>
            </w:r>
          </w:p>
          <w:p w:rsidR="00000000" w:rsidRPr="002F3AAF" w:rsidP="002F3AAF">
            <w:pPr>
              <w:pStyle w:val="ListBullet2"/>
            </w:pPr>
            <w:r w:rsidRPr="002F3AAF">
              <w:t>Construction, operation, application and selection of:</w:t>
            </w:r>
          </w:p>
          <w:p w:rsidR="00000000" w:rsidRPr="002F3AAF" w:rsidP="002F3AAF">
            <w:pPr>
              <w:pStyle w:val="ListBullet3"/>
            </w:pPr>
            <w:r w:rsidRPr="002F3AAF">
              <w:t>room air conditioners</w:t>
            </w:r>
          </w:p>
          <w:p w:rsidR="00000000" w:rsidRPr="002F3AAF" w:rsidP="002F3AAF">
            <w:pPr>
              <w:pStyle w:val="ListBullet3"/>
            </w:pPr>
            <w:r w:rsidRPr="002F3AAF">
              <w:t>split systems – wall hang, cassettes and ducted</w:t>
            </w:r>
          </w:p>
          <w:p w:rsidR="00000000" w:rsidRPr="002F3AAF" w:rsidP="002F3AAF">
            <w:pPr>
              <w:pStyle w:val="ListBullet3"/>
            </w:pPr>
            <w:r w:rsidRPr="002F3AAF">
              <w:t>small package units</w:t>
            </w:r>
          </w:p>
          <w:p w:rsidR="00000000" w:rsidP="002F3AAF">
            <w:pPr>
              <w:pStyle w:val="ListBullet3"/>
              <w:rPr>
                <w:lang w:val="en-NZ"/>
              </w:rPr>
            </w:pPr>
            <w:r w:rsidRPr="002F3AAF">
              <w:t>cooling only and reverse cycle</w:t>
            </w:r>
          </w:p>
        </w:tc>
      </w:tr>
      <w:tr w:rsidTr="00B44FAD">
        <w:tblPrEx>
          <w:tblW w:w="0" w:type="auto"/>
          <w:tblLayout w:type="fixed"/>
          <w:tblCellMar>
            <w:left w:w="62" w:type="dxa"/>
            <w:right w:w="62" w:type="dxa"/>
          </w:tblCellMar>
          <w:tblLook w:val="0000"/>
        </w:tblPrEx>
        <w:tc>
          <w:tcPr>
            <w:tcW w:w="8820" w:type="dxa"/>
            <w:gridSpan w:val="3"/>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T2        Line sizing and design</w:t>
            </w:r>
          </w:p>
          <w:p w:rsidR="00000000" w:rsidRPr="002F3AAF" w:rsidP="002F3AAF">
            <w:pPr>
              <w:pStyle w:val="ListBullet2"/>
            </w:pPr>
            <w:r w:rsidRPr="002F3AAF">
              <w:t>quick selection tables</w:t>
            </w:r>
          </w:p>
          <w:p w:rsidR="00000000" w:rsidRPr="002F3AAF" w:rsidP="002F3AAF">
            <w:pPr>
              <w:pStyle w:val="ListBullet2"/>
            </w:pPr>
            <w:r w:rsidRPr="002F3AAF">
              <w:t>velocity tables</w:t>
            </w:r>
          </w:p>
          <w:p w:rsidR="00000000" w:rsidRPr="002F3AAF" w:rsidP="002F3AAF">
            <w:pPr>
              <w:pStyle w:val="ListBullet2"/>
            </w:pPr>
            <w:r w:rsidRPr="002F3AAF">
              <w:t>pressure drop in lines and fittings</w:t>
            </w:r>
          </w:p>
          <w:p w:rsidR="00000000" w:rsidRPr="002F3AAF" w:rsidP="002F3AAF">
            <w:pPr>
              <w:pStyle w:val="ListBullet2"/>
            </w:pPr>
            <w:r w:rsidRPr="002F3AAF">
              <w:t>oil migration stabilisation</w:t>
            </w:r>
          </w:p>
          <w:p w:rsidR="00000000" w:rsidRPr="002F3AAF" w:rsidP="002F3AAF">
            <w:pPr>
              <w:pStyle w:val="ListBullet2"/>
            </w:pPr>
            <w:r w:rsidRPr="002F3AAF">
              <w:t>effect of varying system capacity</w:t>
            </w:r>
          </w:p>
          <w:p w:rsidR="00000000" w:rsidRPr="002F3AAF" w:rsidP="002F3AAF">
            <w:pPr>
              <w:pStyle w:val="ListBullet2"/>
            </w:pPr>
            <w:r w:rsidRPr="002F3AAF">
              <w:t>oil traps</w:t>
            </w:r>
          </w:p>
          <w:p w:rsidR="00000000" w:rsidP="002F3AAF">
            <w:pPr>
              <w:pStyle w:val="ListBullet2"/>
              <w:rPr>
                <w:lang w:val="en-NZ"/>
              </w:rPr>
            </w:pPr>
            <w:r w:rsidRPr="002F3AAF">
              <w:t>liquid migration</w:t>
            </w:r>
          </w:p>
        </w:tc>
      </w:tr>
      <w:tr w:rsidTr="00B44FAD">
        <w:tblPrEx>
          <w:tblW w:w="0" w:type="auto"/>
          <w:tblLayout w:type="fixed"/>
          <w:tblCellMar>
            <w:left w:w="62" w:type="dxa"/>
            <w:right w:w="62" w:type="dxa"/>
          </w:tblCellMar>
          <w:tblLook w:val="0000"/>
        </w:tblPrEx>
        <w:tc>
          <w:tcPr>
            <w:tcW w:w="8820" w:type="dxa"/>
            <w:gridSpan w:val="3"/>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T3        Control Systems</w:t>
            </w:r>
          </w:p>
          <w:p w:rsidR="00000000" w:rsidRPr="002F3AAF" w:rsidP="002F3AAF">
            <w:pPr>
              <w:pStyle w:val="ListBullet2"/>
            </w:pPr>
            <w:r w:rsidRPr="002F3AAF">
              <w:t>Construction, operation, application and selection of:</w:t>
            </w:r>
          </w:p>
          <w:p w:rsidR="00000000" w:rsidRPr="002F3AAF" w:rsidP="002F3AAF">
            <w:pPr>
              <w:pStyle w:val="ListBullet3"/>
            </w:pPr>
            <w:r w:rsidRPr="002F3AAF">
              <w:t>cycling and safety controls</w:t>
            </w:r>
          </w:p>
          <w:p w:rsidR="00000000" w:rsidRPr="002F3AAF" w:rsidP="002F3AAF">
            <w:pPr>
              <w:pStyle w:val="ListBullet3"/>
            </w:pPr>
            <w:r w:rsidRPr="002F3AAF">
              <w:t>pressure-stats</w:t>
            </w:r>
          </w:p>
          <w:p w:rsidR="00000000" w:rsidRPr="002F3AAF" w:rsidP="002F3AAF">
            <w:pPr>
              <w:pStyle w:val="ListBullet3"/>
            </w:pPr>
            <w:r w:rsidRPr="002F3AAF">
              <w:t>thermostats,</w:t>
            </w:r>
          </w:p>
          <w:p w:rsidR="00000000" w:rsidRPr="002F3AAF" w:rsidP="002F3AAF">
            <w:pPr>
              <w:pStyle w:val="ListBullet3"/>
            </w:pPr>
            <w:r w:rsidRPr="002F3AAF">
              <w:t>de-ice controls</w:t>
            </w:r>
          </w:p>
          <w:p w:rsidR="00000000" w:rsidRPr="002F3AAF" w:rsidP="002F3AAF">
            <w:pPr>
              <w:pStyle w:val="ListBullet3"/>
            </w:pPr>
            <w:r w:rsidRPr="002F3AAF">
              <w:t>air conditioning automation systems</w:t>
            </w:r>
          </w:p>
          <w:p w:rsidR="00000000" w:rsidP="002F3AAF">
            <w:pPr>
              <w:pStyle w:val="ListBullet3"/>
              <w:rPr>
                <w:lang w:val="en-NZ"/>
              </w:rPr>
            </w:pPr>
            <w:r w:rsidRPr="002F3AAF">
              <w:t>control strategies</w:t>
            </w:r>
          </w:p>
        </w:tc>
      </w:tr>
      <w:tr w:rsidTr="00B44FAD">
        <w:tblPrEx>
          <w:tblW w:w="0" w:type="auto"/>
          <w:tblLayout w:type="fixed"/>
          <w:tblCellMar>
            <w:left w:w="62" w:type="dxa"/>
            <w:right w:w="62" w:type="dxa"/>
          </w:tblCellMar>
          <w:tblLook w:val="0000"/>
        </w:tblPrEx>
        <w:trPr>
          <w:trHeight w:val="4402"/>
        </w:trPr>
        <w:tc>
          <w:tcPr>
            <w:tcW w:w="8820" w:type="dxa"/>
            <w:gridSpan w:val="3"/>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 xml:space="preserve">T4        Air Distribution </w:t>
            </w:r>
          </w:p>
          <w:p w:rsidR="00000000" w:rsidRPr="002F3AAF" w:rsidP="002F3AAF">
            <w:pPr>
              <w:pStyle w:val="ListBullet2"/>
            </w:pPr>
            <w:r w:rsidRPr="002F3AAF">
              <w:t>Principles</w:t>
            </w:r>
          </w:p>
          <w:p w:rsidR="00000000" w:rsidRPr="002F3AAF" w:rsidP="002F3AAF">
            <w:pPr>
              <w:pStyle w:val="ListBullet3"/>
            </w:pPr>
            <w:r w:rsidRPr="002F3AAF">
              <w:t>factors affecting the design of ductwork systems</w:t>
            </w:r>
          </w:p>
          <w:p w:rsidR="00000000" w:rsidRPr="002F3AAF" w:rsidP="002F3AAF">
            <w:pPr>
              <w:pStyle w:val="ListBullet3"/>
            </w:pPr>
            <w:r w:rsidRPr="002F3AAF">
              <w:t>flexible ductwork systems</w:t>
            </w:r>
          </w:p>
          <w:p w:rsidR="00000000" w:rsidRPr="002F3AAF" w:rsidP="002F3AAF">
            <w:pPr>
              <w:pStyle w:val="ListBullet3"/>
            </w:pPr>
            <w:r w:rsidRPr="002F3AAF">
              <w:t>static, velocity and total pressure</w:t>
            </w:r>
          </w:p>
          <w:p w:rsidR="00000000" w:rsidRPr="002F3AAF" w:rsidP="002F3AAF">
            <w:pPr>
              <w:pStyle w:val="ListBullet2"/>
            </w:pPr>
            <w:r w:rsidRPr="002F3AAF">
              <w:t>Pressure loss</w:t>
            </w:r>
          </w:p>
          <w:p w:rsidR="00000000" w:rsidRPr="002F3AAF" w:rsidP="002F3AAF">
            <w:pPr>
              <w:pStyle w:val="ListBullet3"/>
            </w:pPr>
            <w:r w:rsidRPr="002F3AAF">
              <w:t>friction and dynamic</w:t>
            </w:r>
          </w:p>
          <w:p w:rsidR="00000000" w:rsidRPr="002F3AAF" w:rsidP="002F3AAF">
            <w:pPr>
              <w:pStyle w:val="ListBullet3"/>
            </w:pPr>
            <w:r w:rsidRPr="002F3AAF">
              <w:t>in ducts, friction charts</w:t>
            </w:r>
          </w:p>
          <w:p w:rsidR="00000000" w:rsidRPr="002F3AAF" w:rsidP="002F3AAF">
            <w:pPr>
              <w:pStyle w:val="ListBullet3"/>
            </w:pPr>
            <w:r w:rsidRPr="002F3AAF">
              <w:t>in fittings, loss co-efficients</w:t>
            </w:r>
          </w:p>
          <w:p w:rsidR="00000000" w:rsidRPr="002F3AAF" w:rsidP="002F3AAF">
            <w:pPr>
              <w:pStyle w:val="ListBullet3"/>
            </w:pPr>
            <w:r w:rsidRPr="002F3AAF">
              <w:t>diffuser pressure loss</w:t>
            </w:r>
          </w:p>
          <w:p w:rsidR="00000000" w:rsidRPr="002F3AAF" w:rsidP="002F3AAF">
            <w:pPr>
              <w:pStyle w:val="ListBullet2"/>
            </w:pPr>
            <w:r w:rsidRPr="002F3AAF">
              <w:t>System sizing</w:t>
            </w:r>
          </w:p>
          <w:p w:rsidR="00000000" w:rsidRPr="002F3AAF" w:rsidP="002F3AAF">
            <w:pPr>
              <w:pStyle w:val="ListBullet3"/>
            </w:pPr>
            <w:r w:rsidRPr="002F3AAF">
              <w:t xml:space="preserve">standard duct sizes and gauges </w:t>
            </w:r>
          </w:p>
          <w:p w:rsidR="00000000" w:rsidRPr="002F3AAF" w:rsidP="002F3AAF">
            <w:pPr>
              <w:pStyle w:val="ListBullet3"/>
            </w:pPr>
            <w:r w:rsidRPr="002F3AAF">
              <w:t>duct selection</w:t>
            </w:r>
          </w:p>
          <w:p w:rsidR="00000000" w:rsidRPr="002F3AAF" w:rsidP="002F3AAF">
            <w:pPr>
              <w:pStyle w:val="ListBullet3"/>
            </w:pPr>
            <w:r w:rsidRPr="002F3AAF">
              <w:t xml:space="preserve">fitting selection </w:t>
            </w:r>
          </w:p>
          <w:p w:rsidR="00000000" w:rsidRPr="002F3AAF" w:rsidP="002F3AAF">
            <w:pPr>
              <w:pStyle w:val="ListBullet3"/>
            </w:pPr>
            <w:r w:rsidRPr="002F3AAF">
              <w:t>air diffuser selection</w:t>
            </w:r>
          </w:p>
          <w:p w:rsidR="00000000" w:rsidRPr="002F3AAF" w:rsidP="002F3AAF">
            <w:pPr>
              <w:pStyle w:val="ListBullet3"/>
            </w:pPr>
            <w:r w:rsidRPr="002F3AAF">
              <w:t>balancing</w:t>
            </w:r>
          </w:p>
        </w:tc>
      </w:tr>
    </w:tbl>
    <w:p w:rsidR="00B44FAD" w:rsidP="002F3AAF">
      <w:pPr>
        <w:pStyle w:val="BodyText"/>
      </w:pPr>
    </w:p>
    <w:p w:rsidR="00B44FAD" w:rsidP="002F3AAF">
      <w:pPr>
        <w:pStyle w:val="BodyText"/>
      </w:pPr>
    </w:p>
    <w:p w:rsidR="00000000" w:rsidRPr="002F3AAF" w:rsidP="002F3AAF">
      <w:pPr>
        <w:pStyle w:val="Heading1"/>
      </w:pPr>
      <w:bookmarkStart w:id="10" w:name="O_710457"/>
      <w:bookmarkEnd w:id="10"/>
      <w:r w:rsidRPr="002F3AAF">
        <w:t>Evidence Guide</w:t>
      </w:r>
    </w:p>
    <w:tbl>
      <w:tblPr>
        <w:tblW w:w="0" w:type="auto"/>
        <w:tblLayout w:type="fixed"/>
        <w:tblCellMar>
          <w:left w:w="62" w:type="dxa"/>
          <w:right w:w="62" w:type="dxa"/>
        </w:tblCellMar>
        <w:tblLook w:val="0000"/>
      </w:tblPr>
      <w:tblGrid>
        <w:gridCol w:w="2160"/>
        <w:gridCol w:w="288"/>
        <w:gridCol w:w="540"/>
        <w:gridCol w:w="1483"/>
        <w:gridCol w:w="4320"/>
      </w:tblGrid>
      <w:tr w:rsidTr="00B44FAD">
        <w:tblPrEx>
          <w:tblW w:w="0" w:type="auto"/>
          <w:tblLayout w:type="fixed"/>
          <w:tblCellMar>
            <w:left w:w="62" w:type="dxa"/>
            <w:right w:w="62" w:type="dxa"/>
          </w:tblCellMar>
          <w:tblLook w:val="0000"/>
        </w:tblPrEx>
        <w:trPr>
          <w:tblHeader/>
        </w:trPr>
        <w:tc>
          <w:tcPr>
            <w:tcW w:w="8791" w:type="dxa"/>
            <w:gridSpan w:val="5"/>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EVIDENCE GUIDE</w:t>
            </w:r>
          </w:p>
        </w:tc>
      </w:tr>
      <w:tr w:rsidTr="00B44FAD">
        <w:tblPrEx>
          <w:tblW w:w="0" w:type="auto"/>
          <w:tblLayout w:type="fixed"/>
          <w:tblCellMar>
            <w:left w:w="62" w:type="dxa"/>
            <w:right w:w="62" w:type="dxa"/>
          </w:tblCellMar>
          <w:tblLook w:val="0000"/>
        </w:tblPrEx>
        <w:tc>
          <w:tcPr>
            <w:tcW w:w="8791" w:type="dxa"/>
            <w:gridSpan w:val="5"/>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9</w:t>
            </w:r>
            <w:r w:rsidRPr="002F3AAF">
              <w:t xml:space="preserve">) The evidence guide provides advice on assessment and must be read in conjunction with the Performance </w:t>
            </w:r>
            <w:r w:rsidRPr="002F3AAF">
              <w:t>Criteria, Required Skills and Knowledge, the Range Statement and the Assessment Guidelines for this Training Package. .</w:t>
            </w:r>
          </w:p>
          <w:p w:rsidR="00000000" w:rsidP="002F3AAF">
            <w:pPr>
              <w:pStyle w:val="BodyText"/>
              <w:rPr>
                <w:lang w:val="en-NZ"/>
              </w:rPr>
            </w:pPr>
            <w:r w:rsidRPr="002F3AAF">
              <w:t>The Evidence Guide forms an integral part of this Unit. It must be used in conjunction with all parts of this unit and performed in acco</w:t>
            </w:r>
            <w:r w:rsidRPr="002F3AAF">
              <w:t>rdance with the Assessment Guidelines of this Training Package.</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Overview of Assessment</w:t>
            </w: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9</w:t>
            </w:r>
            <w:r w:rsidRPr="002F3AAF">
              <w:t>.</w:t>
            </w:r>
            <w:r w:rsidRPr="002F3AAF">
              <w:rPr>
                <w:rStyle w:val="SpecialBold"/>
              </w:rPr>
              <w:t>1</w:t>
            </w:r>
            <w:r w:rsidRPr="002F3AAF">
              <w:t xml:space="preserve">) </w:t>
            </w:r>
          </w:p>
          <w:p w:rsidR="00000000" w:rsidRPr="002F3AAF" w:rsidP="002F3AAF">
            <w:pPr>
              <w:pStyle w:val="BodyText"/>
            </w:pPr>
            <w:r w:rsidRPr="002F3AAF">
              <w:t>Longitudinal competency development approaches to assessment, such as Profiling, require data to be reliably gathered in a form that can be consistently inter</w:t>
            </w:r>
            <w:r w:rsidRPr="002F3AAF">
              <w:t>preted over time. This approach is best utilised in Apprenticeship programs and reduces assessment intervention. It is the industry-preferred model for apprenticeships. However, where summative (or final) assessment is used it is to include the application</w:t>
            </w:r>
            <w:r w:rsidRPr="002F3AAF">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2F3AAF">
              <w:t>ccordance with industry and regulatory policy.</w:t>
            </w:r>
          </w:p>
          <w:p w:rsidR="00000000" w:rsidRPr="002F3AAF" w:rsidP="002F3AAF">
            <w:pPr>
              <w:pStyle w:val="BodyText"/>
            </w:pPr>
            <w:r w:rsidRPr="002F3AAF">
              <w:t>Methods chosen for a particular assessment will be influenced by various factors. These include the extent of the assessment, the most effective locations for the assessment activities to take place, access to</w:t>
            </w:r>
            <w:r w:rsidRPr="002F3AAF">
              <w:t xml:space="preserve"> physical resources, additional safety measures that may be required and the critical nature of the competencies being assessed.</w:t>
            </w:r>
          </w:p>
          <w:p w:rsidR="00000000" w:rsidRPr="002F3AAF" w:rsidP="002F3AAF">
            <w:pPr>
              <w:pStyle w:val="BodyText"/>
            </w:pPr>
            <w:r w:rsidRPr="002F3AAF">
              <w:t>The critical safety nature of working with electricity, electrical equipment, gas or any other hazardous substance/material car</w:t>
            </w:r>
            <w:r w:rsidRPr="002F3AAF">
              <w:t>ries risk in deeming a person competent. Sources of evidence need to be 'rich' in nature to minimise error in judgment.</w:t>
            </w:r>
          </w:p>
          <w:p w:rsidR="00000000" w:rsidP="002F3AAF">
            <w:pPr>
              <w:pStyle w:val="BodyText"/>
              <w:rPr>
                <w:lang w:val="en-NZ"/>
              </w:rPr>
            </w:pPr>
            <w:r w:rsidRPr="002F3AAF">
              <w:t>Activities associated with normal everyday work influence  decisions about how/how much the data gathered will contribute to its 'richne</w:t>
            </w:r>
            <w:r w:rsidRPr="002F3AAF">
              <w:t>ss'. Some skills are more critical to safety and operational requirements while the same skills may be more or less frequently practised. These points are raised for the assessors to consider when choosing an assessment method and developing assessment ins</w:t>
            </w:r>
            <w:r w:rsidRPr="002F3AAF">
              <w:t>truments. Sample assessment instruments are included for Assessors in the Assessment Guidelines of this Training Package.</w:t>
            </w:r>
          </w:p>
        </w:tc>
      </w:tr>
      <w:tr w:rsidTr="00B44F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Critical aspects of evidence required to demonstrate competency in this unit</w:t>
            </w: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9</w:t>
            </w:r>
            <w:r w:rsidRPr="002F3AAF">
              <w:t>.</w:t>
            </w:r>
            <w:r w:rsidRPr="002F3AAF">
              <w:rPr>
                <w:rStyle w:val="SpecialBold"/>
              </w:rPr>
              <w:t>2</w:t>
            </w:r>
            <w:r w:rsidRPr="002F3AAF">
              <w:t xml:space="preserve">) </w:t>
            </w:r>
          </w:p>
          <w:p w:rsidR="00000000" w:rsidP="002F3AAF">
            <w:pPr>
              <w:pStyle w:val="BodyText"/>
              <w:rPr>
                <w:lang w:val="en-NZ"/>
              </w:rPr>
            </w:pPr>
            <w:r w:rsidRPr="002F3AAF">
              <w:t>Before the critical aspects of evidence are considered all prerequisites must be met.</w:t>
            </w:r>
          </w:p>
        </w:tc>
      </w:tr>
      <w:tr w:rsidTr="00B44F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Evidence for competence in this unit shall be considered holistically.  Each Element and associated performance criteria shall be demonstrated on at least two occasi</w:t>
            </w:r>
            <w:r w:rsidRPr="002F3AAF">
              <w:t>ons in accordance with the 'Assessment Guidelines - UEE07'.  Evidence shall also comprise:</w:t>
            </w:r>
          </w:p>
          <w:p w:rsidR="00000000" w:rsidP="002F3AAF">
            <w:pPr>
              <w:pStyle w:val="ListBullet"/>
              <w:rPr>
                <w:lang w:val="en-NZ"/>
              </w:rPr>
            </w:pPr>
            <w:r w:rsidRPr="002F3AAF">
              <w:t>A representative body of work performance demonstrated within the timeframes typically expected of the discipline, work function and industrial environment. In part</w:t>
            </w:r>
            <w:r w:rsidRPr="002F3AAF">
              <w:t>icular this shall incorporate evidence that shows a candidate is able to:</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ListBullet2"/>
            </w:pPr>
            <w:r w:rsidRPr="002F3AAF">
              <w:t xml:space="preserve">Implement Occupational Health and Safety workplace procedures and practices including </w:t>
            </w:r>
            <w:r w:rsidRPr="002F3AAF">
              <w:t>the use of risk control measures as specified in the performance criteria and range statement</w:t>
            </w:r>
          </w:p>
          <w:p w:rsidR="00000000" w:rsidRPr="002F3AAF" w:rsidP="002F3AAF">
            <w:pPr>
              <w:pStyle w:val="ListBullet2"/>
            </w:pPr>
            <w:r w:rsidRPr="002F3AAF">
              <w:t>Apply sustainable energy principles and practices as specified in the performance criteria and range statement</w:t>
            </w:r>
          </w:p>
          <w:p w:rsidR="00000000" w:rsidRPr="002F3AAF" w:rsidP="002F3AAF">
            <w:pPr>
              <w:pStyle w:val="ListBullet2"/>
            </w:pPr>
            <w:r w:rsidRPr="002F3AAF">
              <w:t>Demonstrate an understanding of th</w:t>
            </w:r>
            <w:r w:rsidRPr="002F3AAF">
              <w:t>e essential knowledge and associated skills as described in this unit.  It may be required by some jurisdictions that RTOs provide a percentile graded result for the purpose of regulatory or licensing requirements.</w:t>
            </w:r>
          </w:p>
          <w:p w:rsidR="00000000" w:rsidRPr="002F3AAF" w:rsidP="002F3AAF">
            <w:pPr>
              <w:pStyle w:val="ListBullet2"/>
            </w:pPr>
            <w:r w:rsidRPr="002F3AAF">
              <w:t>Demonstrate an appropriate level of skill</w:t>
            </w:r>
            <w:r w:rsidRPr="002F3AAF">
              <w:t>s enabling employment</w:t>
            </w:r>
          </w:p>
          <w:p w:rsidR="00000000" w:rsidP="002F3AAF">
            <w:pPr>
              <w:pStyle w:val="ListBullet2"/>
              <w:rPr>
                <w:lang w:val="en-NZ"/>
              </w:rPr>
            </w:pPr>
            <w:r w:rsidRPr="002F3AAF">
              <w:t>Conduct work observing the relevant Anti Discrimination legislation, regulations, polices and workplace procedures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2F3AAF">
            <w:pPr>
              <w:pStyle w:val="ListBullet"/>
              <w:rPr>
                <w:lang w:val="en-NZ"/>
              </w:rPr>
            </w:pPr>
            <w:r w:rsidRPr="002F3AAF">
              <w:t>Demonstrated consistent performance across a representative range of contexts from the prescribed items below:</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2F3AAF">
            <w:pPr>
              <w:pStyle w:val="ListBullet2"/>
              <w:rPr>
                <w:lang w:val="en-NZ"/>
              </w:rPr>
            </w:pPr>
            <w:r w:rsidRPr="002F3AAF">
              <w:t>Select residential air conditioning system equipment and components as described in 8) and including:</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Arranging pipe work to comply with regulatory and functional requirements.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B</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Selecting appropriate type, size and quantity of pipe and tubing</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C</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Selecting air conditioning unitary equipment and components that meets load requirements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Selecting air distribution components and controls that meets load requirements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Selecting automatic control devices that meet functional and regulatory requirements.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F</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Documenting pipe work arrangement, specification for items selected and reasons for the selections made</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G</w:t>
            </w:r>
          </w:p>
        </w:tc>
        <w:tc>
          <w:tcPr>
            <w:tcW w:w="5803" w:type="dxa"/>
            <w:gridSpan w:val="2"/>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 xml:space="preserve">Dealing with unplanned events by drawing on essential </w:t>
            </w:r>
            <w:r w:rsidRPr="002F3AAF">
              <w:t>knowledge and skills to provide appropriate solutions incorporated in the holistic assessment with the above listed items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Context of and specific resources for assessment</w:t>
            </w: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9</w:t>
            </w:r>
            <w:r w:rsidRPr="002F3AAF">
              <w:t>.</w:t>
            </w:r>
            <w:r w:rsidRPr="002F3AAF">
              <w:rPr>
                <w:rStyle w:val="SpecialBold"/>
              </w:rPr>
              <w:t>3</w:t>
            </w:r>
            <w:r w:rsidRPr="002F3AAF">
              <w:t xml:space="preserve">) </w:t>
            </w:r>
          </w:p>
          <w:p w:rsidR="00000000" w:rsidRPr="002F3AAF" w:rsidP="002F3AAF">
            <w:pPr>
              <w:pStyle w:val="BodyText"/>
            </w:pPr>
            <w:r w:rsidRPr="002F3AAF">
              <w:t>This unit should be assessed as it relates to normal work practice using proc</w:t>
            </w:r>
            <w:r w:rsidRPr="002F3AAF">
              <w:t>edures, information and resources typical of a workplace. This should include:</w:t>
            </w:r>
          </w:p>
          <w:p w:rsidR="00000000" w:rsidRPr="002F3AAF" w:rsidP="002F3AAF">
            <w:pPr>
              <w:pStyle w:val="ListBullet"/>
            </w:pPr>
            <w:r w:rsidRPr="002F3AAF">
              <w:t>OHS policy and work procedures and instructions.</w:t>
            </w:r>
          </w:p>
          <w:p w:rsidR="00000000" w:rsidRPr="002F3AAF" w:rsidP="002F3AAF">
            <w:pPr>
              <w:pStyle w:val="ListBullet"/>
            </w:pPr>
            <w:r w:rsidRPr="002F3AAF">
              <w:t>Suitable work environment, facilities, equipment and materials to undertake actual work as prescribed by this unit.</w:t>
            </w:r>
          </w:p>
          <w:p w:rsidR="00000000" w:rsidRPr="002F3AAF" w:rsidP="002F3AAF">
            <w:pPr>
              <w:pStyle w:val="BodyText"/>
            </w:pPr>
            <w:r w:rsidRPr="002F3AAF">
              <w:t>These should be part of the formal learning/assessment environment.</w:t>
            </w:r>
          </w:p>
          <w:p w:rsidR="00000000" w:rsidRPr="002F3AAF" w:rsidP="002F3AAF">
            <w:pPr>
              <w:pStyle w:val="BodyText"/>
            </w:pPr>
            <w:r w:rsidRPr="002F3AAF">
              <w:t>Note:</w:t>
            </w:r>
          </w:p>
          <w:p w:rsidR="00000000" w:rsidP="002F3AAF">
            <w:pPr>
              <w:pStyle w:val="BodyText"/>
              <w:rPr>
                <w:lang w:val="en-NZ"/>
              </w:rPr>
            </w:pPr>
            <w:r w:rsidRPr="002F3AAF">
              <w:t>Where simulation is considered a suitable strategy for assessment, conditions must be authentic and as far as possible reproduce and replicate the workplace and be consistent with th</w:t>
            </w:r>
            <w:r w:rsidRPr="002F3AAF">
              <w:t>e approved industry simulation policy.</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Evidence should show demonstrated competency in selecting refrigerant pipe/tube, accessories and associated controls.</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Method of assessment</w:t>
            </w:r>
          </w:p>
        </w:tc>
        <w:tc>
          <w:tcPr>
            <w:tcW w:w="6631" w:type="dxa"/>
            <w:gridSpan w:val="4"/>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9</w:t>
            </w:r>
            <w:r w:rsidRPr="002F3AAF">
              <w:t>.</w:t>
            </w:r>
            <w:r w:rsidRPr="002F3AAF">
              <w:rPr>
                <w:rStyle w:val="SpecialBold"/>
              </w:rPr>
              <w:t>4</w:t>
            </w:r>
            <w:r w:rsidRPr="002F3AAF">
              <w:t xml:space="preserve">) </w:t>
            </w:r>
          </w:p>
          <w:p w:rsidR="00000000" w:rsidRPr="002F3AAF" w:rsidP="002F3AAF">
            <w:pPr>
              <w:pStyle w:val="BodyText"/>
            </w:pPr>
            <w:r w:rsidRPr="002F3AAF">
              <w:t>This unit shall be assessed by methods given in Volume 1, Part 3 'Assessment Guidelines'.</w:t>
            </w:r>
          </w:p>
          <w:p w:rsidR="00000000" w:rsidP="002F3AAF">
            <w:pPr>
              <w:pStyle w:val="BodyText"/>
              <w:rPr>
                <w:lang w:val="en-NZ"/>
              </w:rPr>
            </w:pPr>
            <w:r w:rsidRPr="002F3AAF">
              <w:t xml:space="preserve">Note: </w:t>
            </w:r>
            <w:r w:rsidRPr="002F3AAF">
              <w:br/>
              <w:t>Competent performance with inherent safe working practices is expected in the Industry to which this unit applies. This requires assessment in a structured env</w:t>
            </w:r>
            <w:r w:rsidRPr="002F3AAF">
              <w:t>ironment which is intended primarily for learning/assessment and incorporates all necessary equipment and facilities for learners to develop and demonstrate the essential knowledge and skills described in this unit.</w:t>
            </w:r>
          </w:p>
        </w:tc>
      </w:tr>
      <w:tr w:rsidTr="00B44F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Concurrent assessment and relationsh</w:t>
            </w:r>
            <w:r w:rsidRPr="002F3AAF">
              <w:rPr>
                <w:rStyle w:val="SpecialBold"/>
              </w:rPr>
              <w:t>ip with other units</w:t>
            </w:r>
          </w:p>
        </w:tc>
        <w:tc>
          <w:tcPr>
            <w:tcW w:w="6631" w:type="dxa"/>
            <w:gridSpan w:val="4"/>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9</w:t>
            </w:r>
            <w:r w:rsidRPr="002F3AAF">
              <w:t>.</w:t>
            </w:r>
            <w:r w:rsidRPr="002F3AAF">
              <w:rPr>
                <w:rStyle w:val="SpecialBold"/>
              </w:rPr>
              <w:t>5</w:t>
            </w:r>
            <w:r w:rsidRPr="002F3AAF">
              <w:t>)</w:t>
            </w:r>
          </w:p>
        </w:tc>
      </w:tr>
      <w:tr w:rsidTr="00B44F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For optimisation of training and assessment effort, competency development in this unit may be arranged concurrently with unit:</w:t>
            </w:r>
          </w:p>
        </w:tc>
      </w:tr>
      <w:tr w:rsidTr="00B44F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gridSpan w:val="3"/>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UEENEED001B</w:t>
            </w:r>
          </w:p>
        </w:tc>
        <w:tc>
          <w:tcPr>
            <w:tcW w:w="432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Use basic computer applications'</w:t>
            </w:r>
          </w:p>
        </w:tc>
      </w:tr>
    </w:tbl>
    <w:p w:rsidR="00B44FAD" w:rsidP="002F3AAF">
      <w:pPr>
        <w:pStyle w:val="BodyText"/>
      </w:pPr>
    </w:p>
    <w:p w:rsidR="00B44FAD" w:rsidP="002F3AAF">
      <w:pPr>
        <w:pStyle w:val="BodyText"/>
      </w:pPr>
    </w:p>
    <w:p w:rsidR="00000000" w:rsidRPr="002F3AAF" w:rsidP="002F3AAF">
      <w:pPr>
        <w:pStyle w:val="Heading1"/>
      </w:pPr>
      <w:bookmarkStart w:id="11" w:name="O_710456"/>
      <w:bookmarkEnd w:id="11"/>
      <w:r w:rsidRPr="002F3AAF">
        <w:t>Range Statement</w:t>
      </w:r>
    </w:p>
    <w:tbl>
      <w:tblPr>
        <w:tblW w:w="0" w:type="auto"/>
        <w:tblLayout w:type="fixed"/>
        <w:tblCellMar>
          <w:left w:w="62" w:type="dxa"/>
          <w:right w:w="62" w:type="dxa"/>
        </w:tblCellMar>
        <w:tblLook w:val="0000"/>
      </w:tblPr>
      <w:tblGrid>
        <w:gridCol w:w="8791"/>
      </w:tblGrid>
      <w:tr w:rsidTr="00B44FAD">
        <w:tblPrEx>
          <w:tblW w:w="0" w:type="auto"/>
          <w:tblLayout w:type="fixed"/>
          <w:tblCellMar>
            <w:left w:w="62" w:type="dxa"/>
            <w:right w:w="62" w:type="dxa"/>
          </w:tblCellMar>
          <w:tblLook w:val="0000"/>
        </w:tblPrEx>
        <w:trPr>
          <w:tblHeader/>
        </w:trPr>
        <w:tc>
          <w:tcPr>
            <w:tcW w:w="8791"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RANGE STATEMENT</w:t>
            </w:r>
          </w:p>
        </w:tc>
      </w:tr>
      <w:tr w:rsidTr="00B44FAD">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8</w:t>
            </w:r>
            <w:r w:rsidRPr="002F3AAF">
              <w:t>) This relates to the unit as a whole providing the range of contexts and conditions to which the performance criteria apply. It allows for different work environments and situations that will affect performance.</w:t>
            </w:r>
          </w:p>
        </w:tc>
      </w:tr>
      <w:tr w:rsidTr="00B44FAD">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This unit must be demons</w:t>
            </w:r>
            <w:r w:rsidRPr="002F3AAF">
              <w:t>trated in relation to the selection of residential air conditioning equipment and components, pipe work, air distribution components and controls for two different air conditioning systems. These include the following; unitary air conditioning equipment an</w:t>
            </w:r>
            <w:r w:rsidRPr="002F3AAF">
              <w:t>d components, system controls, refrigerant and condensate pipe work and air distribution system and components.</w:t>
            </w:r>
          </w:p>
        </w:tc>
      </w:tr>
      <w:tr w:rsidTr="00B44FAD">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Generic terms used throughout this Vocational Standard shall be regarded as part of the Range Statement in which competency is demonstrated. Th</w:t>
            </w:r>
            <w:r w:rsidRPr="002F3AAF">
              <w:t>e definition of these and other terms that apply are given in Volume 2, Part 2.1.</w:t>
            </w:r>
          </w:p>
        </w:tc>
      </w:tr>
    </w:tbl>
    <w:p w:rsidR="00B44FAD" w:rsidP="002F3AAF">
      <w:pPr>
        <w:pStyle w:val="BodyText"/>
      </w:pPr>
    </w:p>
    <w:p w:rsidR="00B44FAD" w:rsidP="002F3AAF">
      <w:pPr>
        <w:pStyle w:val="BodyText"/>
      </w:pPr>
    </w:p>
    <w:p w:rsidR="00000000" w:rsidRPr="002F3AAF" w:rsidP="002F3AAF">
      <w:pPr>
        <w:pStyle w:val="Heading1"/>
      </w:pPr>
      <w:bookmarkStart w:id="12" w:name="O_710455"/>
      <w:bookmarkEnd w:id="12"/>
      <w:r w:rsidRPr="002F3AAF">
        <w:t>Unit Sector(s)</w:t>
      </w:r>
    </w:p>
    <w:p w:rsidR="00000000" w:rsidRPr="002F3AAF" w:rsidP="002F3AAF">
      <w:pPr>
        <w:pStyle w:val="BodyText"/>
      </w:pPr>
      <w:r w:rsidRPr="002F3AAF">
        <w:t>Not Applicable</w:t>
      </w:r>
    </w:p>
    <w:p w:rsidR="00000000" w:rsidRPr="002F3AAF" w:rsidP="002F3AAF">
      <w:pPr>
        <w:pStyle w:val="AllowPageBreak"/>
      </w:pPr>
    </w:p>
    <w:p w:rsidR="00000000" w:rsidRPr="002F3AAF" w:rsidP="002F3AAF">
      <w:pPr>
        <w:pStyle w:val="Heading1"/>
      </w:pPr>
      <w:bookmarkStart w:id="13" w:name="O_710454"/>
      <w:bookmarkEnd w:id="13"/>
      <w:r w:rsidRPr="002F3AA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44FA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2</w:t>
            </w:r>
            <w:r w:rsidRPr="002F3AAF">
              <w:t>.</w:t>
            </w:r>
            <w:r w:rsidRPr="002F3AAF">
              <w:rPr>
                <w:rStyle w:val="SpecialBold"/>
              </w:rPr>
              <w:t>2</w:t>
            </w:r>
            <w:r w:rsidRPr="002F3AAF">
              <w:t xml:space="preserve">) </w:t>
            </w:r>
            <w:r w:rsidRPr="002F3AAF">
              <w:rPr>
                <w:rStyle w:val="SpecialBold"/>
              </w:rPr>
              <w:t>Literacy and numeracy skills</w:t>
            </w:r>
          </w:p>
          <w:p w:rsidR="00000000" w:rsidP="002F3AAF">
            <w:pPr>
              <w:pStyle w:val="BodyText"/>
              <w:rPr>
                <w:lang w:val="en-NZ"/>
              </w:rPr>
            </w:pPr>
            <w:r w:rsidRPr="002F3AAF">
              <w:t>Participants are best equipped to achieve competency in this unit if they have reading, writing and numeracy skills indicated by the following scales. Description of each scale is given in Volume 2, Part 3 'Literacy and Numeracy'</w:t>
            </w:r>
          </w:p>
        </w:tc>
      </w:tr>
      <w:tr w:rsidTr="00B44FA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Reading</w:t>
            </w:r>
          </w:p>
        </w:tc>
        <w:tc>
          <w:tcPr>
            <w:tcW w:w="1182"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5</w:t>
            </w:r>
          </w:p>
        </w:tc>
        <w:tc>
          <w:tcPr>
            <w:tcW w:w="1739"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Writing</w:t>
            </w:r>
          </w:p>
        </w:tc>
        <w:tc>
          <w:tcPr>
            <w:tcW w:w="1182"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5</w:t>
            </w:r>
          </w:p>
        </w:tc>
        <w:tc>
          <w:tcPr>
            <w:tcW w:w="1721"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t>Numeracy</w:t>
            </w:r>
          </w:p>
        </w:tc>
        <w:tc>
          <w:tcPr>
            <w:tcW w:w="1182"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5</w:t>
            </w:r>
          </w:p>
        </w:tc>
      </w:tr>
    </w:tbl>
    <w:p w:rsidR="00B44FAD" w:rsidP="002F3AAF">
      <w:pPr>
        <w:pStyle w:val="BodyText"/>
      </w:pPr>
    </w:p>
    <w:p w:rsidR="00B44FAD" w:rsidP="002F3AAF">
      <w:pPr>
        <w:pStyle w:val="BodyText"/>
      </w:pPr>
    </w:p>
    <w:p w:rsidR="00000000" w:rsidRPr="002F3AAF" w:rsidP="002F3AAF">
      <w:pPr>
        <w:pStyle w:val="Heading1"/>
      </w:pPr>
      <w:bookmarkStart w:id="14" w:name="O_710453"/>
      <w:bookmarkEnd w:id="14"/>
      <w:r w:rsidRPr="002F3AAF">
        <w:t>Custom Content Section</w:t>
      </w:r>
    </w:p>
    <w:tbl>
      <w:tblPr>
        <w:tblW w:w="0" w:type="auto"/>
        <w:tblLayout w:type="fixed"/>
        <w:tblCellMar>
          <w:left w:w="62" w:type="dxa"/>
          <w:right w:w="62" w:type="dxa"/>
        </w:tblCellMar>
        <w:tblLook w:val="0000"/>
      </w:tblPr>
      <w:tblGrid>
        <w:gridCol w:w="2700"/>
        <w:gridCol w:w="5760"/>
      </w:tblGrid>
      <w:tr w:rsidTr="00B44F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3AAF">
            <w:pPr>
              <w:pStyle w:val="BodyText"/>
              <w:rPr>
                <w:lang w:val="en-NZ"/>
              </w:rPr>
            </w:pPr>
            <w:r w:rsidRPr="002F3AAF">
              <w:rPr>
                <w:rStyle w:val="SpecialBold"/>
              </w:rPr>
              <w:t>5</w:t>
            </w:r>
            <w:r w:rsidRPr="002F3AAF">
              <w:t>)</w:t>
            </w:r>
          </w:p>
        </w:tc>
      </w:tr>
      <w:tr w:rsidTr="00B44F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3AAF" w:rsidP="002F3AAF">
            <w:pPr>
              <w:pStyle w:val="BodyText"/>
            </w:pPr>
            <w:r w:rsidRPr="002F3AAF">
              <w:t>Refrigeration and Air Conditioning</w:t>
            </w:r>
          </w:p>
        </w:tc>
      </w:tr>
    </w:tbl>
    <w:p w:rsidR="00B44FAD" w:rsidP="002F3AAF">
      <w:pPr>
        <w:pStyle w:val="BodyText"/>
      </w:pPr>
    </w:p>
    <w:p w:rsidR="00B44FAD" w:rsidP="002F3AAF">
      <w:pPr>
        <w:pStyle w:val="BodyText"/>
      </w:pPr>
    </w:p>
    <w:p w:rsidR="00000000" w:rsidRPr="002F3AAF" w:rsidP="002F3AAF"/>
    <w:sectPr w:rsidSect="002F3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rsidRPr="00B44FAD" w:rsidP="00B44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AD" w:rsidP="002F3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44FAD" w:rsidP="002F3AA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44FAD" w:rsidP="002F3A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rsidRPr="00B44FAD" w:rsidP="00B44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AD" w:rsidRPr="002D2AF8" w:rsidP="002F3AAF">
    <w:pPr>
      <w:pStyle w:val="Header"/>
      <w:framePr w:wrap="around"/>
    </w:pPr>
    <w:r>
      <w:fldChar w:fldCharType="begin"/>
    </w:r>
    <w:r>
      <w:instrText xml:space="preserve"> TITLE   \* MERGEFORMAT </w:instrText>
    </w:r>
    <w:r>
      <w:fldChar w:fldCharType="separate"/>
    </w:r>
    <w:r>
      <w:t>UEENEEJ191A Select residential air conditioning system equipment,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B44FAD" w:rsidP="002F3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EB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09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45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AAF"/>
    <w:pPr>
      <w:spacing w:before="360" w:after="60"/>
      <w:outlineLvl w:val="0"/>
    </w:pPr>
    <w:rPr>
      <w:sz w:val="32"/>
    </w:rPr>
  </w:style>
  <w:style w:type="paragraph" w:styleId="Heading2">
    <w:name w:val="heading 2"/>
    <w:basedOn w:val="HeadingBase"/>
    <w:next w:val="BodyText"/>
    <w:link w:val="Heading2Char"/>
    <w:qFormat/>
    <w:rsid w:val="002F3AAF"/>
    <w:pPr>
      <w:keepLines/>
      <w:spacing w:before="240" w:after="120"/>
      <w:outlineLvl w:val="1"/>
    </w:pPr>
    <w:rPr>
      <w:sz w:val="28"/>
      <w:szCs w:val="40"/>
    </w:rPr>
  </w:style>
  <w:style w:type="paragraph" w:styleId="Heading3">
    <w:name w:val="heading 3"/>
    <w:basedOn w:val="HeadingBase"/>
    <w:next w:val="BodyText"/>
    <w:link w:val="Heading3Char"/>
    <w:qFormat/>
    <w:rsid w:val="002F3AAF"/>
    <w:pPr>
      <w:spacing w:before="180" w:after="120"/>
      <w:outlineLvl w:val="2"/>
    </w:pPr>
    <w:rPr>
      <w:spacing w:val="-10"/>
      <w:kern w:val="32"/>
    </w:rPr>
  </w:style>
  <w:style w:type="paragraph" w:styleId="Heading4">
    <w:name w:val="heading 4"/>
    <w:basedOn w:val="HeadingBase"/>
    <w:next w:val="BodyText"/>
    <w:link w:val="Heading4Char"/>
    <w:qFormat/>
    <w:rsid w:val="002F3AAF"/>
    <w:pPr>
      <w:spacing w:before="160" w:after="120"/>
      <w:outlineLvl w:val="3"/>
    </w:pPr>
    <w:rPr>
      <w:sz w:val="22"/>
    </w:rPr>
  </w:style>
  <w:style w:type="paragraph" w:styleId="Heading5">
    <w:name w:val="heading 5"/>
    <w:basedOn w:val="HeadingBase"/>
    <w:next w:val="Normal"/>
    <w:link w:val="Heading5Char"/>
    <w:qFormat/>
    <w:rsid w:val="002F3AAF"/>
    <w:pPr>
      <w:spacing w:before="80"/>
      <w:outlineLvl w:val="4"/>
    </w:pPr>
    <w:rPr>
      <w:color w:val="918585"/>
      <w:sz w:val="20"/>
    </w:rPr>
  </w:style>
  <w:style w:type="paragraph" w:styleId="Heading6">
    <w:name w:val="heading 6"/>
    <w:basedOn w:val="HeadingBase"/>
    <w:next w:val="Normal"/>
    <w:link w:val="Heading6Char"/>
    <w:qFormat/>
    <w:rsid w:val="002F3AAF"/>
    <w:pPr>
      <w:spacing w:before="60"/>
      <w:outlineLvl w:val="5"/>
    </w:pPr>
    <w:rPr>
      <w:color w:val="918585"/>
      <w:sz w:val="20"/>
    </w:rPr>
  </w:style>
  <w:style w:type="paragraph" w:styleId="Heading7">
    <w:name w:val="heading 7"/>
    <w:basedOn w:val="Normal"/>
    <w:next w:val="Normal"/>
    <w:link w:val="Heading7Char"/>
    <w:qFormat/>
    <w:rsid w:val="002F3AAF"/>
    <w:pPr>
      <w:ind w:left="720"/>
      <w:outlineLvl w:val="6"/>
    </w:pPr>
    <w:rPr>
      <w:i/>
    </w:rPr>
  </w:style>
  <w:style w:type="paragraph" w:styleId="Heading8">
    <w:name w:val="heading 8"/>
    <w:basedOn w:val="Normal"/>
    <w:next w:val="Normal"/>
    <w:link w:val="Heading8Char"/>
    <w:qFormat/>
    <w:rsid w:val="002F3AAF"/>
    <w:pPr>
      <w:ind w:left="720"/>
      <w:outlineLvl w:val="7"/>
    </w:pPr>
    <w:rPr>
      <w:i/>
    </w:rPr>
  </w:style>
  <w:style w:type="paragraph" w:styleId="Heading9">
    <w:name w:val="heading 9"/>
    <w:basedOn w:val="Normal"/>
    <w:next w:val="Normal"/>
    <w:link w:val="Heading9Char"/>
    <w:qFormat/>
    <w:rsid w:val="002F3AAF"/>
    <w:pPr>
      <w:ind w:left="720"/>
      <w:outlineLvl w:val="8"/>
    </w:pPr>
    <w:rPr>
      <w:i/>
    </w:rPr>
  </w:style>
  <w:style w:type="character" w:default="1" w:styleId="DefaultParagraphFont">
    <w:name w:val="Default Paragraph Font"/>
    <w:uiPriority w:val="1"/>
    <w:unhideWhenUsed/>
    <w:rsid w:val="002F3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AAF"/>
  </w:style>
  <w:style w:type="character" w:customStyle="1" w:styleId="Heading1Char">
    <w:name w:val="Heading 1 Char"/>
    <w:basedOn w:val="DefaultParagraphFont"/>
    <w:link w:val="Heading1"/>
    <w:rsid w:val="002F3AAF"/>
    <w:rPr>
      <w:rFonts w:ascii="Times New Roman" w:eastAsia="Times New Roman" w:hAnsi="Times New Roman" w:cs="Times New Roman"/>
      <w:b/>
      <w:sz w:val="32"/>
      <w:szCs w:val="20"/>
      <w:lang w:eastAsia="en-US"/>
    </w:rPr>
  </w:style>
  <w:style w:type="paragraph" w:styleId="BodyText">
    <w:name w:val="Body Text"/>
    <w:basedOn w:val="Normal"/>
    <w:link w:val="BodyTextChar"/>
    <w:rsid w:val="002F3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AAF"/>
    <w:rPr>
      <w:rFonts w:ascii="Times New Roman" w:eastAsia="Times New Roman" w:hAnsi="Times New Roman" w:cs="Times New Roman"/>
      <w:sz w:val="24"/>
      <w:lang w:eastAsia="en-US"/>
    </w:rPr>
  </w:style>
  <w:style w:type="paragraph" w:styleId="ListBullet">
    <w:name w:val="List Bullet"/>
    <w:basedOn w:val="List"/>
    <w:rsid w:val="002F3AAF"/>
    <w:pPr>
      <w:numPr>
        <w:numId w:val="14"/>
      </w:numPr>
      <w:tabs>
        <w:tab w:val="clear" w:pos="340"/>
      </w:tabs>
      <w:spacing w:before="40" w:after="40"/>
    </w:pPr>
  </w:style>
  <w:style w:type="character" w:customStyle="1" w:styleId="SpecialBold">
    <w:name w:val="Special Bold"/>
    <w:basedOn w:val="DefaultParagraphFont"/>
    <w:rsid w:val="002F3AAF"/>
    <w:rPr>
      <w:b/>
      <w:spacing w:val="0"/>
    </w:rPr>
  </w:style>
  <w:style w:type="paragraph" w:styleId="ListBullet2">
    <w:name w:val="List Bullet 2"/>
    <w:basedOn w:val="List2"/>
    <w:rsid w:val="002F3AAF"/>
    <w:pPr>
      <w:numPr>
        <w:numId w:val="15"/>
      </w:numPr>
      <w:tabs>
        <w:tab w:val="clear" w:pos="680"/>
      </w:tabs>
    </w:pPr>
  </w:style>
  <w:style w:type="paragraph" w:customStyle="1" w:styleId="SuperHeading">
    <w:name w:val="SuperHeading"/>
    <w:basedOn w:val="Normal"/>
    <w:rsid w:val="002F3AAF"/>
    <w:pPr>
      <w:spacing w:before="240" w:after="120"/>
      <w:outlineLvl w:val="0"/>
    </w:pPr>
    <w:rPr>
      <w:rFonts w:ascii="Times New Roman" w:hAnsi="Times New Roman"/>
      <w:b/>
      <w:sz w:val="32"/>
    </w:rPr>
  </w:style>
  <w:style w:type="paragraph" w:customStyle="1" w:styleId="AllowPageBreak">
    <w:name w:val="AllowPageBreak"/>
    <w:rsid w:val="002F3A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3AAF"/>
    <w:pPr>
      <w:numPr>
        <w:numId w:val="3"/>
      </w:numPr>
      <w:tabs>
        <w:tab w:val="clear" w:pos="1021"/>
      </w:tabs>
      <w:ind w:left="1037" w:hanging="357"/>
    </w:pPr>
  </w:style>
  <w:style w:type="character" w:customStyle="1" w:styleId="Heading2Char">
    <w:name w:val="Heading 2 Char"/>
    <w:basedOn w:val="DefaultParagraphFont"/>
    <w:link w:val="Heading2"/>
    <w:rsid w:val="002F3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AAF"/>
    <w:rPr>
      <w:rFonts w:ascii="Courier New" w:eastAsia="Times New Roman" w:hAnsi="Courier New" w:cs="Times New Roman"/>
      <w:i/>
      <w:szCs w:val="20"/>
      <w:lang w:eastAsia="en-US"/>
    </w:rPr>
  </w:style>
  <w:style w:type="paragraph" w:customStyle="1" w:styleId="HeadingBase">
    <w:name w:val="Heading Base"/>
    <w:rsid w:val="002F3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AAF"/>
    <w:pPr>
      <w:tabs>
        <w:tab w:val="right" w:leader="dot" w:pos="9072"/>
      </w:tabs>
      <w:ind w:left="567"/>
    </w:pPr>
    <w:rPr>
      <w:szCs w:val="22"/>
    </w:rPr>
  </w:style>
  <w:style w:type="paragraph" w:customStyle="1" w:styleId="TOCBase">
    <w:name w:val="TOC Base"/>
    <w:rsid w:val="002F3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AAF"/>
    <w:pPr>
      <w:tabs>
        <w:tab w:val="right" w:leader="dot" w:pos="9072"/>
      </w:tabs>
      <w:spacing w:before="40" w:after="40"/>
      <w:ind w:left="284"/>
    </w:pPr>
    <w:rPr>
      <w:rFonts w:ascii="Times New Roman" w:hAnsi="Times New Roman"/>
    </w:rPr>
  </w:style>
  <w:style w:type="paragraph" w:styleId="TOC1">
    <w:name w:val="toc 1"/>
    <w:basedOn w:val="TOCBase"/>
    <w:next w:val="Normal"/>
    <w:rsid w:val="002F3A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AAF"/>
    <w:rPr>
      <w:rFonts w:ascii="Times New Roman" w:eastAsia="Times New Roman" w:hAnsi="Times New Roman" w:cs="Times New Roman"/>
      <w:sz w:val="16"/>
      <w:lang w:eastAsia="en-US"/>
    </w:rPr>
  </w:style>
  <w:style w:type="paragraph" w:styleId="Title">
    <w:name w:val="Title"/>
    <w:basedOn w:val="HeadingBase"/>
    <w:link w:val="TitleChar"/>
    <w:qFormat/>
    <w:rsid w:val="002F3AAF"/>
    <w:pPr>
      <w:spacing w:before="5040"/>
      <w:jc w:val="center"/>
    </w:pPr>
    <w:rPr>
      <w:sz w:val="48"/>
      <w:szCs w:val="72"/>
      <w:lang w:val="en-US"/>
    </w:rPr>
  </w:style>
  <w:style w:type="character" w:customStyle="1" w:styleId="TitleChar">
    <w:name w:val="Title Char"/>
    <w:basedOn w:val="DefaultParagraphFont"/>
    <w:link w:val="Title"/>
    <w:rsid w:val="002F3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AAF"/>
    <w:pPr>
      <w:tabs>
        <w:tab w:val="left" w:pos="3600"/>
        <w:tab w:val="left" w:pos="3958"/>
      </w:tabs>
    </w:pPr>
  </w:style>
  <w:style w:type="paragraph" w:styleId="List">
    <w:name w:val="List"/>
    <w:basedOn w:val="BodyText"/>
    <w:next w:val="BodyText"/>
    <w:rsid w:val="002F3AAF"/>
    <w:pPr>
      <w:tabs>
        <w:tab w:val="left" w:pos="340"/>
      </w:tabs>
      <w:spacing w:before="60" w:after="60"/>
      <w:ind w:left="340" w:hanging="340"/>
    </w:pPr>
  </w:style>
  <w:style w:type="paragraph" w:customStyle="1" w:styleId="Note">
    <w:name w:val="Note"/>
    <w:basedOn w:val="BodyText"/>
    <w:rsid w:val="002F3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AAF"/>
    <w:pPr>
      <w:framePr w:wrap="auto" w:hAnchor="text" w:y="6049"/>
    </w:pPr>
    <w:rPr>
      <w:color w:val="000000"/>
      <w:sz w:val="40"/>
    </w:rPr>
  </w:style>
  <w:style w:type="paragraph" w:customStyle="1" w:styleId="TOCTitle">
    <w:name w:val="TOCTitle"/>
    <w:basedOn w:val="Heading1"/>
    <w:rsid w:val="002F3AAF"/>
    <w:pPr>
      <w:spacing w:after="240"/>
      <w:jc w:val="center"/>
      <w:outlineLvl w:val="9"/>
    </w:pPr>
    <w:rPr>
      <w:caps/>
    </w:rPr>
  </w:style>
  <w:style w:type="paragraph" w:customStyle="1" w:styleId="Version">
    <w:name w:val="Version"/>
    <w:rsid w:val="002F3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AAF"/>
    <w:pPr>
      <w:keepNext w:val="0"/>
      <w:tabs>
        <w:tab w:val="right" w:pos="4176"/>
      </w:tabs>
      <w:ind w:left="198" w:hanging="198"/>
    </w:pPr>
    <w:rPr>
      <w:rFonts w:ascii="Garamond" w:hAnsi="Garamond"/>
    </w:rPr>
  </w:style>
  <w:style w:type="paragraph" w:styleId="IndexHeading">
    <w:name w:val="index heading"/>
    <w:basedOn w:val="Normal"/>
    <w:next w:val="Index1"/>
    <w:semiHidden/>
    <w:rsid w:val="002F3AAF"/>
    <w:pPr>
      <w:spacing w:before="120" w:after="120"/>
    </w:pPr>
    <w:rPr>
      <w:rFonts w:ascii="Arial" w:hAnsi="Arial"/>
      <w:b/>
      <w:color w:val="918585"/>
      <w:sz w:val="24"/>
    </w:rPr>
  </w:style>
  <w:style w:type="paragraph" w:styleId="Header">
    <w:name w:val="header"/>
    <w:basedOn w:val="Normal"/>
    <w:link w:val="HeaderChar"/>
    <w:rsid w:val="002F3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AAF"/>
    <w:rPr>
      <w:rFonts w:ascii="Times New Roman" w:eastAsia="Times New Roman" w:hAnsi="Times New Roman" w:cs="Times New Roman"/>
      <w:sz w:val="16"/>
      <w:szCs w:val="20"/>
      <w:lang w:val="en-GB" w:eastAsia="en-US"/>
    </w:rPr>
  </w:style>
  <w:style w:type="paragraph" w:customStyle="1" w:styleId="Chapter">
    <w:name w:val="Chapter"/>
    <w:basedOn w:val="Normal"/>
    <w:rsid w:val="002F3AAF"/>
    <w:pPr>
      <w:spacing w:before="240"/>
    </w:pPr>
    <w:rPr>
      <w:rFonts w:ascii="Times New Roman" w:hAnsi="Times New Roman"/>
      <w:smallCaps/>
      <w:spacing w:val="80"/>
      <w:sz w:val="28"/>
    </w:rPr>
  </w:style>
  <w:style w:type="paragraph" w:customStyle="1" w:styleId="InChapter">
    <w:name w:val="InChapter"/>
    <w:basedOn w:val="Heading3"/>
    <w:rsid w:val="002F3AAF"/>
    <w:pPr>
      <w:spacing w:after="240"/>
      <w:outlineLvl w:val="9"/>
    </w:pPr>
    <w:rPr>
      <w:noProof/>
    </w:rPr>
  </w:style>
  <w:style w:type="paragraph" w:styleId="Index2">
    <w:name w:val="index 2"/>
    <w:basedOn w:val="Normal"/>
    <w:next w:val="Normal"/>
    <w:semiHidden/>
    <w:rsid w:val="002F3AAF"/>
    <w:pPr>
      <w:tabs>
        <w:tab w:val="right" w:pos="4176"/>
      </w:tabs>
      <w:ind w:left="568" w:hanging="284"/>
    </w:pPr>
    <w:rPr>
      <w:rFonts w:ascii="Garamond" w:hAnsi="Garamond"/>
    </w:rPr>
  </w:style>
  <w:style w:type="paragraph" w:customStyle="1" w:styleId="Byline">
    <w:name w:val="Byline"/>
    <w:rsid w:val="002F3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AAF"/>
    <w:pPr>
      <w:tabs>
        <w:tab w:val="clear" w:pos="3600"/>
        <w:tab w:val="clear" w:pos="3958"/>
      </w:tabs>
      <w:jc w:val="right"/>
    </w:pPr>
  </w:style>
  <w:style w:type="character" w:styleId="Emphasis">
    <w:name w:val="Emphasis"/>
    <w:basedOn w:val="DefaultParagraphFont"/>
    <w:qFormat/>
    <w:rsid w:val="002F3AAF"/>
    <w:rPr>
      <w:i/>
    </w:rPr>
  </w:style>
  <w:style w:type="paragraph" w:styleId="Caption">
    <w:name w:val="caption"/>
    <w:basedOn w:val="BodyText"/>
    <w:next w:val="Normal"/>
    <w:qFormat/>
    <w:rsid w:val="002F3AAF"/>
    <w:pPr>
      <w:framePr w:w="2268" w:hSpace="181" w:vSpace="181" w:wrap="around" w:vAnchor="text" w:hAnchor="page" w:x="1135" w:y="285" w:anchorLock="1"/>
    </w:pPr>
    <w:rPr>
      <w:i/>
    </w:rPr>
  </w:style>
  <w:style w:type="paragraph" w:customStyle="1" w:styleId="MiniTOCTitle">
    <w:name w:val="MiniTOCTitle"/>
    <w:basedOn w:val="Heading4"/>
    <w:rsid w:val="002F3AAF"/>
    <w:pPr>
      <w:spacing w:before="240"/>
      <w:outlineLvl w:val="9"/>
    </w:pPr>
    <w:rPr>
      <w:noProof/>
      <w:sz w:val="24"/>
    </w:rPr>
  </w:style>
  <w:style w:type="paragraph" w:customStyle="1" w:styleId="MiniTOCItem">
    <w:name w:val="MiniTOCItem"/>
    <w:basedOn w:val="ListBullet"/>
    <w:rsid w:val="002F3AAF"/>
    <w:pPr>
      <w:numPr>
        <w:numId w:val="0"/>
      </w:numPr>
      <w:tabs>
        <w:tab w:val="right" w:leader="dot" w:pos="6521"/>
      </w:tabs>
      <w:spacing w:before="0" w:after="0"/>
    </w:pPr>
  </w:style>
  <w:style w:type="paragraph" w:customStyle="1" w:styleId="TOFTitle">
    <w:name w:val="TOFTitle"/>
    <w:basedOn w:val="TOCTitle"/>
    <w:rsid w:val="002F3AAF"/>
  </w:style>
  <w:style w:type="paragraph" w:styleId="TableofFigures">
    <w:name w:val="table of figures"/>
    <w:basedOn w:val="Normal"/>
    <w:next w:val="Normal"/>
    <w:semiHidden/>
    <w:rsid w:val="002F3AAF"/>
    <w:pPr>
      <w:tabs>
        <w:tab w:val="right" w:leader="dot" w:pos="9072"/>
      </w:tabs>
      <w:ind w:left="970" w:hanging="403"/>
    </w:pPr>
    <w:rPr>
      <w:rFonts w:ascii="Times New Roman" w:hAnsi="Times New Roman"/>
      <w:b/>
    </w:rPr>
  </w:style>
  <w:style w:type="paragraph" w:styleId="ListNumber">
    <w:name w:val="List Number"/>
    <w:basedOn w:val="List"/>
    <w:rsid w:val="002F3AAF"/>
    <w:pPr>
      <w:numPr>
        <w:numId w:val="12"/>
      </w:numPr>
    </w:pPr>
  </w:style>
  <w:style w:type="character" w:customStyle="1" w:styleId="WingdingSymbols">
    <w:name w:val="Wingding Symbols"/>
    <w:rsid w:val="002F3AAF"/>
    <w:rPr>
      <w:rFonts w:ascii="Wingdings" w:hAnsi="Wingdings"/>
    </w:rPr>
  </w:style>
  <w:style w:type="paragraph" w:customStyle="1" w:styleId="TableHeading">
    <w:name w:val="Table Heading"/>
    <w:basedOn w:val="HeadingBase"/>
    <w:rsid w:val="002F3AAF"/>
    <w:pPr>
      <w:keepLines/>
      <w:pBdr>
        <w:bottom w:val="single" w:sz="6" w:space="1" w:color="918585"/>
      </w:pBdr>
      <w:spacing w:before="240"/>
    </w:pPr>
  </w:style>
  <w:style w:type="character" w:customStyle="1" w:styleId="HotSpot">
    <w:name w:val="HotSpot"/>
    <w:rsid w:val="002F3AAF"/>
    <w:rPr>
      <w:color w:val="0033CC"/>
      <w:u w:val="none"/>
    </w:rPr>
  </w:style>
  <w:style w:type="paragraph" w:customStyle="1" w:styleId="BodyTextRight">
    <w:name w:val="Body Text Right"/>
    <w:basedOn w:val="BodyText"/>
    <w:rsid w:val="002F3AAF"/>
    <w:pPr>
      <w:spacing w:before="0" w:after="0"/>
      <w:jc w:val="right"/>
    </w:pPr>
  </w:style>
  <w:style w:type="paragraph" w:styleId="Index3">
    <w:name w:val="index 3"/>
    <w:basedOn w:val="ListNumber2"/>
    <w:next w:val="Normal"/>
    <w:semiHidden/>
    <w:rsid w:val="002F3AAF"/>
    <w:pPr>
      <w:numPr>
        <w:numId w:val="0"/>
      </w:numPr>
      <w:tabs>
        <w:tab w:val="right" w:leader="dot" w:pos="4176"/>
      </w:tabs>
    </w:pPr>
  </w:style>
  <w:style w:type="paragraph" w:styleId="ListNumber2">
    <w:name w:val="List Number 2"/>
    <w:basedOn w:val="List2"/>
    <w:rsid w:val="002F3AAF"/>
    <w:pPr>
      <w:numPr>
        <w:numId w:val="11"/>
      </w:numPr>
      <w:tabs>
        <w:tab w:val="clear" w:pos="1060"/>
      </w:tabs>
    </w:pPr>
  </w:style>
  <w:style w:type="paragraph" w:customStyle="1" w:styleId="MarginNote">
    <w:name w:val="Margin Note"/>
    <w:basedOn w:val="BodyText"/>
    <w:rsid w:val="002F3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AAF"/>
    <w:rPr>
      <w:sz w:val="32"/>
    </w:rPr>
  </w:style>
  <w:style w:type="paragraph" w:customStyle="1" w:styleId="HeadingProcedure">
    <w:name w:val="Heading Procedure"/>
    <w:basedOn w:val="HeadingBase"/>
    <w:next w:val="Normal"/>
    <w:rsid w:val="002F3AAF"/>
    <w:pPr>
      <w:tabs>
        <w:tab w:val="left" w:pos="0"/>
      </w:tabs>
      <w:spacing w:before="120" w:after="60"/>
    </w:pPr>
    <w:rPr>
      <w:i/>
      <w:color w:val="918585"/>
      <w:sz w:val="22"/>
    </w:rPr>
  </w:style>
  <w:style w:type="paragraph" w:customStyle="1" w:styleId="TableBodyText">
    <w:name w:val="Table Body Text"/>
    <w:basedOn w:val="BodyText"/>
    <w:rsid w:val="002F3AAF"/>
    <w:pPr>
      <w:spacing w:before="60" w:after="60"/>
    </w:pPr>
  </w:style>
  <w:style w:type="paragraph" w:styleId="ListContinue">
    <w:name w:val="List Continue"/>
    <w:basedOn w:val="List"/>
    <w:rsid w:val="002F3AAF"/>
    <w:pPr>
      <w:ind w:firstLine="0"/>
    </w:pPr>
  </w:style>
  <w:style w:type="paragraph" w:customStyle="1" w:styleId="ListNote">
    <w:name w:val="List Note"/>
    <w:basedOn w:val="List"/>
    <w:rsid w:val="002F3AAF"/>
    <w:pPr>
      <w:pBdr>
        <w:top w:val="single" w:sz="6" w:space="2" w:color="918585"/>
        <w:bottom w:val="single" w:sz="6" w:space="2" w:color="918585"/>
      </w:pBdr>
      <w:tabs>
        <w:tab w:val="left" w:pos="1021"/>
      </w:tabs>
      <w:ind w:firstLine="0"/>
    </w:pPr>
  </w:style>
  <w:style w:type="paragraph" w:customStyle="1" w:styleId="Warning">
    <w:name w:val="Warning"/>
    <w:basedOn w:val="BodyText"/>
    <w:rsid w:val="002F3AAF"/>
    <w:pPr>
      <w:shd w:val="clear" w:color="auto" w:fill="D9D9D9"/>
      <w:tabs>
        <w:tab w:val="left" w:pos="992"/>
      </w:tabs>
      <w:ind w:left="119" w:right="119"/>
    </w:pPr>
    <w:rPr>
      <w:sz w:val="20"/>
    </w:rPr>
  </w:style>
  <w:style w:type="paragraph" w:customStyle="1" w:styleId="MarginIcons">
    <w:name w:val="Margin Icons"/>
    <w:basedOn w:val="BodyText"/>
    <w:rsid w:val="002F3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AAF"/>
    <w:rPr>
      <w:rFonts w:ascii="Courier New" w:hAnsi="Courier New"/>
    </w:rPr>
  </w:style>
  <w:style w:type="paragraph" w:customStyle="1" w:styleId="NoteBullet">
    <w:name w:val="Note Bullet"/>
    <w:basedOn w:val="Note"/>
    <w:rsid w:val="002F3AAF"/>
    <w:pPr>
      <w:tabs>
        <w:tab w:val="clear" w:pos="680"/>
      </w:tabs>
      <w:spacing w:before="60" w:after="60"/>
    </w:pPr>
  </w:style>
  <w:style w:type="paragraph" w:customStyle="1" w:styleId="SubHeading2">
    <w:name w:val="SubHeading2"/>
    <w:basedOn w:val="HeadingBase"/>
    <w:rsid w:val="002F3AAF"/>
    <w:pPr>
      <w:spacing w:before="240" w:after="60"/>
    </w:pPr>
    <w:rPr>
      <w:sz w:val="20"/>
    </w:rPr>
  </w:style>
  <w:style w:type="paragraph" w:customStyle="1" w:styleId="SubHeading1">
    <w:name w:val="SubHeading1"/>
    <w:basedOn w:val="HeadingBase"/>
    <w:rsid w:val="002F3AAF"/>
    <w:pPr>
      <w:spacing w:before="240" w:after="60"/>
    </w:pPr>
    <w:rPr>
      <w:color w:val="918585"/>
      <w:sz w:val="22"/>
    </w:rPr>
  </w:style>
  <w:style w:type="paragraph" w:customStyle="1" w:styleId="SideHeading">
    <w:name w:val="Side Heading"/>
    <w:basedOn w:val="HeadingBase"/>
    <w:rsid w:val="002F3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AAF"/>
    <w:pPr>
      <w:numPr>
        <w:numId w:val="13"/>
      </w:numPr>
    </w:pPr>
  </w:style>
  <w:style w:type="paragraph" w:styleId="PlainText">
    <w:name w:val="Plain Text"/>
    <w:basedOn w:val="Normal"/>
    <w:link w:val="PlainTextChar"/>
    <w:rsid w:val="002F3AAF"/>
    <w:rPr>
      <w:sz w:val="20"/>
    </w:rPr>
  </w:style>
  <w:style w:type="character" w:customStyle="1" w:styleId="PlainTextChar">
    <w:name w:val="Plain Text Char"/>
    <w:basedOn w:val="DefaultParagraphFont"/>
    <w:link w:val="PlainText"/>
    <w:rsid w:val="002F3AAF"/>
    <w:rPr>
      <w:rFonts w:ascii="Courier New" w:eastAsia="Times New Roman" w:hAnsi="Courier New" w:cs="Times New Roman"/>
      <w:sz w:val="20"/>
      <w:szCs w:val="20"/>
      <w:lang w:eastAsia="en-US"/>
    </w:rPr>
  </w:style>
  <w:style w:type="character" w:customStyle="1" w:styleId="MenuOption">
    <w:name w:val="Menu Option"/>
    <w:basedOn w:val="DefaultParagraphFont"/>
    <w:rsid w:val="002F3AAF"/>
    <w:rPr>
      <w:b/>
      <w:smallCaps/>
    </w:rPr>
  </w:style>
  <w:style w:type="paragraph" w:customStyle="1" w:styleId="TableListNumber">
    <w:name w:val="Table List Number"/>
    <w:basedOn w:val="ListNumber"/>
    <w:rsid w:val="002F3AAF"/>
    <w:pPr>
      <w:numPr>
        <w:numId w:val="0"/>
      </w:numPr>
    </w:pPr>
  </w:style>
  <w:style w:type="paragraph" w:styleId="TOC4">
    <w:name w:val="toc 4"/>
    <w:basedOn w:val="TOCBase"/>
    <w:next w:val="Normal"/>
    <w:semiHidden/>
    <w:rsid w:val="002F3AAF"/>
    <w:pPr>
      <w:tabs>
        <w:tab w:val="right" w:leader="dot" w:pos="9071"/>
      </w:tabs>
      <w:ind w:left="1701"/>
    </w:pPr>
  </w:style>
  <w:style w:type="paragraph" w:customStyle="1" w:styleId="ListAlpha">
    <w:name w:val="List Alpha"/>
    <w:basedOn w:val="List"/>
    <w:rsid w:val="002F3AAF"/>
    <w:pPr>
      <w:numPr>
        <w:numId w:val="10"/>
      </w:numPr>
    </w:pPr>
  </w:style>
  <w:style w:type="paragraph" w:customStyle="1" w:styleId="ListAlpha2">
    <w:name w:val="List Alpha 2"/>
    <w:basedOn w:val="List2"/>
    <w:rsid w:val="002F3AAF"/>
    <w:pPr>
      <w:numPr>
        <w:numId w:val="9"/>
      </w:numPr>
    </w:pPr>
  </w:style>
  <w:style w:type="paragraph" w:styleId="List2">
    <w:name w:val="List 2"/>
    <w:basedOn w:val="BodyText"/>
    <w:rsid w:val="002F3AAF"/>
    <w:pPr>
      <w:tabs>
        <w:tab w:val="left" w:pos="680"/>
      </w:tabs>
      <w:spacing w:before="60" w:after="60"/>
      <w:ind w:left="680" w:hanging="340"/>
    </w:pPr>
  </w:style>
  <w:style w:type="paragraph" w:styleId="List3">
    <w:name w:val="List 3"/>
    <w:basedOn w:val="BodyText"/>
    <w:rsid w:val="002F3AAF"/>
    <w:pPr>
      <w:tabs>
        <w:tab w:val="left" w:pos="1021"/>
      </w:tabs>
      <w:spacing w:before="60" w:after="60"/>
      <w:ind w:left="1020" w:hanging="340"/>
    </w:pPr>
  </w:style>
  <w:style w:type="paragraph" w:styleId="List4">
    <w:name w:val="List 4"/>
    <w:basedOn w:val="BodyText"/>
    <w:rsid w:val="002F3AAF"/>
    <w:pPr>
      <w:tabs>
        <w:tab w:val="left" w:pos="1361"/>
      </w:tabs>
      <w:spacing w:before="60" w:after="60"/>
      <w:ind w:left="1361" w:hanging="340"/>
    </w:pPr>
  </w:style>
  <w:style w:type="paragraph" w:styleId="List5">
    <w:name w:val="List 5"/>
    <w:basedOn w:val="BodyText"/>
    <w:rsid w:val="002F3AAF"/>
    <w:pPr>
      <w:tabs>
        <w:tab w:val="left" w:pos="1701"/>
      </w:tabs>
      <w:spacing w:before="60" w:after="60"/>
      <w:ind w:left="1701" w:hanging="340"/>
    </w:pPr>
  </w:style>
  <w:style w:type="paragraph" w:styleId="ListBullet4">
    <w:name w:val="List Bullet 4"/>
    <w:basedOn w:val="List4"/>
    <w:rsid w:val="002F3AAF"/>
    <w:pPr>
      <w:numPr>
        <w:numId w:val="4"/>
      </w:numPr>
      <w:tabs>
        <w:tab w:val="clear" w:pos="1361"/>
      </w:tabs>
    </w:pPr>
  </w:style>
  <w:style w:type="paragraph" w:styleId="ListBullet5">
    <w:name w:val="List Bullet 5"/>
    <w:basedOn w:val="List5"/>
    <w:rsid w:val="002F3AAF"/>
    <w:pPr>
      <w:numPr>
        <w:numId w:val="5"/>
      </w:numPr>
    </w:pPr>
  </w:style>
  <w:style w:type="paragraph" w:styleId="ListContinue2">
    <w:name w:val="List Continue 2"/>
    <w:basedOn w:val="List2"/>
    <w:rsid w:val="002F3AAF"/>
    <w:pPr>
      <w:ind w:firstLine="0"/>
    </w:pPr>
  </w:style>
  <w:style w:type="paragraph" w:styleId="ListContinue3">
    <w:name w:val="List Continue 3"/>
    <w:basedOn w:val="List3"/>
    <w:rsid w:val="002F3AAF"/>
    <w:pPr>
      <w:ind w:left="1021" w:firstLine="0"/>
    </w:pPr>
  </w:style>
  <w:style w:type="paragraph" w:styleId="ListContinue4">
    <w:name w:val="List Continue 4"/>
    <w:basedOn w:val="List4"/>
    <w:rsid w:val="002F3AAF"/>
    <w:pPr>
      <w:ind w:firstLine="0"/>
    </w:pPr>
  </w:style>
  <w:style w:type="paragraph" w:styleId="ListContinue5">
    <w:name w:val="List Continue 5"/>
    <w:basedOn w:val="List5"/>
    <w:rsid w:val="002F3AAF"/>
    <w:pPr>
      <w:ind w:firstLine="0"/>
    </w:pPr>
  </w:style>
  <w:style w:type="paragraph" w:styleId="ListNumber3">
    <w:name w:val="List Number 3"/>
    <w:basedOn w:val="List3"/>
    <w:rsid w:val="002F3AAF"/>
    <w:pPr>
      <w:numPr>
        <w:numId w:val="6"/>
      </w:numPr>
    </w:pPr>
  </w:style>
  <w:style w:type="paragraph" w:styleId="ListNumber4">
    <w:name w:val="List Number 4"/>
    <w:basedOn w:val="List4"/>
    <w:rsid w:val="002F3AAF"/>
    <w:pPr>
      <w:numPr>
        <w:numId w:val="7"/>
      </w:numPr>
    </w:pPr>
  </w:style>
  <w:style w:type="paragraph" w:styleId="ListNumber5">
    <w:name w:val="List Number 5"/>
    <w:basedOn w:val="List5"/>
    <w:rsid w:val="002F3AAF"/>
    <w:pPr>
      <w:numPr>
        <w:numId w:val="8"/>
      </w:numPr>
    </w:pPr>
  </w:style>
  <w:style w:type="paragraph" w:styleId="BlockText">
    <w:name w:val="Block Text"/>
    <w:basedOn w:val="Normal"/>
    <w:rsid w:val="002F3AAF"/>
    <w:pPr>
      <w:spacing w:after="120"/>
      <w:ind w:left="1440" w:right="1440"/>
    </w:pPr>
  </w:style>
  <w:style w:type="character" w:customStyle="1" w:styleId="Subscript">
    <w:name w:val="Subscript"/>
    <w:basedOn w:val="DefaultParagraphFont"/>
    <w:rsid w:val="002F3AAF"/>
    <w:rPr>
      <w:sz w:val="16"/>
      <w:vertAlign w:val="subscript"/>
    </w:rPr>
  </w:style>
  <w:style w:type="character" w:customStyle="1" w:styleId="Superscript">
    <w:name w:val="Superscript"/>
    <w:basedOn w:val="DefaultParagraphFont"/>
    <w:rsid w:val="002F3AAF"/>
    <w:rPr>
      <w:sz w:val="16"/>
      <w:vertAlign w:val="superscript"/>
    </w:rPr>
  </w:style>
  <w:style w:type="character" w:customStyle="1" w:styleId="Symbols">
    <w:name w:val="Symbols"/>
    <w:basedOn w:val="DefaultParagraphFont"/>
    <w:rsid w:val="002F3AAF"/>
    <w:rPr>
      <w:rFonts w:ascii="Symbol" w:hAnsi="Symbol"/>
    </w:rPr>
  </w:style>
  <w:style w:type="character" w:customStyle="1" w:styleId="MenuOptions">
    <w:name w:val="Menu Options"/>
    <w:basedOn w:val="DefaultParagraphFont"/>
    <w:rsid w:val="002F3AAF"/>
    <w:rPr>
      <w:rFonts w:ascii="Arial Narrow" w:hAnsi="Arial Narrow"/>
      <w:smallCaps/>
    </w:rPr>
  </w:style>
  <w:style w:type="character" w:customStyle="1" w:styleId="Buttons">
    <w:name w:val="Buttons"/>
    <w:basedOn w:val="DefaultParagraphFont"/>
    <w:rsid w:val="002F3AAF"/>
    <w:rPr>
      <w:b/>
    </w:rPr>
  </w:style>
  <w:style w:type="character" w:customStyle="1" w:styleId="Underlined">
    <w:name w:val="Underlined"/>
    <w:basedOn w:val="DefaultParagraphFont"/>
    <w:rsid w:val="002F3AAF"/>
    <w:rPr>
      <w:u w:val="single"/>
    </w:rPr>
  </w:style>
  <w:style w:type="paragraph" w:customStyle="1" w:styleId="TableBodyTextRight">
    <w:name w:val="Table Body Text Right"/>
    <w:basedOn w:val="TableBodyText"/>
    <w:rsid w:val="002F3AAF"/>
    <w:pPr>
      <w:widowControl w:val="0"/>
      <w:autoSpaceDE w:val="0"/>
      <w:autoSpaceDN w:val="0"/>
      <w:adjustRightInd w:val="0"/>
      <w:jc w:val="right"/>
    </w:pPr>
    <w:rPr>
      <w:rFonts w:cs="Arial"/>
      <w:szCs w:val="18"/>
    </w:rPr>
  </w:style>
  <w:style w:type="paragraph" w:customStyle="1" w:styleId="CopyrightText">
    <w:name w:val="Copyright Text"/>
    <w:basedOn w:val="BodyText"/>
    <w:rsid w:val="002F3AAF"/>
    <w:rPr>
      <w:sz w:val="18"/>
    </w:rPr>
  </w:style>
  <w:style w:type="paragraph" w:customStyle="1" w:styleId="BodySmallRight">
    <w:name w:val="Body Small Right"/>
    <w:basedOn w:val="BodyTextRight"/>
    <w:rsid w:val="002F3AAF"/>
    <w:rPr>
      <w:sz w:val="18"/>
      <w:szCs w:val="18"/>
    </w:rPr>
  </w:style>
  <w:style w:type="paragraph" w:customStyle="1" w:styleId="MarginEdition">
    <w:name w:val="Margin Edition"/>
    <w:basedOn w:val="MarginNote"/>
    <w:rsid w:val="002F3AAF"/>
    <w:pPr>
      <w:spacing w:before="0" w:after="0"/>
    </w:pPr>
    <w:rPr>
      <w:rFonts w:ascii="Times New Roman" w:hAnsi="Times New Roman"/>
      <w:color w:val="999999"/>
    </w:rPr>
  </w:style>
  <w:style w:type="paragraph" w:customStyle="1" w:styleId="Spacer">
    <w:name w:val="Spacer"/>
    <w:basedOn w:val="Normal"/>
    <w:rsid w:val="002F3AAF"/>
    <w:rPr>
      <w:sz w:val="2"/>
      <w:szCs w:val="2"/>
    </w:rPr>
  </w:style>
  <w:style w:type="character" w:customStyle="1" w:styleId="Small">
    <w:name w:val="Small"/>
    <w:basedOn w:val="DefaultParagraphFont"/>
    <w:rsid w:val="002F3AAF"/>
    <w:rPr>
      <w:sz w:val="16"/>
    </w:rPr>
  </w:style>
  <w:style w:type="paragraph" w:customStyle="1" w:styleId="WideTable">
    <w:name w:val="Wide Table"/>
    <w:basedOn w:val="Normal"/>
    <w:rsid w:val="002F3AAF"/>
    <w:pPr>
      <w:ind w:left="-1418"/>
    </w:pPr>
    <w:rPr>
      <w:sz w:val="2"/>
      <w:szCs w:val="2"/>
    </w:rPr>
  </w:style>
  <w:style w:type="character" w:styleId="PageNumber">
    <w:name w:val="page number"/>
    <w:basedOn w:val="DefaultParagraphFont"/>
    <w:rsid w:val="002F3AAF"/>
  </w:style>
  <w:style w:type="paragraph" w:styleId="Quote">
    <w:name w:val="Quote"/>
    <w:basedOn w:val="Heading1"/>
    <w:link w:val="QuoteChar"/>
    <w:qFormat/>
    <w:rsid w:val="002F3AAF"/>
    <w:rPr>
      <w:b w:val="0"/>
      <w:sz w:val="72"/>
      <w:szCs w:val="72"/>
      <w:lang w:val="en-NZ"/>
    </w:rPr>
  </w:style>
  <w:style w:type="character" w:customStyle="1" w:styleId="QuoteChar">
    <w:name w:val="Quote Char"/>
    <w:basedOn w:val="DefaultParagraphFont"/>
    <w:link w:val="Quote"/>
    <w:rsid w:val="002F3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AAF"/>
    <w:pPr>
      <w:pageBreakBefore/>
    </w:pPr>
  </w:style>
  <w:style w:type="paragraph" w:customStyle="1" w:styleId="Border">
    <w:name w:val="Border"/>
    <w:basedOn w:val="Normal"/>
    <w:qFormat/>
    <w:rsid w:val="002F3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AAF"/>
    <w:rPr>
      <w:b/>
      <w:bCs/>
      <w:i/>
      <w:iCs/>
      <w:color w:val="auto"/>
    </w:rPr>
  </w:style>
  <w:style w:type="paragraph" w:styleId="IntenseQuote">
    <w:name w:val="Intense Quote"/>
    <w:basedOn w:val="Normal"/>
    <w:next w:val="Normal"/>
    <w:link w:val="IntenseQuoteChar"/>
    <w:uiPriority w:val="30"/>
    <w:qFormat/>
    <w:rsid w:val="002F3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AAF"/>
    <w:rPr>
      <w:smallCaps/>
      <w:color w:val="auto"/>
      <w:u w:val="single"/>
    </w:rPr>
  </w:style>
  <w:style w:type="character" w:styleId="IntenseReference">
    <w:name w:val="Intense Reference"/>
    <w:basedOn w:val="DefaultParagraphFont"/>
    <w:uiPriority w:val="32"/>
    <w:qFormat/>
    <w:rsid w:val="002F3AAF"/>
    <w:rPr>
      <w:b/>
      <w:bCs/>
      <w:smallCaps/>
      <w:color w:val="auto"/>
      <w:spacing w:val="5"/>
      <w:u w:val="single"/>
    </w:rPr>
  </w:style>
  <w:style w:type="paragraph" w:customStyle="1" w:styleId="2ColumnHeading">
    <w:name w:val="2Column Heading"/>
    <w:basedOn w:val="BodyText"/>
    <w:qFormat/>
    <w:rsid w:val="002F3AAF"/>
    <w:pPr>
      <w:spacing w:after="60"/>
      <w:ind w:left="-2268"/>
    </w:pPr>
    <w:rPr>
      <w:b/>
    </w:rPr>
  </w:style>
  <w:style w:type="paragraph" w:customStyle="1" w:styleId="Heading1TOC">
    <w:name w:val="Heading1 TOC"/>
    <w:basedOn w:val="Normal"/>
    <w:qFormat/>
    <w:rsid w:val="002F3AAF"/>
    <w:pPr>
      <w:spacing w:before="240" w:after="120"/>
    </w:pPr>
    <w:rPr>
      <w:rFonts w:ascii="Times New Roman" w:hAnsi="Times New Roman"/>
      <w:b/>
      <w:sz w:val="32"/>
    </w:rPr>
  </w:style>
  <w:style w:type="paragraph" w:customStyle="1" w:styleId="Heading2TOC">
    <w:name w:val="Heading2 TOC"/>
    <w:basedOn w:val="Normal"/>
    <w:qFormat/>
    <w:rsid w:val="002F3AAF"/>
    <w:pPr>
      <w:spacing w:before="240" w:after="60"/>
    </w:pPr>
    <w:rPr>
      <w:rFonts w:ascii="Times New Roman" w:hAnsi="Times New Roman"/>
      <w:b/>
      <w:sz w:val="28"/>
    </w:rPr>
  </w:style>
  <w:style w:type="character" w:customStyle="1" w:styleId="Underline">
    <w:name w:val="Underline"/>
    <w:basedOn w:val="DefaultParagraphFont"/>
    <w:qFormat/>
    <w:rsid w:val="002F3AAF"/>
    <w:rPr>
      <w:u w:val="single"/>
    </w:rPr>
  </w:style>
  <w:style w:type="character" w:customStyle="1" w:styleId="BoldandItalics">
    <w:name w:val="Bold and Italics"/>
    <w:qFormat/>
    <w:rsid w:val="002F3AAF"/>
    <w:rPr>
      <w:b/>
      <w:i/>
      <w:u w:val="none"/>
    </w:rPr>
  </w:style>
  <w:style w:type="paragraph" w:styleId="BalloonText">
    <w:name w:val="Balloon Text"/>
    <w:basedOn w:val="Normal"/>
    <w:link w:val="BalloonTextChar"/>
    <w:rsid w:val="002F3AAF"/>
    <w:rPr>
      <w:rFonts w:ascii="Tahoma" w:hAnsi="Tahoma" w:cs="Tahoma"/>
      <w:sz w:val="16"/>
      <w:szCs w:val="16"/>
    </w:rPr>
  </w:style>
  <w:style w:type="character" w:customStyle="1" w:styleId="BalloonTextChar">
    <w:name w:val="Balloon Text Char"/>
    <w:basedOn w:val="DefaultParagraphFont"/>
    <w:link w:val="BalloonText"/>
    <w:rsid w:val="002F3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AAF"/>
    <w:rPr>
      <w:b/>
      <w:color w:val="660033"/>
      <w:spacing w:val="0"/>
    </w:rPr>
  </w:style>
  <w:style w:type="paragraph" w:customStyle="1" w:styleId="Nameditemlist">
    <w:name w:val="Named item list"/>
    <w:basedOn w:val="BodyText"/>
    <w:qFormat/>
    <w:rsid w:val="002F3A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2320</Words>
  <Characters>14504</Characters>
  <Application>Microsoft Office Word</Application>
  <DocSecurity>0</DocSecurity>
  <Lines>617</Lines>
  <Paragraphs>262</Paragraphs>
  <ScaleCrop>false</ScaleCrop>
  <Company>Author-it Software Corporation Ltd.</Company>
  <LinksUpToDate>false</LinksUpToDate>
  <CharactersWithSpaces>16657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UEENEEJ191A Select residential air conditioning system equipment, components and accessories</dc:title>
  <dc:subject>Approved</dc:subject>
  <dc:creator>E-OZ Training Standards</dc:creator>
  <cp:keywords>Release 4</cp:keywords>
  <dc:description>Review Date: 12 April 2008</dc:description>
  <cp:lastModifiedBy>HSD_TPCMSd.prod</cp:lastModifiedBy>
  <cp:revision>3</cp:revision>
  <dcterms:created xsi:type="dcterms:W3CDTF">2014-12-16T11:53:02Z</dcterms:created>
  <dcterms:modified xsi:type="dcterms:W3CDTF">2014-12-16T00:20:00Z</dcterms:modified>
</cp:coreProperties>
</file>