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682" w:rsidP="00DD0682">
      <w:pPr>
        <w:pStyle w:val="Title"/>
      </w:pPr>
      <w:r>
        <w:fldChar w:fldCharType="begin"/>
      </w:r>
      <w:r>
        <w:instrText xml:space="preserve"> TITLE   \* MERGEFORMAT </w:instrText>
      </w:r>
      <w:r>
        <w:fldChar w:fldCharType="separate"/>
      </w:r>
      <w:r>
        <w:t>UEENEEJ185A Repair and service carbon dioxide refrigeration systems</w:t>
      </w:r>
      <w:r>
        <w:fldChar w:fldCharType="end"/>
      </w:r>
    </w:p>
    <w:p w:rsidR="00DD0682" w:rsidP="00DD0682">
      <w:pPr>
        <w:pStyle w:val="Version"/>
        <w:sectPr w:rsidSect="00453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5328B" w:rsidP="0045328B">
      <w:pPr>
        <w:pStyle w:val="SuperHeading"/>
      </w:pPr>
      <w:r w:rsidRPr="0045328B">
        <w:t>UEENEEJ185A Repair and service carbon dioxide refrigeration systems</w:t>
      </w:r>
    </w:p>
    <w:p w:rsidR="00000000" w:rsidRPr="0045328B" w:rsidP="0045328B">
      <w:pPr>
        <w:pStyle w:val="Heading1"/>
      </w:pPr>
      <w:bookmarkStart w:id="1" w:name="O_710281"/>
      <w:bookmarkEnd w:id="1"/>
      <w:r w:rsidRPr="0045328B">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DD06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Points</w:t>
            </w:r>
          </w:p>
        </w:tc>
      </w:tr>
      <w:tr w:rsidTr="00DD068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28B">
            <w:pPr>
              <w:pStyle w:val="BodyText"/>
              <w:rPr>
                <w:lang w:val="en-NZ"/>
              </w:rPr>
            </w:pPr>
            <w:r w:rsidRPr="0045328B">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28B" w:rsidP="0045328B">
            <w:pPr>
              <w:pStyle w:val="BodyText"/>
            </w:pPr>
            <w:r w:rsidRPr="0045328B">
              <w:t>Update pre-requisite</w:t>
            </w:r>
          </w:p>
          <w:p w:rsidR="00000000" w:rsidP="0045328B">
            <w:pPr>
              <w:pStyle w:val="BodyText"/>
              <w:rPr>
                <w:lang w:val="en-NZ"/>
              </w:rPr>
            </w:pPr>
            <w:r w:rsidRPr="0045328B">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28B" w:rsidP="0045328B">
            <w:pPr>
              <w:pStyle w:val="BodyText"/>
            </w:pPr>
          </w:p>
        </w:tc>
      </w:tr>
    </w:tbl>
    <w:p w:rsidR="00000000" w:rsidRPr="0045328B" w:rsidP="0045328B">
      <w:pPr>
        <w:pStyle w:val="BodyText"/>
      </w:pPr>
    </w:p>
    <w:p w:rsidR="00000000" w:rsidRPr="0045328B" w:rsidP="0045328B">
      <w:pPr>
        <w:pStyle w:val="AllowPageBreak"/>
      </w:pPr>
    </w:p>
    <w:p w:rsidR="00000000" w:rsidRPr="0045328B" w:rsidP="0045328B">
      <w:pPr>
        <w:pStyle w:val="Heading1"/>
      </w:pPr>
      <w:bookmarkStart w:id="2" w:name="O_710280"/>
      <w:bookmarkEnd w:id="2"/>
      <w:r w:rsidRPr="0045328B">
        <w:t>Unit Descriptor</w:t>
      </w:r>
    </w:p>
    <w:tbl>
      <w:tblPr>
        <w:tblW w:w="0" w:type="auto"/>
        <w:tblLayout w:type="fixed"/>
        <w:tblCellMar>
          <w:left w:w="62" w:type="dxa"/>
          <w:right w:w="62" w:type="dxa"/>
        </w:tblCellMar>
        <w:tblLook w:val="0000"/>
      </w:tblPr>
      <w:tblGrid>
        <w:gridCol w:w="2700"/>
        <w:gridCol w:w="5760"/>
      </w:tblGrid>
      <w:tr w:rsidTr="00DD06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1</w:t>
            </w:r>
            <w:r w:rsidRPr="0045328B">
              <w:t xml:space="preserve">) </w:t>
            </w:r>
          </w:p>
          <w:p w:rsidR="00000000" w:rsidP="0045328B">
            <w:pPr>
              <w:pStyle w:val="BodyText"/>
              <w:rPr>
                <w:lang w:val="en-NZ"/>
              </w:rPr>
            </w:pPr>
            <w:r w:rsidRPr="0045328B">
              <w:rPr>
                <w:rStyle w:val="SpecialBold"/>
              </w:rPr>
              <w:t>1</w:t>
            </w:r>
            <w:r w:rsidRPr="0045328B">
              <w:t>.</w:t>
            </w:r>
            <w:r w:rsidRPr="0045328B">
              <w:rPr>
                <w:rStyle w:val="SpecialBold"/>
              </w:rPr>
              <w:t>1</w:t>
            </w:r>
            <w:r w:rsidRPr="0045328B">
              <w:t xml:space="preserve">) </w:t>
            </w:r>
            <w:r w:rsidRPr="0045328B">
              <w:rPr>
                <w:rStyle w:val="SpecialBold"/>
              </w:rPr>
              <w:t>Descriptor</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This unit covers specialised procedures for servicing and repairs to achieve the effective and efficient operation of refrigeration equipment using carbon dioxide (CO</w:t>
            </w:r>
            <w:r w:rsidRPr="0045328B">
              <w:rPr>
                <w:rStyle w:val="Subscript"/>
              </w:rPr>
              <w:t>2</w:t>
            </w:r>
            <w:r w:rsidRPr="0045328B">
              <w:t>) as a refrigerant excluding self contained systems.  It reinforces safe working practice and encompasses applying specialised knowledge of refrigeration principles that apply to carbon dioxide, following service manuals, testing, locating and rectifying f</w:t>
            </w:r>
            <w:r w:rsidRPr="0045328B">
              <w:t>aults and defective components and completing the necessary service documentation.</w:t>
            </w:r>
          </w:p>
        </w:tc>
      </w:tr>
    </w:tbl>
    <w:p w:rsidR="00DD0682" w:rsidP="0045328B">
      <w:pPr>
        <w:pStyle w:val="BodyText"/>
      </w:pPr>
    </w:p>
    <w:p w:rsidR="00DD0682" w:rsidP="0045328B">
      <w:pPr>
        <w:pStyle w:val="BodyText"/>
      </w:pPr>
    </w:p>
    <w:p w:rsidR="00000000" w:rsidRPr="0045328B" w:rsidP="0045328B">
      <w:pPr>
        <w:pStyle w:val="Heading1"/>
      </w:pPr>
      <w:bookmarkStart w:id="3" w:name="O_710279"/>
      <w:bookmarkEnd w:id="3"/>
      <w:r w:rsidRPr="0045328B">
        <w:t>Application of the Unit</w:t>
      </w:r>
    </w:p>
    <w:tbl>
      <w:tblPr>
        <w:tblW w:w="0" w:type="auto"/>
        <w:tblLayout w:type="fixed"/>
        <w:tblCellMar>
          <w:left w:w="62" w:type="dxa"/>
          <w:right w:w="62" w:type="dxa"/>
        </w:tblCellMar>
        <w:tblLook w:val="0000"/>
      </w:tblPr>
      <w:tblGrid>
        <w:gridCol w:w="2700"/>
        <w:gridCol w:w="5760"/>
      </w:tblGrid>
      <w:tr w:rsidTr="00DD06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4</w:t>
            </w:r>
            <w:r w:rsidRPr="0045328B">
              <w:t>)</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This competency standard is suitable for employment-based programs under an approved contract of tra</w:t>
            </w:r>
            <w:r w:rsidRPr="0045328B">
              <w:t>ining at the AQF level of the qualification in which the unit is first packaged or higher.</w:t>
            </w:r>
          </w:p>
          <w:p w:rsidR="00000000" w:rsidRPr="0045328B" w:rsidP="0045328B">
            <w:pPr>
              <w:pStyle w:val="BodyText"/>
            </w:pPr>
            <w:r w:rsidRPr="0045328B">
              <w:t>The unit may be selected as an elective from the relevant schedule (see qualification packaging rules) provided that all prerequisite units are undertaken or address</w:t>
            </w:r>
            <w:r w:rsidRPr="0045328B">
              <w:t xml:space="preserve">ed through </w:t>
            </w:r>
            <w:r w:rsidRPr="0045328B">
              <w:t>recognition processes.</w:t>
            </w:r>
          </w:p>
          <w:p w:rsidR="00000000" w:rsidRPr="0045328B" w:rsidP="0045328B">
            <w:pPr>
              <w:pStyle w:val="BodyText"/>
            </w:pPr>
            <w:r w:rsidRPr="0045328B">
              <w:t>This unit may be included in a skill set provided that it is listed in the schedule of electives (see Qualification Framework) and all prerequisite units are undertaken or addressed through recognition processes.</w:t>
            </w:r>
          </w:p>
          <w:p w:rsidR="00000000" w:rsidRPr="0045328B" w:rsidP="0045328B">
            <w:pPr>
              <w:pStyle w:val="BodyText"/>
            </w:pPr>
            <w:r w:rsidRPr="0045328B">
              <w:t>Delivery and assessment of this unit should be undertaken within regard to the requirements of License to Practice (1.2 above), Prerequisite Competencies and Literacy and Numeracy skills (2 above) and the  recommendations for concurrent assessment and rela</w:t>
            </w:r>
            <w:r w:rsidRPr="0045328B">
              <w:t>tionship with other units (9.5 below).Practice in the workplace and during training is also subject to regulations directly related to occupational health and safety and where applicable contracts of training such as apprenticeships.</w:t>
            </w:r>
          </w:p>
          <w:p w:rsidR="00000000" w:rsidRPr="0045328B" w:rsidP="0045328B">
            <w:pPr>
              <w:pStyle w:val="BodyText"/>
            </w:pPr>
            <w:r w:rsidRPr="0045328B">
              <w:t xml:space="preserve">Note: </w:t>
            </w:r>
            <w:r w:rsidRPr="0045328B">
              <w:br/>
              <w:t>1. Compliance w</w:t>
            </w:r>
            <w:r w:rsidRPr="0045328B">
              <w:t>ith permits may be required in various jurisdictions and typically relates to the operation of plant, machinery and equipment such as elevating work platforms, powder operated fixing tools, power operated tools, vehicles, road signage and traffic control a</w:t>
            </w:r>
            <w:r w:rsidRPr="0045328B">
              <w:t>nd lifting equipment. Permits may also be required for some work environments such as confined spaces, working aloft, near live electrical apparatus and site rehabilitation.</w:t>
            </w:r>
            <w:r w:rsidRPr="0045328B">
              <w:br/>
              <w:t>2. Compliance may be required in various jurisdictions relating to currency in Fir</w:t>
            </w:r>
            <w:r w:rsidRPr="0045328B">
              <w:t>st Aid, confined space, lifting, risk safety measures etc.</w:t>
            </w:r>
          </w:p>
        </w:tc>
      </w:tr>
    </w:tbl>
    <w:p w:rsidR="00DD0682" w:rsidP="0045328B">
      <w:pPr>
        <w:pStyle w:val="BodyText"/>
      </w:pPr>
    </w:p>
    <w:p w:rsidR="00DD0682" w:rsidP="0045328B">
      <w:pPr>
        <w:pStyle w:val="BodyText"/>
      </w:pPr>
    </w:p>
    <w:p w:rsidR="00000000" w:rsidRPr="0045328B" w:rsidP="0045328B">
      <w:pPr>
        <w:pStyle w:val="Heading1"/>
      </w:pPr>
      <w:bookmarkStart w:id="4" w:name="O_710278"/>
      <w:bookmarkEnd w:id="4"/>
      <w:r w:rsidRPr="0045328B">
        <w:t>Licensing/Regulatory Information</w:t>
      </w:r>
    </w:p>
    <w:tbl>
      <w:tblPr>
        <w:tblW w:w="0" w:type="auto"/>
        <w:tblLayout w:type="fixed"/>
        <w:tblCellMar>
          <w:left w:w="62" w:type="dxa"/>
          <w:right w:w="62" w:type="dxa"/>
        </w:tblCellMar>
        <w:tblLook w:val="0000"/>
      </w:tblPr>
      <w:tblGrid>
        <w:gridCol w:w="8460"/>
      </w:tblGrid>
      <w:tr w:rsidTr="00DD06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1</w:t>
            </w:r>
            <w:r w:rsidRPr="0045328B">
              <w:t>.</w:t>
            </w:r>
            <w:r w:rsidRPr="0045328B">
              <w:rPr>
                <w:rStyle w:val="SpecialBold"/>
              </w:rPr>
              <w:t>2</w:t>
            </w:r>
            <w:r w:rsidRPr="0045328B">
              <w:t xml:space="preserve">) </w:t>
            </w:r>
            <w:r w:rsidRPr="0045328B">
              <w:rPr>
                <w:rStyle w:val="SpecialBold"/>
              </w:rPr>
              <w:t>License to practice</w:t>
            </w:r>
          </w:p>
        </w:tc>
      </w:tr>
      <w:tr w:rsidTr="00DD06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The skills and knowledge described in this unit may, in some jurisdictions, require a licence to practise in the workp</w:t>
            </w:r>
            <w:r w:rsidRPr="0045328B">
              <w:t>lace subject to regulations for undertaking refrigeration and air conditioning work. Practice in workplace and during training is also subject to regulations directly related to occupational health and safety and where applicable contracts of training such</w:t>
            </w:r>
            <w:r w:rsidRPr="0045328B">
              <w:t xml:space="preserve"> as apprenticeships.</w:t>
            </w:r>
          </w:p>
          <w:p w:rsidR="00000000" w:rsidRPr="0045328B" w:rsidP="0045328B">
            <w:pPr>
              <w:pStyle w:val="BodyText"/>
            </w:pPr>
            <w:r w:rsidRPr="0045328B">
              <w:t>Note.</w:t>
            </w:r>
            <w:r w:rsidRPr="0045328B">
              <w:br/>
              <w:t>1. Compliance with permits may be required in various jurisdictions and typically relates to the operation of plant, machinery and equipment such as elevating work platforms, powder operated fixing tools, power operated tools, ve</w:t>
            </w:r>
            <w:r w:rsidRPr="0045328B">
              <w:t>hicles, road signage and traffic control, lifting equipment. Permits may also be required for some work environments such as confined spaces, working aloft, near live electrical apparatus and site rehabilitation.</w:t>
            </w:r>
            <w:r w:rsidRPr="0045328B">
              <w:br/>
              <w:t>2. Compliance may be required in various ju</w:t>
            </w:r>
            <w:r w:rsidRPr="0045328B">
              <w:t>risdictions relating to currency in First Aid, confined space, lifting and risk safety measures.</w:t>
            </w:r>
          </w:p>
        </w:tc>
      </w:tr>
    </w:tbl>
    <w:p w:rsidR="00DD0682" w:rsidP="0045328B">
      <w:pPr>
        <w:pStyle w:val="BodyText"/>
      </w:pPr>
    </w:p>
    <w:p w:rsidR="00DD0682" w:rsidP="0045328B">
      <w:pPr>
        <w:pStyle w:val="BodyText"/>
      </w:pPr>
    </w:p>
    <w:p w:rsidR="00000000" w:rsidRPr="0045328B" w:rsidP="0045328B">
      <w:pPr>
        <w:pStyle w:val="Heading1"/>
      </w:pPr>
      <w:bookmarkStart w:id="5" w:name="O_710277"/>
      <w:bookmarkEnd w:id="5"/>
      <w:r w:rsidRPr="0045328B">
        <w:t>Pre-Requisites</w:t>
      </w:r>
    </w:p>
    <w:tbl>
      <w:tblPr>
        <w:tblW w:w="0" w:type="auto"/>
        <w:tblLayout w:type="fixed"/>
        <w:tblCellMar>
          <w:left w:w="62" w:type="dxa"/>
          <w:right w:w="62" w:type="dxa"/>
        </w:tblCellMar>
        <w:tblLook w:val="0000"/>
      </w:tblPr>
      <w:tblGrid>
        <w:gridCol w:w="2700"/>
        <w:gridCol w:w="1710"/>
        <w:gridCol w:w="4050"/>
      </w:tblGrid>
      <w:tr w:rsidTr="00DD06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Prerequisite Unit</w:t>
            </w:r>
            <w:r w:rsidRPr="0045328B">
              <w:t>(</w:t>
            </w:r>
            <w:r w:rsidRPr="0045328B">
              <w:rPr>
                <w:rStyle w:val="SpecialBold"/>
              </w:rPr>
              <w:t>s</w:t>
            </w:r>
            <w:r w:rsidRPr="0045328B">
              <w:t>)</w:t>
            </w:r>
          </w:p>
        </w:tc>
        <w:tc>
          <w:tcPr>
            <w:tcW w:w="57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2</w:t>
            </w:r>
            <w:r w:rsidRPr="0045328B">
              <w:t xml:space="preserve">) </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328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2</w:t>
            </w:r>
            <w:r w:rsidRPr="0045328B">
              <w:t>.</w:t>
            </w:r>
            <w:r w:rsidRPr="0045328B">
              <w:rPr>
                <w:rStyle w:val="SpecialBold"/>
              </w:rPr>
              <w:t>1</w:t>
            </w:r>
            <w:r w:rsidRPr="0045328B">
              <w:t xml:space="preserve">) </w:t>
            </w:r>
            <w:r w:rsidRPr="0045328B">
              <w:rPr>
                <w:rStyle w:val="SpecialBold"/>
              </w:rPr>
              <w:t>Competencies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Granting competency in this unit shall be made only after competency in the following unit(s) has/have been confirmed</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Diagnose and rectify faults in air conditioning and refrigeration systems and components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Commission air con</w:t>
            </w:r>
            <w:r w:rsidRPr="0045328B">
              <w:t>ditioning and refrigeration systems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UEENEEJ184A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Apply safety awareness and legal requirements for carbon dioxide refrigerant</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Apply Occupational Health and Safety regulations, codes and practices in the workplace</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Fabricate, assemble and dismantle utilities industry components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UEENEEE103A</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Solve problems in ELV single path circuits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Fix and secure electrotechnology equipment</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Use drawings, diagrams, schedules, standards, codes and specif</w:t>
            </w:r>
            <w:r w:rsidRPr="0045328B">
              <w:t>ications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Document and apply measures to control OHS risks associated with electrotechnology work</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Prepare and connect refrigerant tubing and fittings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Establish the basic operating conditions of vapour compression systems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Establish the basic operating conditions of air conditioning systems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Install refrigerant pipe work, flow controls and accessories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Install ai</w:t>
            </w:r>
            <w:r w:rsidRPr="0045328B">
              <w:t>r conditioning and refrigeration systems, major components and associated equipment</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Recover, pressure test, evacuate, charge and leak test refrigerants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Select refrigerant piping, accessories and associated controls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Find and rectify faults motors and associated controls in refrigeration and air conditioning systems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Diagnose and rectify faults in air conditioning and refrigeration control systems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Solve problems in low voltage </w:t>
            </w:r>
            <w:r w:rsidRPr="0045328B">
              <w:t>refrigeration circuits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Disconnect / reconnect composite appliances connected to low voltage installation wiring</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UEENEEP017A </w:t>
            </w:r>
          </w:p>
        </w:tc>
        <w:tc>
          <w:tcPr>
            <w:tcW w:w="405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Locate and rectify faults in low voltage composite appliances using set procedures</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Note:</w:t>
            </w:r>
          </w:p>
          <w:p w:rsidR="00000000" w:rsidRPr="0045328B" w:rsidP="0045328B">
            <w:pPr>
              <w:pStyle w:val="BodyText"/>
            </w:pPr>
            <w:r w:rsidRPr="0045328B">
              <w:t>UEENEEJ111A and UEENEEJ113A - Those holding a 'Certificate III in Refrigeration and Air Conditioning trade qualification or equivalent" meet the requirements of these units and their pre-requisite requirements.</w:t>
            </w:r>
          </w:p>
        </w:tc>
      </w:tr>
    </w:tbl>
    <w:p w:rsidR="00000000" w:rsidRPr="0045328B" w:rsidP="0045328B">
      <w:pPr>
        <w:pStyle w:val="BodyText"/>
      </w:pP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328B">
            <w:pPr>
              <w:pStyle w:val="BodyText"/>
              <w:keepNext w:val="0"/>
              <w:keepLines w:val="0"/>
              <w:contextualSpacing w:val="0"/>
            </w:pPr>
          </w:p>
        </w:tc>
        <w:tc>
          <w:tcPr>
            <w:tcW w:w="5760" w:type="dxa"/>
            <w:gridSpan w:val="6"/>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2</w:t>
            </w:r>
            <w:r w:rsidRPr="0045328B">
              <w:t>.</w:t>
            </w:r>
            <w:r w:rsidRPr="0045328B">
              <w:rPr>
                <w:rStyle w:val="SpecialBold"/>
              </w:rPr>
              <w:t>2</w:t>
            </w:r>
            <w:r w:rsidRPr="0045328B">
              <w:t xml:space="preserve">) </w:t>
            </w:r>
            <w:r w:rsidRPr="0045328B">
              <w:rPr>
                <w:rStyle w:val="SpecialBold"/>
              </w:rPr>
              <w:t>Literacy y and numeracy skills</w:t>
            </w:r>
          </w:p>
          <w:p w:rsidR="00000000" w:rsidP="0045328B">
            <w:pPr>
              <w:pStyle w:val="BodyText"/>
              <w:rPr>
                <w:lang w:val="en-NZ"/>
              </w:rPr>
            </w:pPr>
            <w:r w:rsidRPr="0045328B">
              <w:t>Parti</w:t>
            </w:r>
            <w:r w:rsidRPr="0045328B">
              <w:t>cipants are best equipped to achieve competency in this unit if they have reading, writing and numeracy skills indicated by the following scales. Description of each scale is given in Volume 2, Part 3 'Literacy and Numeracy'</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Reading</w:t>
            </w:r>
          </w:p>
        </w:tc>
        <w:tc>
          <w:tcPr>
            <w:tcW w:w="805"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w:t>
            </w:r>
          </w:p>
        </w:tc>
        <w:tc>
          <w:tcPr>
            <w:tcW w:w="1184"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Writing</w:t>
            </w:r>
          </w:p>
        </w:tc>
        <w:tc>
          <w:tcPr>
            <w:tcW w:w="805"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w:t>
            </w:r>
          </w:p>
        </w:tc>
        <w:tc>
          <w:tcPr>
            <w:tcW w:w="1172"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Numeracy</w:t>
            </w:r>
          </w:p>
        </w:tc>
        <w:tc>
          <w:tcPr>
            <w:tcW w:w="805"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3</w:t>
            </w:r>
          </w:p>
        </w:tc>
      </w:tr>
    </w:tbl>
    <w:p w:rsidR="00DD0682" w:rsidP="0045328B">
      <w:pPr>
        <w:pStyle w:val="BodyText"/>
      </w:pPr>
    </w:p>
    <w:p w:rsidR="00DD0682" w:rsidP="0045328B">
      <w:pPr>
        <w:pStyle w:val="BodyText"/>
      </w:pPr>
    </w:p>
    <w:p w:rsidR="00000000" w:rsidRPr="0045328B" w:rsidP="0045328B">
      <w:pPr>
        <w:pStyle w:val="Heading1"/>
      </w:pPr>
      <w:bookmarkStart w:id="6" w:name="O_710276"/>
      <w:bookmarkEnd w:id="6"/>
      <w:r w:rsidRPr="0045328B">
        <w:t>Employability Skills Information</w:t>
      </w:r>
    </w:p>
    <w:tbl>
      <w:tblPr>
        <w:tblW w:w="0" w:type="auto"/>
        <w:tblLayout w:type="fixed"/>
        <w:tblCellMar>
          <w:left w:w="62" w:type="dxa"/>
          <w:right w:w="62" w:type="dxa"/>
        </w:tblCellMar>
        <w:tblLook w:val="0000"/>
      </w:tblPr>
      <w:tblGrid>
        <w:gridCol w:w="2700"/>
        <w:gridCol w:w="5760"/>
      </w:tblGrid>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3</w:t>
            </w:r>
            <w:r w:rsidRPr="0045328B">
              <w:t>)</w:t>
            </w:r>
          </w:p>
          <w:p w:rsidR="00000000" w:rsidRPr="0045328B" w:rsidP="0045328B">
            <w:pPr>
              <w:pStyle w:val="BodyText"/>
            </w:pPr>
            <w:r w:rsidRPr="0045328B">
              <w:t>This unit contains Employability Skills</w:t>
            </w:r>
          </w:p>
          <w:p w:rsidR="00000000" w:rsidRPr="0045328B" w:rsidP="0045328B">
            <w:pPr>
              <w:pStyle w:val="BodyText"/>
            </w:pPr>
            <w:r w:rsidRPr="0045328B">
              <w:t>The required outcomes described in this unit of competency</w:t>
            </w:r>
            <w:r w:rsidRPr="0045328B">
              <w:t xml:space="preserve"> contain applicable facets of Employability Skills. The Employability Skills Summary of the qualification in which this unit of competency is packaged will assist in identifying Employability Skill requirements.</w:t>
            </w:r>
          </w:p>
        </w:tc>
      </w:tr>
    </w:tbl>
    <w:p w:rsidR="00DD0682" w:rsidP="0045328B">
      <w:pPr>
        <w:pStyle w:val="BodyText"/>
      </w:pPr>
    </w:p>
    <w:p w:rsidR="00DD0682" w:rsidP="0045328B">
      <w:pPr>
        <w:pStyle w:val="BodyText"/>
      </w:pPr>
    </w:p>
    <w:p w:rsidR="00000000" w:rsidRPr="0045328B" w:rsidP="0045328B">
      <w:pPr>
        <w:pStyle w:val="Heading1"/>
      </w:pPr>
      <w:bookmarkStart w:id="7" w:name="O_710275"/>
      <w:bookmarkEnd w:id="7"/>
      <w:r w:rsidRPr="0045328B">
        <w:t>Elements and Performance</w:t>
      </w:r>
      <w:r w:rsidRPr="0045328B">
        <w:t xml:space="preserve"> Criteria Pre-Content</w:t>
      </w:r>
    </w:p>
    <w:tbl>
      <w:tblPr>
        <w:tblW w:w="0" w:type="auto"/>
        <w:tblLayout w:type="fixed"/>
        <w:tblCellMar>
          <w:left w:w="62" w:type="dxa"/>
          <w:right w:w="62" w:type="dxa"/>
        </w:tblCellMar>
        <w:tblLook w:val="0000"/>
      </w:tblPr>
      <w:tblGrid>
        <w:gridCol w:w="2700"/>
        <w:gridCol w:w="5760"/>
      </w:tblGrid>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6</w:t>
            </w:r>
            <w:r w:rsidRPr="0045328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Performance criteria describe the required performance needed to demonstrate achievement of the Element. Assessment of performance must be consistent with the evidence guide.</w:t>
            </w:r>
          </w:p>
        </w:tc>
      </w:tr>
    </w:tbl>
    <w:p w:rsidR="00000000" w:rsidRPr="0045328B" w:rsidP="0045328B">
      <w:pPr>
        <w:pStyle w:val="BodyText"/>
      </w:pPr>
    </w:p>
    <w:p w:rsidR="00000000" w:rsidRPr="0045328B" w:rsidP="0045328B">
      <w:pPr>
        <w:pStyle w:val="AllowPageBreak"/>
      </w:pPr>
    </w:p>
    <w:p w:rsidR="00000000" w:rsidRPr="0045328B" w:rsidP="0045328B">
      <w:pPr>
        <w:pStyle w:val="Heading1"/>
      </w:pPr>
      <w:bookmarkStart w:id="8" w:name="O_710274"/>
      <w:bookmarkEnd w:id="8"/>
      <w:r w:rsidRPr="0045328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06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PERFORMANCE CRITERIA</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w:t>
            </w:r>
          </w:p>
        </w:tc>
        <w:tc>
          <w:tcPr>
            <w:tcW w:w="2296" w:type="dxa"/>
            <w:vMerge w:val="restart"/>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Prepare to service and repair carbon dioxide refrigeration systems </w:t>
            </w: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1.1</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OHS procedures for a given work area are identified, obtained and understood  through established routines and procedures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1.2</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Established OHS risk control measures and procedures are followed in preparation for the work.</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1.3</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Safety hazards which have not previously been identified are reported and advice on risk control measures is sought from the work supervisor.</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1.4</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The nature of work is obtained from documentation or from work supervisor to establish the scope of work to</w:t>
            </w:r>
            <w:r w:rsidRPr="0045328B">
              <w:t xml:space="preserve"> be undertaken.</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1.5</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Advice is sought from the work supervisor to ensure the work is coordinated effectively with others.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1.6</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Sources of materials that may be required for the work are accessed in accordance with established routines and procedures.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1.7</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Tools, equipment and testing devices needed to carry out the work are obtained and checked for correct operation and safety</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w:t>
            </w:r>
          </w:p>
        </w:tc>
        <w:tc>
          <w:tcPr>
            <w:tcW w:w="2296" w:type="dxa"/>
            <w:vMerge w:val="restart"/>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Service and repair carbon dioxide refrigeration systems.</w:t>
            </w: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2.1</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Established OHS risk control measures and procedures for carry</w:t>
            </w:r>
            <w:r w:rsidRPr="0045328B">
              <w:t>ing out the work are followed.</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2.2</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Measuring system operating parameters is conducted in strict accordance with OHS requirements and established safety procedures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2.3</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Checks are carried out to ensure the system or component parts are isolated, when necessary in strict accordance OHS requirements and procedures.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2.4</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Refrigerant is removed f</w:t>
            </w:r>
            <w:r w:rsidRPr="0045328B">
              <w:t>rom a system safely in accordance with regulatory requirements and industry practices.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2.5</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Precautions are taken to prevent damage to components while pressure testing the system</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2.6</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Pressure testing is conducted at a pressure compatible with carbon </w:t>
            </w:r>
            <w:r w:rsidRPr="0045328B">
              <w:t>dioxide and in accordance with standards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2.7</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Leaks are located and rectified using testing methods appropriate to the system and in accordance with industry practices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2.8</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System is evacuated to the required level and cleaned of all moisture and other contaminants in accordance with industry practices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2.9</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System is charged safely with refrigerant grade carbon dioxide and compatible lubricants in accordance with industry p</w:t>
            </w:r>
            <w:r w:rsidRPr="0045328B">
              <w:t xml:space="preserve">ractices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2.10</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Established procedures are used to determine actual and specified range of operating conditions from measured and calculated values as they apply to sub critical carbon dioxide vapour compression and liquid recirculation/cascade systems.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2.11</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Established methods for dealing with unexpected situations are discussed with appropriate person or persons and documented.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2.12</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Unexpected situations are dealt with safely and with the approval of an authorised person.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2.13</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Operating conditions are determined without damage to apparatus, circuits, the surrounding environment or services and using sustainable energy practices.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w:t>
            </w:r>
          </w:p>
        </w:tc>
        <w:tc>
          <w:tcPr>
            <w:tcW w:w="2296"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Complete work and report on servicing and repairing sub - critical carbon dioxide refrigeration s</w:t>
            </w:r>
            <w:r w:rsidRPr="0045328B">
              <w:t>ystems.</w:t>
            </w: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3.1</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OHS work completion risk control measures and procedures are followed.</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3.2</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Work site is cleaned and made safe in accordance with established procedures.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3.3</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Contaminated refrigerant and lubricant is dealt with in accordance with legislati</w:t>
            </w:r>
            <w:r w:rsidRPr="0045328B">
              <w:t>ve/regulatory requirements</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3.4</w:t>
            </w:r>
          </w:p>
        </w:tc>
        <w:tc>
          <w:tcPr>
            <w:tcW w:w="48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Operation conditions are documented, including identification of any parameter that is not within the specified range for the system. </w:t>
            </w:r>
          </w:p>
        </w:tc>
      </w:tr>
      <w:tr w:rsidTr="00DD06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3.5</w:t>
            </w:r>
          </w:p>
        </w:tc>
        <w:tc>
          <w:tcPr>
            <w:tcW w:w="48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Work supervisor is notified of the completion of the work in accordance with established procedures.</w:t>
            </w:r>
          </w:p>
        </w:tc>
      </w:tr>
    </w:tbl>
    <w:p w:rsidR="00DD0682" w:rsidP="0045328B">
      <w:pPr>
        <w:pStyle w:val="BodyText"/>
      </w:pPr>
    </w:p>
    <w:p w:rsidR="00DD0682" w:rsidP="0045328B">
      <w:pPr>
        <w:pStyle w:val="BodyText"/>
      </w:pPr>
    </w:p>
    <w:p w:rsidR="00000000" w:rsidRPr="0045328B" w:rsidP="0045328B">
      <w:pPr>
        <w:pStyle w:val="Heading1"/>
      </w:pPr>
      <w:bookmarkStart w:id="9" w:name="O_710273"/>
      <w:bookmarkEnd w:id="9"/>
      <w:r w:rsidRPr="0045328B">
        <w:t>Required Skills and Knowledge</w:t>
      </w:r>
    </w:p>
    <w:tbl>
      <w:tblPr>
        <w:tblW w:w="0" w:type="auto"/>
        <w:tblLayout w:type="fixed"/>
        <w:tblCellMar>
          <w:left w:w="62" w:type="dxa"/>
          <w:right w:w="62" w:type="dxa"/>
        </w:tblCellMar>
        <w:tblLook w:val="0000"/>
      </w:tblPr>
      <w:tblGrid>
        <w:gridCol w:w="1512"/>
        <w:gridCol w:w="6948"/>
      </w:tblGrid>
      <w:tr w:rsidTr="00DD068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REQUIRED SKILLS AND KNOWLEDGE</w:t>
            </w:r>
          </w:p>
        </w:tc>
      </w:tr>
      <w:tr w:rsidTr="00DD06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 xml:space="preserve">7) </w:t>
            </w:r>
            <w:r w:rsidRPr="0045328B">
              <w:t>This describes the essential skills and knowledge and their level, required for this unit.</w:t>
            </w:r>
          </w:p>
        </w:tc>
      </w:tr>
      <w:tr w:rsidTr="00DD06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Evidence must show that knowledge has been acquired of safe working practices and determining the operating conditions of both sub - critical vapour compression an</w:t>
            </w:r>
            <w:r w:rsidRPr="0045328B">
              <w:t>d liquid recirculating carbon dioxide refrigerating systems.</w:t>
            </w:r>
          </w:p>
          <w:p w:rsidR="00000000" w:rsidP="0045328B">
            <w:pPr>
              <w:pStyle w:val="BodyText"/>
              <w:rPr>
                <w:lang w:val="en-NZ"/>
              </w:rPr>
            </w:pPr>
            <w:r w:rsidRPr="0045328B">
              <w:t>All knowledge and skills detailed in this unit should be contextualised to current industry practices and technologies.</w:t>
            </w:r>
          </w:p>
        </w:tc>
      </w:tr>
      <w:tr w:rsidTr="00DD0682">
        <w:tblPrEx>
          <w:tblW w:w="0" w:type="auto"/>
          <w:tblLayout w:type="fixed"/>
          <w:tblCellMar>
            <w:left w:w="62" w:type="dxa"/>
            <w:right w:w="62" w:type="dxa"/>
          </w:tblCellMar>
          <w:tblLook w:val="0000"/>
        </w:tblPrEx>
        <w:tc>
          <w:tcPr>
            <w:tcW w:w="1512"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 xml:space="preserve">KS01-EJ185A </w:t>
            </w:r>
          </w:p>
        </w:tc>
        <w:tc>
          <w:tcPr>
            <w:tcW w:w="6948"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Servicing and repair techniques for carbon dioxide refrigera</w:t>
            </w:r>
            <w:r w:rsidRPr="0045328B">
              <w:rPr>
                <w:rStyle w:val="SpecialBold"/>
              </w:rPr>
              <w:t>tion Systems</w:t>
            </w:r>
          </w:p>
        </w:tc>
      </w:tr>
      <w:tr w:rsidTr="00DD0682">
        <w:tblPrEx>
          <w:tblW w:w="0" w:type="auto"/>
          <w:tblLayout w:type="fixed"/>
          <w:tblCellMar>
            <w:left w:w="62" w:type="dxa"/>
            <w:right w:w="62" w:type="dxa"/>
          </w:tblCellMar>
          <w:tblLook w:val="0000"/>
        </w:tblPrEx>
        <w:trPr>
          <w:trHeight w:val="694"/>
        </w:trPr>
        <w:tc>
          <w:tcPr>
            <w:tcW w:w="8460" w:type="dxa"/>
            <w:gridSpan w:val="2"/>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Evidence shall show an understanding of carbon dioxide refrigeration systems, operation, components, service and repair techniques, applying safe working practices and relevant Standards, Codes and Regulations to an extent indicated by the fo</w:t>
            </w:r>
            <w:r w:rsidRPr="0045328B">
              <w:t>llowing aspects:</w:t>
            </w:r>
          </w:p>
        </w:tc>
      </w:tr>
      <w:tr w:rsidTr="00DD0682">
        <w:tblPrEx>
          <w:tblW w:w="0" w:type="auto"/>
          <w:tblLayout w:type="fixed"/>
          <w:tblCellMar>
            <w:left w:w="62" w:type="dxa"/>
            <w:right w:w="62" w:type="dxa"/>
          </w:tblCellMar>
          <w:tblLook w:val="0000"/>
        </w:tblPrEx>
        <w:trPr>
          <w:trHeight w:val="247"/>
        </w:trPr>
        <w:tc>
          <w:tcPr>
            <w:tcW w:w="8460" w:type="dxa"/>
            <w:gridSpan w:val="2"/>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T1        Carbon Dioxide Refrigeration Systems</w:t>
            </w:r>
          </w:p>
          <w:p w:rsidR="00000000" w:rsidRPr="0045328B" w:rsidP="0045328B">
            <w:pPr>
              <w:pStyle w:val="ListBullet2"/>
            </w:pPr>
            <w:r w:rsidRPr="0045328B">
              <w:t xml:space="preserve">Introduction to Carbon Dioxide refrigeration System </w:t>
            </w:r>
            <w:r w:rsidRPr="0045328B">
              <w:tab/>
            </w:r>
          </w:p>
          <w:p w:rsidR="00000000" w:rsidRPr="0045328B" w:rsidP="0045328B">
            <w:pPr>
              <w:pStyle w:val="ListBullet2"/>
            </w:pPr>
            <w:r w:rsidRPr="0045328B">
              <w:t>Benefits of using Carbon Dioxide as a Refrigerant</w:t>
            </w:r>
          </w:p>
          <w:p w:rsidR="00000000" w:rsidRPr="0045328B" w:rsidP="0045328B">
            <w:pPr>
              <w:pStyle w:val="ListBullet2"/>
            </w:pPr>
            <w:r w:rsidRPr="0045328B">
              <w:t xml:space="preserve">Thermophysical Properties </w:t>
            </w:r>
          </w:p>
          <w:p w:rsidR="00000000" w:rsidRPr="0045328B" w:rsidP="0045328B">
            <w:pPr>
              <w:pStyle w:val="ListBullet2"/>
            </w:pPr>
            <w:r w:rsidRPr="0045328B">
              <w:t>Introduction to Liquid recirculation /Cascade system employing Carbon Dioxide refrigerant at Sub-Critical condition.</w:t>
            </w:r>
          </w:p>
          <w:p w:rsidR="00000000" w:rsidRPr="0045328B" w:rsidP="0045328B">
            <w:pPr>
              <w:pStyle w:val="ListBullet3"/>
            </w:pPr>
            <w:r w:rsidRPr="0045328B">
              <w:t xml:space="preserve">Systems and Major components </w:t>
            </w:r>
          </w:p>
          <w:p w:rsidR="00000000" w:rsidRPr="0045328B" w:rsidP="0045328B">
            <w:pPr>
              <w:pStyle w:val="ListBullet3"/>
            </w:pPr>
            <w:r w:rsidRPr="0045328B">
              <w:t>Basic operation</w:t>
            </w:r>
          </w:p>
          <w:p w:rsidR="00000000" w:rsidP="0045328B">
            <w:pPr>
              <w:pStyle w:val="ListBullet3"/>
              <w:rPr>
                <w:lang w:val="en-NZ"/>
              </w:rPr>
            </w:pPr>
            <w:r w:rsidRPr="0045328B">
              <w:t>Typical applications</w:t>
            </w:r>
          </w:p>
        </w:tc>
      </w:tr>
      <w:tr w:rsidTr="00DD06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T2         Operating conditions of carbon dioxide Refrigeration Systems</w:t>
            </w:r>
          </w:p>
          <w:p w:rsidR="00000000" w:rsidRPr="0045328B" w:rsidP="0045328B">
            <w:pPr>
              <w:pStyle w:val="ListBullet2"/>
            </w:pPr>
            <w:r w:rsidRPr="0045328B">
              <w:t>CO2 Refrigeration Compressors and lubricants</w:t>
            </w:r>
          </w:p>
          <w:p w:rsidR="00000000" w:rsidRPr="0045328B" w:rsidP="0045328B">
            <w:pPr>
              <w:pStyle w:val="ListBullet3"/>
            </w:pPr>
            <w:r w:rsidRPr="0045328B">
              <w:t>Types, construction and their applications (reciprocating, screw, )</w:t>
            </w:r>
          </w:p>
          <w:p w:rsidR="00000000" w:rsidRPr="0045328B" w:rsidP="0045328B">
            <w:pPr>
              <w:pStyle w:val="ListBullet3"/>
            </w:pPr>
            <w:r w:rsidRPr="0045328B">
              <w:t>Types of compatible compressor oil (POE), (PAO)</w:t>
            </w:r>
          </w:p>
          <w:p w:rsidR="00000000" w:rsidRPr="0045328B" w:rsidP="0045328B">
            <w:pPr>
              <w:pStyle w:val="ListBullet3"/>
            </w:pPr>
            <w:r w:rsidRPr="0045328B">
              <w:t>Safe handling  of lubricants for CO2  applications (MSDS - POE's, PAO)</w:t>
            </w:r>
          </w:p>
          <w:p w:rsidR="00000000" w:rsidRPr="0045328B" w:rsidP="0045328B">
            <w:pPr>
              <w:pStyle w:val="ListBullet2"/>
            </w:pPr>
            <w:r w:rsidRPr="0045328B">
              <w:t>System components, construction and operation</w:t>
            </w:r>
            <w:r w:rsidRPr="0045328B">
              <w:tab/>
            </w:r>
          </w:p>
          <w:p w:rsidR="00000000" w:rsidRPr="0045328B" w:rsidP="0045328B">
            <w:pPr>
              <w:pStyle w:val="ListBullet3"/>
            </w:pPr>
            <w:r w:rsidRPr="0045328B">
              <w:t>CO2  Low temperature evaporators design features</w:t>
            </w:r>
          </w:p>
          <w:p w:rsidR="00000000" w:rsidRPr="0045328B" w:rsidP="0045328B">
            <w:pPr>
              <w:pStyle w:val="ListBullet3"/>
            </w:pPr>
            <w:r w:rsidRPr="0045328B">
              <w:t xml:space="preserve">Medium Temperature Liquid re-circulation evaporators </w:t>
            </w:r>
          </w:p>
          <w:p w:rsidR="00000000" w:rsidRPr="0045328B" w:rsidP="0045328B">
            <w:pPr>
              <w:pStyle w:val="ListBullet3"/>
            </w:pPr>
            <w:r w:rsidRPr="0045328B">
              <w:t>Hand expansion valves (medium tem</w:t>
            </w:r>
            <w:r w:rsidRPr="0045328B">
              <w:t>p.)</w:t>
            </w:r>
          </w:p>
          <w:p w:rsidR="00000000" w:rsidRPr="0045328B" w:rsidP="0045328B">
            <w:pPr>
              <w:pStyle w:val="ListBullet3"/>
            </w:pPr>
            <w:r w:rsidRPr="0045328B">
              <w:t>Electronic expansion valves (low temp)</w:t>
            </w:r>
          </w:p>
          <w:p w:rsidR="00000000" w:rsidRPr="0045328B" w:rsidP="0045328B">
            <w:pPr>
              <w:pStyle w:val="ListBullet3"/>
            </w:pPr>
            <w:r w:rsidRPr="0045328B">
              <w:t xml:space="preserve">Cryogenic pressure relief devices </w:t>
            </w:r>
          </w:p>
          <w:p w:rsidR="00000000" w:rsidRPr="0045328B" w:rsidP="0045328B">
            <w:pPr>
              <w:pStyle w:val="ListBullet3"/>
            </w:pPr>
            <w:r w:rsidRPr="0045328B">
              <w:t xml:space="preserve">Plate heat exchangers </w:t>
            </w:r>
          </w:p>
          <w:p w:rsidR="00000000" w:rsidRPr="0045328B" w:rsidP="0045328B">
            <w:pPr>
              <w:pStyle w:val="ListBullet3"/>
            </w:pPr>
            <w:r w:rsidRPr="0045328B">
              <w:t xml:space="preserve">Liquid –Suction heat exchangers </w:t>
            </w:r>
          </w:p>
          <w:p w:rsidR="00000000" w:rsidRPr="0045328B" w:rsidP="0045328B">
            <w:pPr>
              <w:pStyle w:val="ListBullet3"/>
            </w:pPr>
            <w:r w:rsidRPr="0045328B">
              <w:t>Liquid CO2 Refrigerant Pumps</w:t>
            </w:r>
          </w:p>
          <w:p w:rsidR="00000000" w:rsidRPr="0045328B" w:rsidP="0045328B">
            <w:pPr>
              <w:pStyle w:val="ListBullet3"/>
            </w:pPr>
            <w:r w:rsidRPr="0045328B">
              <w:t>"Q" Min and "Q" Max valves</w:t>
            </w:r>
          </w:p>
          <w:p w:rsidR="00000000" w:rsidRPr="0045328B" w:rsidP="0045328B">
            <w:pPr>
              <w:pStyle w:val="ListBullet3"/>
            </w:pPr>
            <w:r w:rsidRPr="0045328B">
              <w:t xml:space="preserve">Interconnecting piping </w:t>
            </w:r>
          </w:p>
          <w:p w:rsidR="00000000" w:rsidRPr="0045328B" w:rsidP="0045328B">
            <w:pPr>
              <w:pStyle w:val="ListBullet3"/>
            </w:pPr>
            <w:r w:rsidRPr="0045328B">
              <w:t>Refrigerant receiver</w:t>
            </w:r>
          </w:p>
          <w:p w:rsidR="00000000" w:rsidRPr="0045328B" w:rsidP="0045328B">
            <w:pPr>
              <w:pStyle w:val="ListBullet3"/>
            </w:pPr>
            <w:r w:rsidRPr="0045328B">
              <w:t>Isolation valves</w:t>
            </w:r>
          </w:p>
          <w:p w:rsidR="00000000" w:rsidRPr="0045328B" w:rsidP="0045328B">
            <w:pPr>
              <w:pStyle w:val="ListBullet2"/>
            </w:pPr>
            <w:r w:rsidRPr="0045328B">
              <w:t>Applicable Standards and Codes</w:t>
            </w:r>
          </w:p>
          <w:p w:rsidR="00000000" w:rsidRPr="0045328B" w:rsidP="0045328B">
            <w:pPr>
              <w:pStyle w:val="ListBullet3"/>
            </w:pPr>
            <w:r w:rsidRPr="0045328B">
              <w:t>Hazards associated with Carbon Dioxide (MSDS)</w:t>
            </w:r>
          </w:p>
          <w:p w:rsidR="00000000" w:rsidRPr="0045328B" w:rsidP="0045328B">
            <w:pPr>
              <w:pStyle w:val="ListBullet3"/>
            </w:pPr>
            <w:r w:rsidRPr="0045328B">
              <w:t>AS/NZS 1677</w:t>
            </w:r>
          </w:p>
          <w:p w:rsidR="00000000" w:rsidRPr="0045328B" w:rsidP="0045328B">
            <w:pPr>
              <w:pStyle w:val="ListBullet3"/>
            </w:pPr>
            <w:r w:rsidRPr="0045328B">
              <w:t>AS/NZS 1571</w:t>
            </w:r>
          </w:p>
          <w:p w:rsidR="00000000" w:rsidRPr="0045328B" w:rsidP="0045328B">
            <w:pPr>
              <w:pStyle w:val="ListBullet3"/>
            </w:pPr>
            <w:r w:rsidRPr="0045328B">
              <w:t>IIAR Bulletins</w:t>
            </w:r>
          </w:p>
          <w:p w:rsidR="00000000" w:rsidRPr="0045328B" w:rsidP="0045328B">
            <w:pPr>
              <w:pStyle w:val="ListBullet3"/>
            </w:pPr>
            <w:r w:rsidRPr="0045328B">
              <w:t>ANSI/ASHRAE Standards</w:t>
            </w:r>
          </w:p>
          <w:p w:rsidR="00000000" w:rsidP="0045328B">
            <w:pPr>
              <w:pStyle w:val="ListBullet3"/>
              <w:rPr>
                <w:lang w:val="en-NZ"/>
              </w:rPr>
            </w:pPr>
            <w:r w:rsidRPr="0045328B">
              <w:t>IOR Safety code for Refrigerating Systems utilising Carbon Dioxide</w:t>
            </w:r>
          </w:p>
        </w:tc>
      </w:tr>
      <w:tr w:rsidTr="00DD06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T3         Servicing and repair techniques for carbon dioxide refrigeration systems</w:t>
            </w:r>
          </w:p>
          <w:p w:rsidR="00000000" w:rsidRPr="0045328B" w:rsidP="0045328B">
            <w:pPr>
              <w:pStyle w:val="ListBullet2"/>
            </w:pPr>
            <w:r w:rsidRPr="0045328B">
              <w:t>Service Gauges</w:t>
            </w:r>
          </w:p>
          <w:p w:rsidR="00000000" w:rsidRPr="0045328B" w:rsidP="0045328B">
            <w:pPr>
              <w:pStyle w:val="ListBullet3"/>
            </w:pPr>
            <w:r w:rsidRPr="0045328B">
              <w:t>Appropriate Type</w:t>
            </w:r>
          </w:p>
          <w:p w:rsidR="00000000" w:rsidRPr="0045328B" w:rsidP="0045328B">
            <w:pPr>
              <w:pStyle w:val="ListBullet3"/>
            </w:pPr>
            <w:r w:rsidRPr="0045328B">
              <w:t xml:space="preserve">Care and Maintenance of Gauges and hoses </w:t>
            </w:r>
          </w:p>
          <w:p w:rsidR="00000000" w:rsidRPr="0045328B" w:rsidP="0045328B">
            <w:pPr>
              <w:pStyle w:val="ListBullet2"/>
            </w:pPr>
            <w:r w:rsidRPr="0045328B">
              <w:t>Service procedures</w:t>
            </w:r>
          </w:p>
          <w:p w:rsidR="00000000" w:rsidRPr="0045328B" w:rsidP="0045328B">
            <w:pPr>
              <w:pStyle w:val="ListBullet3"/>
            </w:pPr>
            <w:r w:rsidRPr="0045328B">
              <w:t>Charging CO2  into a system in both vapour and liquid form</w:t>
            </w:r>
          </w:p>
          <w:p w:rsidR="00000000" w:rsidRPr="0045328B" w:rsidP="0045328B">
            <w:pPr>
              <w:pStyle w:val="ListBullet3"/>
            </w:pPr>
            <w:r w:rsidRPr="0045328B">
              <w:t>Discharging CO2  from a system safely</w:t>
            </w:r>
          </w:p>
          <w:p w:rsidR="00000000" w:rsidRPr="0045328B" w:rsidP="0045328B">
            <w:pPr>
              <w:pStyle w:val="ListBullet3"/>
            </w:pPr>
            <w:r w:rsidRPr="0045328B">
              <w:t xml:space="preserve">Pressure testing </w:t>
            </w:r>
          </w:p>
          <w:p w:rsidR="00000000" w:rsidRPr="0045328B" w:rsidP="0045328B">
            <w:pPr>
              <w:pStyle w:val="ListBullet3"/>
            </w:pPr>
            <w:r w:rsidRPr="0045328B">
              <w:t>System and component isolation</w:t>
            </w:r>
          </w:p>
          <w:p w:rsidR="00000000" w:rsidRPr="0045328B" w:rsidP="0045328B">
            <w:pPr>
              <w:pStyle w:val="ListBullet3"/>
            </w:pPr>
            <w:r w:rsidRPr="0045328B">
              <w:t>Leak detection methods for CO2</w:t>
            </w:r>
          </w:p>
          <w:p w:rsidR="00000000" w:rsidRPr="0045328B" w:rsidP="0045328B">
            <w:pPr>
              <w:pStyle w:val="ListBullet2"/>
            </w:pPr>
            <w:r w:rsidRPr="0045328B">
              <w:t xml:space="preserve">Cylinder Regulators CO2  </w:t>
            </w:r>
          </w:p>
          <w:p w:rsidR="00000000" w:rsidRPr="0045328B" w:rsidP="0045328B">
            <w:pPr>
              <w:pStyle w:val="ListBullet3"/>
            </w:pPr>
            <w:r w:rsidRPr="0045328B">
              <w:t>All currently available regulators provide vapour feed only</w:t>
            </w:r>
          </w:p>
          <w:p w:rsidR="00000000" w:rsidRPr="0045328B" w:rsidP="0045328B">
            <w:pPr>
              <w:pStyle w:val="ListBullet3"/>
            </w:pPr>
            <w:r w:rsidRPr="0045328B">
              <w:t>Pressure readings (bottle and line)</w:t>
            </w:r>
          </w:p>
          <w:p w:rsidR="00000000" w:rsidRPr="0045328B" w:rsidP="0045328B">
            <w:pPr>
              <w:pStyle w:val="ListBullet2"/>
            </w:pPr>
            <w:r w:rsidRPr="0045328B">
              <w:t>Refrigerant C</w:t>
            </w:r>
            <w:r w:rsidRPr="0045328B">
              <w:t xml:space="preserve">ylinders CO2  </w:t>
            </w:r>
          </w:p>
          <w:p w:rsidR="00000000" w:rsidRPr="0045328B" w:rsidP="0045328B">
            <w:pPr>
              <w:pStyle w:val="ListBullet2"/>
            </w:pPr>
            <w:r w:rsidRPr="0045328B">
              <w:t>Refrigerant conditions</w:t>
            </w:r>
          </w:p>
          <w:p w:rsidR="00000000" w:rsidRPr="0045328B" w:rsidP="0045328B">
            <w:pPr>
              <w:pStyle w:val="ListBullet3"/>
            </w:pPr>
            <w:r w:rsidRPr="0045328B">
              <w:t>Hazards and related safe working practices (dangerous system pressures)</w:t>
            </w:r>
          </w:p>
          <w:p w:rsidR="00000000" w:rsidRPr="0045328B" w:rsidP="0045328B">
            <w:pPr>
              <w:pStyle w:val="ListBullet3"/>
            </w:pPr>
            <w:r w:rsidRPr="0045328B">
              <w:t xml:space="preserve">Pressure to temperature conversion (Saturated P/T is only between 430 kPa and 4399kPa) </w:t>
            </w:r>
          </w:p>
          <w:p w:rsidR="00000000" w:rsidRPr="0045328B" w:rsidP="0045328B">
            <w:pPr>
              <w:pStyle w:val="ListBullet2"/>
            </w:pPr>
            <w:r w:rsidRPr="0045328B">
              <w:t>System standing pressure as a result of power loss.</w:t>
            </w:r>
          </w:p>
          <w:p w:rsidR="00000000" w:rsidRPr="0045328B" w:rsidP="0045328B">
            <w:pPr>
              <w:pStyle w:val="ListBullet2"/>
            </w:pPr>
            <w:r w:rsidRPr="0045328B">
              <w:t>Moisture problems with CO2 systems</w:t>
            </w:r>
          </w:p>
        </w:tc>
      </w:tr>
    </w:tbl>
    <w:p w:rsidR="00DD0682" w:rsidP="0045328B">
      <w:pPr>
        <w:pStyle w:val="BodyText"/>
      </w:pPr>
    </w:p>
    <w:p w:rsidR="00DD0682" w:rsidP="0045328B">
      <w:pPr>
        <w:pStyle w:val="BodyText"/>
      </w:pPr>
    </w:p>
    <w:p w:rsidR="00000000" w:rsidRPr="0045328B" w:rsidP="0045328B">
      <w:pPr>
        <w:pStyle w:val="Heading1"/>
      </w:pPr>
      <w:bookmarkStart w:id="10" w:name="O_710272"/>
      <w:bookmarkEnd w:id="10"/>
      <w:r w:rsidRPr="0045328B">
        <w:t>Evidence Guide</w:t>
      </w:r>
    </w:p>
    <w:tbl>
      <w:tblPr>
        <w:tblW w:w="0" w:type="auto"/>
        <w:tblLayout w:type="fixed"/>
        <w:tblCellMar>
          <w:left w:w="62" w:type="dxa"/>
          <w:right w:w="62" w:type="dxa"/>
        </w:tblCellMar>
        <w:tblLook w:val="0000"/>
      </w:tblPr>
      <w:tblGrid>
        <w:gridCol w:w="2160"/>
        <w:gridCol w:w="720"/>
        <w:gridCol w:w="540"/>
        <w:gridCol w:w="5040"/>
      </w:tblGrid>
      <w:tr w:rsidTr="00DD068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EVIDENCE GUIDE</w:t>
            </w:r>
          </w:p>
        </w:tc>
      </w:tr>
      <w:tr w:rsidTr="00DD068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9</w:t>
            </w:r>
            <w:r w:rsidRPr="0045328B">
              <w:t>) The evidence guide provides advice on assessment and must be read in conjunction with the Performance Criteria, Required Skills and Knowledge, the Range State</w:t>
            </w:r>
            <w:r w:rsidRPr="0045328B">
              <w:t>ment and the Assessment Guidelines for this Training Package. .</w:t>
            </w:r>
          </w:p>
          <w:p w:rsidR="00000000" w:rsidP="0045328B">
            <w:pPr>
              <w:pStyle w:val="BodyText"/>
              <w:rPr>
                <w:lang w:val="en-NZ"/>
              </w:rPr>
            </w:pPr>
            <w:r w:rsidRPr="0045328B">
              <w:t>The Evidence Guide forms an integral part of this unit. It must be used in conjunction with all parts of this unit and performed in accordance with the Assessment Guidelines of this Training P</w:t>
            </w:r>
            <w:r w:rsidRPr="0045328B">
              <w:t>ackage.</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9</w:t>
            </w:r>
            <w:r w:rsidRPr="0045328B">
              <w:t>.</w:t>
            </w:r>
            <w:r w:rsidRPr="0045328B">
              <w:rPr>
                <w:rStyle w:val="SpecialBold"/>
              </w:rPr>
              <w:t>1</w:t>
            </w:r>
            <w:r w:rsidRPr="0045328B">
              <w:t xml:space="preserve">) </w:t>
            </w:r>
          </w:p>
          <w:p w:rsidR="00000000" w:rsidRPr="0045328B" w:rsidP="0045328B">
            <w:pPr>
              <w:pStyle w:val="BodyText"/>
            </w:pPr>
            <w:r w:rsidRPr="0045328B">
              <w:t>Longitudinal competency development approaches to assessment, such as Profiling, require data to be reliably gathered in a form that can be consistently interpreted over time. This approach is best utilised in Apprenticeship programs and reduces assessment</w:t>
            </w:r>
            <w:r w:rsidRPr="0045328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45328B">
              <w:t>ncy in a realistically simulated work environment. In some circumstances, assessment in part or full can occur outside the workplace. However, it must be in accordance with industry and regulatory policy.</w:t>
            </w:r>
          </w:p>
          <w:p w:rsidR="00000000" w:rsidRPr="0045328B" w:rsidP="0045328B">
            <w:pPr>
              <w:pStyle w:val="BodyText"/>
            </w:pPr>
            <w:r w:rsidRPr="0045328B">
              <w:t xml:space="preserve">Methods chosen for a particular assessment will be </w:t>
            </w:r>
            <w:r w:rsidRPr="0045328B">
              <w:t>influenced by various factors. These include the extent of the assessment, the most effective locations for the assessment activities to take place, access to physical resources, additional safety measures that may be required and the critical nature of th</w:t>
            </w:r>
            <w:r w:rsidRPr="0045328B">
              <w:t>e competencies being assessed.</w:t>
            </w:r>
          </w:p>
          <w:p w:rsidR="00000000" w:rsidRPr="0045328B" w:rsidP="0045328B">
            <w:pPr>
              <w:pStyle w:val="BodyText"/>
            </w:pPr>
            <w:r w:rsidRPr="0045328B">
              <w:t xml:space="preserve">The critical safety issues inherent in working with electricity, electrical equipment, gas or any other hazardous substance/material present a challenge for those determining competence. Sources of evidence need to be 'rich' </w:t>
            </w:r>
            <w:r w:rsidRPr="0045328B">
              <w:t>in nature to minimise error in judgment.</w:t>
            </w:r>
          </w:p>
          <w:p w:rsidR="00000000" w:rsidP="0045328B">
            <w:pPr>
              <w:pStyle w:val="BodyText"/>
              <w:rPr>
                <w:lang w:val="en-NZ"/>
              </w:rPr>
            </w:pPr>
            <w:r w:rsidRPr="0045328B">
              <w:t>Activities associated with normal everyday work have a bearing on the decision as to how much and how detailed the data gathered will contribute to its 'richness'. Some skills are more critical to safety and operati</w:t>
            </w:r>
            <w:r w:rsidRPr="0045328B">
              <w:t>onal requirements while the same skills may be more or less frequently practised. These points are raised for the assessors to consider when choosing an assessment method and developing assessment instruments. Sample assessment instruments are included for</w:t>
            </w:r>
            <w:r w:rsidRPr="0045328B">
              <w:t xml:space="preserve"> Assessors in the Assessment Guidelines of this Training Package.</w:t>
            </w:r>
          </w:p>
        </w:tc>
      </w:tr>
      <w:tr w:rsidTr="00DD06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9</w:t>
            </w:r>
            <w:r w:rsidRPr="0045328B">
              <w:t>.</w:t>
            </w:r>
            <w:r w:rsidRPr="0045328B">
              <w:rPr>
                <w:rStyle w:val="SpecialBold"/>
              </w:rPr>
              <w:t>2</w:t>
            </w:r>
            <w:r w:rsidRPr="0045328B">
              <w:t xml:space="preserve">) </w:t>
            </w:r>
          </w:p>
          <w:p w:rsidR="00000000" w:rsidP="0045328B">
            <w:pPr>
              <w:pStyle w:val="BodyText"/>
              <w:rPr>
                <w:lang w:val="en-NZ"/>
              </w:rPr>
            </w:pPr>
            <w:r w:rsidRPr="0045328B">
              <w:t>Before the critical aspects of evidence are considered all prerequisites must be met.</w:t>
            </w:r>
          </w:p>
        </w:tc>
      </w:tr>
      <w:tr w:rsidTr="00DD06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45328B">
            <w:pPr>
              <w:pStyle w:val="ListBullet"/>
              <w:rPr>
                <w:lang w:val="en-NZ"/>
              </w:rPr>
            </w:pPr>
            <w:r w:rsidRPr="0045328B">
              <w:t>A</w:t>
            </w:r>
            <w:r w:rsidRPr="0045328B">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ListBullet2"/>
            </w:pPr>
            <w:r w:rsidRPr="0045328B">
              <w:t>Implement Occu</w:t>
            </w:r>
            <w:r w:rsidRPr="0045328B">
              <w:t>pational Health and Safety workplace procedures and practices including the use of risk control measures as specified in the performance criteria and range statement</w:t>
            </w:r>
          </w:p>
          <w:p w:rsidR="00000000" w:rsidRPr="0045328B" w:rsidP="0045328B">
            <w:pPr>
              <w:pStyle w:val="ListBullet2"/>
            </w:pPr>
            <w:r w:rsidRPr="0045328B">
              <w:t>Apply sustainable energy principles and practices as specified in the performance criteria and range statement</w:t>
            </w:r>
          </w:p>
          <w:p w:rsidR="00000000" w:rsidRPr="0045328B" w:rsidP="0045328B">
            <w:pPr>
              <w:pStyle w:val="ListBullet2"/>
            </w:pPr>
            <w:r w:rsidRPr="0045328B">
              <w:t>Demonstrate an understanding of the essential knowledge and associated skills as described in this unit.  It may be required by some jurisdiction</w:t>
            </w:r>
            <w:r w:rsidRPr="0045328B">
              <w:t>s that RTOs provide a percentile graded result for the purpose of regulatory or licensing requirements.</w:t>
            </w:r>
          </w:p>
          <w:p w:rsidR="00000000" w:rsidRPr="0045328B" w:rsidP="0045328B">
            <w:pPr>
              <w:pStyle w:val="ListBullet2"/>
            </w:pPr>
            <w:r w:rsidRPr="0045328B">
              <w:t>Demonstrate an appropriate level of skills enabling employment</w:t>
            </w:r>
          </w:p>
          <w:p w:rsidR="00000000" w:rsidP="0045328B">
            <w:pPr>
              <w:pStyle w:val="ListBullet2"/>
              <w:rPr>
                <w:lang w:val="en-NZ"/>
              </w:rPr>
            </w:pPr>
            <w:r w:rsidRPr="0045328B">
              <w:t>Conduct work observing the relevant Anti Discrimination legislation, regulations, polices</w:t>
            </w:r>
            <w:r w:rsidRPr="0045328B">
              <w:t xml:space="preserve"> and workplace procedures</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5328B">
            <w:pPr>
              <w:pStyle w:val="ListBullet"/>
              <w:rPr>
                <w:lang w:val="en-NZ"/>
              </w:rPr>
            </w:pPr>
            <w:r w:rsidRPr="0045328B">
              <w:t>Demonstrated consistent performance across a representative range of contexts from the prescribed items below:</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5328B">
            <w:pPr>
              <w:pStyle w:val="ListBullet2"/>
              <w:rPr>
                <w:lang w:val="en-NZ"/>
              </w:rPr>
            </w:pPr>
            <w:r w:rsidRPr="0045328B">
              <w:t xml:space="preserve">Pressure testing, charging/discharging refrigerant/lubricants and determining the operating </w:t>
            </w:r>
            <w:r w:rsidRPr="0045328B">
              <w:t>conditions of Carbon Dioxide vapour compression and volatile secondary ( liquid recirculation) system as described in 8) and including:</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A</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Selecting and using appropriate measuring devices correctly</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B</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Recording measurements </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C</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Using calculation methods accurately </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Discharging / charging refrigerant / lubricants and pressure testing the system without damage to components</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E</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Locating and rectifying leaks</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F</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Decontaminating and evacuating the system</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G</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 xml:space="preserve">Identifying the conditions of the refrigerant (R744) at various locations in the vapour compression and volatile secondary (liquid recirculation) system </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H</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Documenting operating conditions correctly</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I</w:t>
            </w:r>
          </w:p>
        </w:tc>
        <w:tc>
          <w:tcPr>
            <w:tcW w:w="504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Dealing with unplanned events by drawing on essen</w:t>
            </w:r>
            <w:r w:rsidRPr="0045328B">
              <w:t>tial knowledge and skills to provide appropriate solutions incorporated in a holistic assessment with the above listed items</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9</w:t>
            </w:r>
            <w:r w:rsidRPr="0045328B">
              <w:t>.</w:t>
            </w:r>
            <w:r w:rsidRPr="0045328B">
              <w:rPr>
                <w:rStyle w:val="SpecialBold"/>
              </w:rPr>
              <w:t>3</w:t>
            </w:r>
            <w:r w:rsidRPr="0045328B">
              <w:t xml:space="preserve">) </w:t>
            </w:r>
          </w:p>
          <w:p w:rsidR="00000000" w:rsidRPr="0045328B" w:rsidP="0045328B">
            <w:pPr>
              <w:pStyle w:val="BodyText"/>
            </w:pPr>
            <w:r w:rsidRPr="0045328B">
              <w:t>This unit should be assessed as it relates to normal work practice using pr</w:t>
            </w:r>
            <w:r w:rsidRPr="0045328B">
              <w:t>ocedures, information and resources typical of a workplace. This should include:</w:t>
            </w:r>
          </w:p>
          <w:p w:rsidR="00000000" w:rsidRPr="0045328B" w:rsidP="0045328B">
            <w:pPr>
              <w:pStyle w:val="ListBullet"/>
            </w:pPr>
            <w:r w:rsidRPr="0045328B">
              <w:t>OHS policy and work procedures and instructions.</w:t>
            </w:r>
          </w:p>
          <w:p w:rsidR="00000000" w:rsidRPr="0045328B" w:rsidP="0045328B">
            <w:pPr>
              <w:pStyle w:val="ListBullet"/>
            </w:pPr>
            <w:r w:rsidRPr="0045328B">
              <w:t>Suitable work environment, facilities, equipment and materials to undertake actual work as prescribed by this unit.</w:t>
            </w:r>
          </w:p>
          <w:p w:rsidR="00000000" w:rsidRPr="0045328B" w:rsidP="0045328B">
            <w:pPr>
              <w:pStyle w:val="BodyText"/>
            </w:pPr>
            <w:r w:rsidRPr="0045328B">
              <w:t>These should be part of the formal learning/assessment environment.</w:t>
            </w:r>
          </w:p>
          <w:p w:rsidR="00000000" w:rsidRPr="0045328B" w:rsidP="0045328B">
            <w:pPr>
              <w:pStyle w:val="BodyText"/>
            </w:pPr>
            <w:r w:rsidRPr="0045328B">
              <w:t>Note:</w:t>
            </w:r>
          </w:p>
          <w:p w:rsidR="00000000" w:rsidP="0045328B">
            <w:pPr>
              <w:pStyle w:val="BodyText"/>
              <w:rPr>
                <w:lang w:val="en-NZ"/>
              </w:rPr>
            </w:pPr>
            <w:r w:rsidRPr="0045328B">
              <w:t>Where simulation is considered a suitable strategy for assessment, conditions must be authentic and as far as possible reproduce and replicate the workplace and be consistent with th</w:t>
            </w:r>
            <w:r w:rsidRPr="0045328B">
              <w:t>e approved industry simulation policy.</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The resources used for assessment should reflect current industry practices in relation to servicing and repairing as well as determining the operating conditions of Carbon Dioxide vapour compression and liquid re</w:t>
            </w:r>
            <w:r w:rsidRPr="0045328B">
              <w:t>circulation/cascade system.</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9</w:t>
            </w:r>
            <w:r w:rsidRPr="0045328B">
              <w:t>.</w:t>
            </w:r>
            <w:r w:rsidRPr="0045328B">
              <w:rPr>
                <w:rStyle w:val="SpecialBold"/>
              </w:rPr>
              <w:t>4</w:t>
            </w:r>
            <w:r w:rsidRPr="0045328B">
              <w:t xml:space="preserve">) </w:t>
            </w:r>
          </w:p>
          <w:p w:rsidR="00000000" w:rsidRPr="0045328B" w:rsidP="0045328B">
            <w:pPr>
              <w:pStyle w:val="BodyText"/>
            </w:pPr>
            <w:r w:rsidRPr="0045328B">
              <w:t>This unit shall be assessed by methods given in Volume 1, Part 3 'Assessment Guidelines'.</w:t>
            </w:r>
          </w:p>
          <w:p w:rsidR="00000000" w:rsidP="0045328B">
            <w:pPr>
              <w:pStyle w:val="BodyText"/>
              <w:rPr>
                <w:lang w:val="en-NZ"/>
              </w:rPr>
            </w:pPr>
            <w:r w:rsidRPr="0045328B">
              <w:t xml:space="preserve">Note: </w:t>
            </w:r>
            <w:r w:rsidRPr="0045328B">
              <w:br/>
              <w:t>Competent performance with inherent safe working practices is expected in the Ind</w:t>
            </w:r>
            <w:r w:rsidRPr="0045328B">
              <w:t>ustry to which this unit applies. This requires assessment in a structured environment which is intended primarily for learning/assessment and incorporates all necessary equipment and facilities for learners to develop and demonstrate the essential knowled</w:t>
            </w:r>
            <w:r w:rsidRPr="0045328B">
              <w:t>ge and skills described in this unit.</w:t>
            </w:r>
          </w:p>
        </w:tc>
      </w:tr>
      <w:tr w:rsidTr="00DD06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9</w:t>
            </w:r>
            <w:r w:rsidRPr="0045328B">
              <w:t>.</w:t>
            </w:r>
            <w:r w:rsidRPr="0045328B">
              <w:rPr>
                <w:rStyle w:val="SpecialBold"/>
              </w:rPr>
              <w:t>5</w:t>
            </w:r>
            <w:r w:rsidRPr="0045328B">
              <w:t>)</w:t>
            </w:r>
          </w:p>
        </w:tc>
      </w:tr>
      <w:tr w:rsidTr="00DD06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There are no concurrent assessment recommendations for this unit.</w:t>
            </w:r>
          </w:p>
        </w:tc>
      </w:tr>
      <w:tr w:rsidTr="00DD06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The critical aspects of occupational health and safety covered in unit UEENEEE001B and other discipline specific occupational health and safety units shall be incorporated in relation to this unit..</w:t>
            </w:r>
          </w:p>
        </w:tc>
      </w:tr>
    </w:tbl>
    <w:p w:rsidR="00DD0682" w:rsidP="0045328B">
      <w:pPr>
        <w:pStyle w:val="BodyText"/>
      </w:pPr>
    </w:p>
    <w:p w:rsidR="00DD0682" w:rsidP="0045328B">
      <w:pPr>
        <w:pStyle w:val="BodyText"/>
      </w:pPr>
    </w:p>
    <w:p w:rsidR="00000000" w:rsidRPr="0045328B" w:rsidP="0045328B">
      <w:pPr>
        <w:pStyle w:val="Heading1"/>
      </w:pPr>
      <w:bookmarkStart w:id="11" w:name="O_710271"/>
      <w:bookmarkEnd w:id="11"/>
      <w:r w:rsidRPr="0045328B">
        <w:t>Range Statement</w:t>
      </w:r>
    </w:p>
    <w:tbl>
      <w:tblPr>
        <w:tblW w:w="0" w:type="auto"/>
        <w:tblLayout w:type="fixed"/>
        <w:tblCellMar>
          <w:left w:w="62" w:type="dxa"/>
          <w:right w:w="62" w:type="dxa"/>
        </w:tblCellMar>
        <w:tblLook w:val="0000"/>
      </w:tblPr>
      <w:tblGrid>
        <w:gridCol w:w="8460"/>
      </w:tblGrid>
      <w:tr w:rsidTr="00DD06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RANGE STATEMENT</w:t>
            </w:r>
          </w:p>
        </w:tc>
      </w:tr>
      <w:tr w:rsidTr="00DD06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8</w:t>
            </w:r>
            <w:r w:rsidRPr="0045328B">
              <w:t>) This relates to the unit as a whole providing the range of contexts and conditions to which the performance criteria apply. It allows for different work environments and situations that will affect performance.</w:t>
            </w:r>
          </w:p>
        </w:tc>
      </w:tr>
      <w:tr w:rsidTr="00DD06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t>This unit must be demonstrated in relatio</w:t>
            </w:r>
            <w:r w:rsidRPr="0045328B">
              <w:t>n to determining operating conditions using measurement and basic calculation methods of carbon dioxide vapour compression and volatile secondary (liquid recirculation) system. These conditions include suction and discharge pressures, ambient, evaporator a</w:t>
            </w:r>
            <w:r w:rsidRPr="0045328B">
              <w:t>nd condensing temperatures, evaporator, and condenser temperature difference, critical point, triple point, trans critical and sub-critical refrigerant conditions of carbon dioxide (R744). Further, this unit must be demonstrated in relation to charging and</w:t>
            </w:r>
            <w:r w:rsidRPr="0045328B">
              <w:t xml:space="preserve"> discharging a carbon dioxide (R744) system with refrigerant and lubricant in a safe and environmentally responsible manner. This excludes self contained systems.</w:t>
            </w:r>
          </w:p>
        </w:tc>
      </w:tr>
      <w:tr w:rsidTr="00DD06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Generic terms used throughout this Vocational Standard shall be regarded as part of the Rang</w:t>
            </w:r>
            <w:r w:rsidRPr="0045328B">
              <w:t>e Statement in which competency is demonstrated. The definition of these and other terms that apply are given in Volume 2, Part 2.1.</w:t>
            </w:r>
          </w:p>
        </w:tc>
      </w:tr>
    </w:tbl>
    <w:p w:rsidR="00DD0682" w:rsidP="0045328B">
      <w:pPr>
        <w:pStyle w:val="BodyText"/>
      </w:pPr>
    </w:p>
    <w:p w:rsidR="00DD0682" w:rsidP="0045328B">
      <w:pPr>
        <w:pStyle w:val="BodyText"/>
      </w:pPr>
    </w:p>
    <w:p w:rsidR="00000000" w:rsidRPr="0045328B" w:rsidP="0045328B">
      <w:pPr>
        <w:pStyle w:val="Heading1"/>
      </w:pPr>
      <w:bookmarkStart w:id="12" w:name="O_710270"/>
      <w:bookmarkEnd w:id="12"/>
      <w:r w:rsidRPr="0045328B">
        <w:t>Unit Sector(s)</w:t>
      </w:r>
    </w:p>
    <w:p w:rsidR="00000000" w:rsidRPr="0045328B" w:rsidP="0045328B">
      <w:pPr>
        <w:pStyle w:val="BodyText"/>
      </w:pPr>
      <w:r w:rsidRPr="0045328B">
        <w:t>Not Applicable</w:t>
      </w:r>
    </w:p>
    <w:p w:rsidR="00000000" w:rsidRPr="0045328B" w:rsidP="0045328B">
      <w:pPr>
        <w:pStyle w:val="AllowPageBreak"/>
      </w:pPr>
    </w:p>
    <w:p w:rsidR="00000000" w:rsidRPr="0045328B" w:rsidP="0045328B">
      <w:pPr>
        <w:pStyle w:val="Heading1"/>
      </w:pPr>
      <w:bookmarkStart w:id="13" w:name="O_710269"/>
      <w:bookmarkEnd w:id="13"/>
      <w:r w:rsidRPr="0045328B">
        <w:t>Competency Field</w:t>
      </w:r>
    </w:p>
    <w:tbl>
      <w:tblPr>
        <w:tblW w:w="0" w:type="auto"/>
        <w:tblLayout w:type="fixed"/>
        <w:tblCellMar>
          <w:left w:w="62" w:type="dxa"/>
          <w:right w:w="62" w:type="dxa"/>
        </w:tblCellMar>
        <w:tblLook w:val="0000"/>
      </w:tblPr>
      <w:tblGrid>
        <w:gridCol w:w="2700"/>
        <w:gridCol w:w="5760"/>
      </w:tblGrid>
      <w:tr w:rsidTr="00DD06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328B">
            <w:pPr>
              <w:pStyle w:val="BodyText"/>
              <w:rPr>
                <w:lang w:val="en-NZ"/>
              </w:rPr>
            </w:pPr>
            <w:r w:rsidRPr="0045328B">
              <w:rPr>
                <w:rStyle w:val="SpecialBold"/>
              </w:rPr>
              <w:t>5</w:t>
            </w:r>
            <w:r w:rsidRPr="0045328B">
              <w:t>)</w:t>
            </w:r>
          </w:p>
        </w:tc>
      </w:tr>
      <w:tr w:rsidTr="00DD06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328B" w:rsidP="0045328B">
            <w:pPr>
              <w:pStyle w:val="BodyText"/>
            </w:pPr>
            <w:r w:rsidRPr="0045328B">
              <w:t>Refrigeration and Air Conditioning</w:t>
            </w:r>
          </w:p>
        </w:tc>
      </w:tr>
    </w:tbl>
    <w:p w:rsidR="00DD0682" w:rsidP="0045328B">
      <w:pPr>
        <w:pStyle w:val="BodyText"/>
      </w:pPr>
    </w:p>
    <w:p w:rsidR="00DD0682" w:rsidP="0045328B">
      <w:pPr>
        <w:pStyle w:val="BodyText"/>
      </w:pPr>
    </w:p>
    <w:p w:rsidR="00000000" w:rsidRPr="0045328B" w:rsidP="0045328B"/>
    <w:sectPr w:rsidSect="00453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8B" w:rsidRPr="00DD0682" w:rsidP="00DD0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82" w:rsidP="00453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DD0682" w:rsidP="0045328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D0682" w:rsidP="00453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8B" w:rsidRPr="00DD0682" w:rsidP="00DD06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82" w:rsidRPr="002D2AF8" w:rsidP="0045328B">
    <w:pPr>
      <w:pStyle w:val="Header"/>
      <w:framePr w:wrap="around"/>
    </w:pPr>
    <w:r>
      <w:fldChar w:fldCharType="begin"/>
    </w:r>
    <w:r>
      <w:instrText xml:space="preserve"> TITLE   \* MERGEFORMAT </w:instrText>
    </w:r>
    <w:r>
      <w:fldChar w:fldCharType="separate"/>
    </w:r>
    <w:r>
      <w:t>UEENEEJ185A Repair and service carbon dioxide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DD0682" w:rsidP="00453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41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CCC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20A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28B"/>
    <w:pPr>
      <w:spacing w:before="360" w:after="60"/>
      <w:outlineLvl w:val="0"/>
    </w:pPr>
    <w:rPr>
      <w:sz w:val="32"/>
    </w:rPr>
  </w:style>
  <w:style w:type="paragraph" w:styleId="Heading2">
    <w:name w:val="heading 2"/>
    <w:basedOn w:val="HeadingBase"/>
    <w:next w:val="BodyText"/>
    <w:link w:val="Heading2Char"/>
    <w:qFormat/>
    <w:rsid w:val="0045328B"/>
    <w:pPr>
      <w:keepLines/>
      <w:spacing w:before="240" w:after="120"/>
      <w:outlineLvl w:val="1"/>
    </w:pPr>
    <w:rPr>
      <w:sz w:val="28"/>
      <w:szCs w:val="40"/>
    </w:rPr>
  </w:style>
  <w:style w:type="paragraph" w:styleId="Heading3">
    <w:name w:val="heading 3"/>
    <w:basedOn w:val="HeadingBase"/>
    <w:next w:val="BodyText"/>
    <w:link w:val="Heading3Char"/>
    <w:qFormat/>
    <w:rsid w:val="0045328B"/>
    <w:pPr>
      <w:spacing w:before="180" w:after="120"/>
      <w:outlineLvl w:val="2"/>
    </w:pPr>
    <w:rPr>
      <w:spacing w:val="-10"/>
      <w:kern w:val="32"/>
    </w:rPr>
  </w:style>
  <w:style w:type="paragraph" w:styleId="Heading4">
    <w:name w:val="heading 4"/>
    <w:basedOn w:val="HeadingBase"/>
    <w:next w:val="BodyText"/>
    <w:link w:val="Heading4Char"/>
    <w:qFormat/>
    <w:rsid w:val="0045328B"/>
    <w:pPr>
      <w:spacing w:before="160" w:after="120"/>
      <w:outlineLvl w:val="3"/>
    </w:pPr>
    <w:rPr>
      <w:sz w:val="22"/>
    </w:rPr>
  </w:style>
  <w:style w:type="paragraph" w:styleId="Heading5">
    <w:name w:val="heading 5"/>
    <w:basedOn w:val="HeadingBase"/>
    <w:next w:val="Normal"/>
    <w:link w:val="Heading5Char"/>
    <w:qFormat/>
    <w:rsid w:val="0045328B"/>
    <w:pPr>
      <w:spacing w:before="80"/>
      <w:outlineLvl w:val="4"/>
    </w:pPr>
    <w:rPr>
      <w:color w:val="918585"/>
      <w:sz w:val="20"/>
    </w:rPr>
  </w:style>
  <w:style w:type="paragraph" w:styleId="Heading6">
    <w:name w:val="heading 6"/>
    <w:basedOn w:val="HeadingBase"/>
    <w:next w:val="Normal"/>
    <w:link w:val="Heading6Char"/>
    <w:qFormat/>
    <w:rsid w:val="0045328B"/>
    <w:pPr>
      <w:spacing w:before="60"/>
      <w:outlineLvl w:val="5"/>
    </w:pPr>
    <w:rPr>
      <w:color w:val="918585"/>
      <w:sz w:val="20"/>
    </w:rPr>
  </w:style>
  <w:style w:type="paragraph" w:styleId="Heading7">
    <w:name w:val="heading 7"/>
    <w:basedOn w:val="Normal"/>
    <w:next w:val="Normal"/>
    <w:link w:val="Heading7Char"/>
    <w:qFormat/>
    <w:rsid w:val="0045328B"/>
    <w:pPr>
      <w:ind w:left="720"/>
      <w:outlineLvl w:val="6"/>
    </w:pPr>
    <w:rPr>
      <w:i/>
    </w:rPr>
  </w:style>
  <w:style w:type="paragraph" w:styleId="Heading8">
    <w:name w:val="heading 8"/>
    <w:basedOn w:val="Normal"/>
    <w:next w:val="Normal"/>
    <w:link w:val="Heading8Char"/>
    <w:qFormat/>
    <w:rsid w:val="0045328B"/>
    <w:pPr>
      <w:ind w:left="720"/>
      <w:outlineLvl w:val="7"/>
    </w:pPr>
    <w:rPr>
      <w:i/>
    </w:rPr>
  </w:style>
  <w:style w:type="paragraph" w:styleId="Heading9">
    <w:name w:val="heading 9"/>
    <w:basedOn w:val="Normal"/>
    <w:next w:val="Normal"/>
    <w:link w:val="Heading9Char"/>
    <w:qFormat/>
    <w:rsid w:val="0045328B"/>
    <w:pPr>
      <w:ind w:left="720"/>
      <w:outlineLvl w:val="8"/>
    </w:pPr>
    <w:rPr>
      <w:i/>
    </w:rPr>
  </w:style>
  <w:style w:type="character" w:default="1" w:styleId="DefaultParagraphFont">
    <w:name w:val="Default Paragraph Font"/>
    <w:uiPriority w:val="1"/>
    <w:unhideWhenUsed/>
    <w:rsid w:val="00453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28B"/>
  </w:style>
  <w:style w:type="character" w:customStyle="1" w:styleId="Heading1Char">
    <w:name w:val="Heading 1 Char"/>
    <w:basedOn w:val="DefaultParagraphFont"/>
    <w:link w:val="Heading1"/>
    <w:rsid w:val="0045328B"/>
    <w:rPr>
      <w:rFonts w:ascii="Times New Roman" w:eastAsia="Times New Roman" w:hAnsi="Times New Roman" w:cs="Times New Roman"/>
      <w:b/>
      <w:sz w:val="32"/>
      <w:szCs w:val="20"/>
      <w:lang w:eastAsia="en-US"/>
    </w:rPr>
  </w:style>
  <w:style w:type="paragraph" w:styleId="BodyText">
    <w:name w:val="Body Text"/>
    <w:basedOn w:val="Normal"/>
    <w:link w:val="BodyTextChar"/>
    <w:rsid w:val="00453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28B"/>
    <w:rPr>
      <w:rFonts w:ascii="Times New Roman" w:eastAsia="Times New Roman" w:hAnsi="Times New Roman" w:cs="Times New Roman"/>
      <w:sz w:val="24"/>
      <w:lang w:eastAsia="en-US"/>
    </w:rPr>
  </w:style>
  <w:style w:type="paragraph" w:styleId="ListBullet">
    <w:name w:val="List Bullet"/>
    <w:basedOn w:val="List"/>
    <w:rsid w:val="0045328B"/>
    <w:pPr>
      <w:numPr>
        <w:numId w:val="14"/>
      </w:numPr>
      <w:tabs>
        <w:tab w:val="clear" w:pos="340"/>
      </w:tabs>
      <w:spacing w:before="40" w:after="40"/>
    </w:pPr>
  </w:style>
  <w:style w:type="character" w:customStyle="1" w:styleId="SpecialBold">
    <w:name w:val="Special Bold"/>
    <w:basedOn w:val="DefaultParagraphFont"/>
    <w:rsid w:val="0045328B"/>
    <w:rPr>
      <w:b/>
      <w:spacing w:val="0"/>
    </w:rPr>
  </w:style>
  <w:style w:type="paragraph" w:styleId="ListBullet2">
    <w:name w:val="List Bullet 2"/>
    <w:basedOn w:val="List2"/>
    <w:rsid w:val="0045328B"/>
    <w:pPr>
      <w:numPr>
        <w:numId w:val="15"/>
      </w:numPr>
      <w:tabs>
        <w:tab w:val="clear" w:pos="680"/>
      </w:tabs>
    </w:pPr>
  </w:style>
  <w:style w:type="paragraph" w:customStyle="1" w:styleId="SuperHeading">
    <w:name w:val="SuperHeading"/>
    <w:basedOn w:val="Normal"/>
    <w:rsid w:val="0045328B"/>
    <w:pPr>
      <w:spacing w:before="240" w:after="120"/>
      <w:outlineLvl w:val="0"/>
    </w:pPr>
    <w:rPr>
      <w:rFonts w:ascii="Times New Roman" w:hAnsi="Times New Roman"/>
      <w:b/>
      <w:sz w:val="32"/>
    </w:rPr>
  </w:style>
  <w:style w:type="paragraph" w:customStyle="1" w:styleId="AllowPageBreak">
    <w:name w:val="AllowPageBreak"/>
    <w:rsid w:val="004532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328B"/>
    <w:pPr>
      <w:numPr>
        <w:numId w:val="3"/>
      </w:numPr>
      <w:tabs>
        <w:tab w:val="clear" w:pos="1021"/>
      </w:tabs>
      <w:ind w:left="1037" w:hanging="357"/>
    </w:pPr>
  </w:style>
  <w:style w:type="character" w:customStyle="1" w:styleId="Subscript">
    <w:name w:val="Subscript"/>
    <w:basedOn w:val="DefaultParagraphFont"/>
    <w:rsid w:val="0045328B"/>
    <w:rPr>
      <w:sz w:val="16"/>
      <w:vertAlign w:val="subscript"/>
    </w:rPr>
  </w:style>
  <w:style w:type="character" w:customStyle="1" w:styleId="Heading2Char">
    <w:name w:val="Heading 2 Char"/>
    <w:basedOn w:val="DefaultParagraphFont"/>
    <w:link w:val="Heading2"/>
    <w:rsid w:val="00453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28B"/>
    <w:rPr>
      <w:rFonts w:ascii="Courier New" w:eastAsia="Times New Roman" w:hAnsi="Courier New" w:cs="Times New Roman"/>
      <w:i/>
      <w:szCs w:val="20"/>
      <w:lang w:eastAsia="en-US"/>
    </w:rPr>
  </w:style>
  <w:style w:type="paragraph" w:customStyle="1" w:styleId="HeadingBase">
    <w:name w:val="Heading Base"/>
    <w:rsid w:val="00453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28B"/>
    <w:pPr>
      <w:tabs>
        <w:tab w:val="right" w:leader="dot" w:pos="9072"/>
      </w:tabs>
      <w:ind w:left="567"/>
    </w:pPr>
    <w:rPr>
      <w:szCs w:val="22"/>
    </w:rPr>
  </w:style>
  <w:style w:type="paragraph" w:customStyle="1" w:styleId="TOCBase">
    <w:name w:val="TOC Base"/>
    <w:rsid w:val="00453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28B"/>
    <w:pPr>
      <w:tabs>
        <w:tab w:val="right" w:leader="dot" w:pos="9072"/>
      </w:tabs>
      <w:spacing w:before="40" w:after="40"/>
      <w:ind w:left="284"/>
    </w:pPr>
    <w:rPr>
      <w:rFonts w:ascii="Times New Roman" w:hAnsi="Times New Roman"/>
    </w:rPr>
  </w:style>
  <w:style w:type="paragraph" w:styleId="TOC1">
    <w:name w:val="toc 1"/>
    <w:basedOn w:val="TOCBase"/>
    <w:next w:val="Normal"/>
    <w:rsid w:val="00453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28B"/>
    <w:rPr>
      <w:rFonts w:ascii="Times New Roman" w:eastAsia="Times New Roman" w:hAnsi="Times New Roman" w:cs="Times New Roman"/>
      <w:sz w:val="16"/>
      <w:lang w:eastAsia="en-US"/>
    </w:rPr>
  </w:style>
  <w:style w:type="paragraph" w:styleId="Title">
    <w:name w:val="Title"/>
    <w:basedOn w:val="HeadingBase"/>
    <w:link w:val="TitleChar"/>
    <w:qFormat/>
    <w:rsid w:val="0045328B"/>
    <w:pPr>
      <w:spacing w:before="5040"/>
      <w:jc w:val="center"/>
    </w:pPr>
    <w:rPr>
      <w:sz w:val="48"/>
      <w:szCs w:val="72"/>
      <w:lang w:val="en-US"/>
    </w:rPr>
  </w:style>
  <w:style w:type="character" w:customStyle="1" w:styleId="TitleChar">
    <w:name w:val="Title Char"/>
    <w:basedOn w:val="DefaultParagraphFont"/>
    <w:link w:val="Title"/>
    <w:rsid w:val="00453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28B"/>
    <w:pPr>
      <w:tabs>
        <w:tab w:val="left" w:pos="3600"/>
        <w:tab w:val="left" w:pos="3958"/>
      </w:tabs>
    </w:pPr>
  </w:style>
  <w:style w:type="paragraph" w:styleId="List">
    <w:name w:val="List"/>
    <w:basedOn w:val="BodyText"/>
    <w:next w:val="BodyText"/>
    <w:rsid w:val="0045328B"/>
    <w:pPr>
      <w:tabs>
        <w:tab w:val="left" w:pos="340"/>
      </w:tabs>
      <w:spacing w:before="60" w:after="60"/>
      <w:ind w:left="340" w:hanging="340"/>
    </w:pPr>
  </w:style>
  <w:style w:type="paragraph" w:customStyle="1" w:styleId="Note">
    <w:name w:val="Note"/>
    <w:basedOn w:val="BodyText"/>
    <w:rsid w:val="00453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28B"/>
    <w:pPr>
      <w:framePr w:wrap="auto" w:hAnchor="text" w:y="6049"/>
    </w:pPr>
    <w:rPr>
      <w:color w:val="000000"/>
      <w:sz w:val="40"/>
    </w:rPr>
  </w:style>
  <w:style w:type="paragraph" w:customStyle="1" w:styleId="TOCTitle">
    <w:name w:val="TOCTitle"/>
    <w:basedOn w:val="Heading1"/>
    <w:rsid w:val="0045328B"/>
    <w:pPr>
      <w:spacing w:after="240"/>
      <w:jc w:val="center"/>
      <w:outlineLvl w:val="9"/>
    </w:pPr>
    <w:rPr>
      <w:caps/>
    </w:rPr>
  </w:style>
  <w:style w:type="paragraph" w:customStyle="1" w:styleId="Version">
    <w:name w:val="Version"/>
    <w:rsid w:val="00453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328B"/>
    <w:pPr>
      <w:keepNext w:val="0"/>
      <w:tabs>
        <w:tab w:val="right" w:pos="4176"/>
      </w:tabs>
      <w:ind w:left="198" w:hanging="198"/>
    </w:pPr>
    <w:rPr>
      <w:rFonts w:ascii="Garamond" w:hAnsi="Garamond"/>
    </w:rPr>
  </w:style>
  <w:style w:type="paragraph" w:styleId="IndexHeading">
    <w:name w:val="index heading"/>
    <w:basedOn w:val="Normal"/>
    <w:next w:val="Index1"/>
    <w:semiHidden/>
    <w:rsid w:val="0045328B"/>
    <w:pPr>
      <w:spacing w:before="120" w:after="120"/>
    </w:pPr>
    <w:rPr>
      <w:rFonts w:ascii="Arial" w:hAnsi="Arial"/>
      <w:b/>
      <w:color w:val="918585"/>
      <w:sz w:val="24"/>
    </w:rPr>
  </w:style>
  <w:style w:type="paragraph" w:styleId="Header">
    <w:name w:val="header"/>
    <w:basedOn w:val="Normal"/>
    <w:link w:val="HeaderChar"/>
    <w:rsid w:val="00453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28B"/>
    <w:rPr>
      <w:rFonts w:ascii="Times New Roman" w:eastAsia="Times New Roman" w:hAnsi="Times New Roman" w:cs="Times New Roman"/>
      <w:sz w:val="16"/>
      <w:szCs w:val="20"/>
      <w:lang w:val="en-GB" w:eastAsia="en-US"/>
    </w:rPr>
  </w:style>
  <w:style w:type="paragraph" w:customStyle="1" w:styleId="Chapter">
    <w:name w:val="Chapter"/>
    <w:basedOn w:val="Normal"/>
    <w:rsid w:val="0045328B"/>
    <w:pPr>
      <w:spacing w:before="240"/>
    </w:pPr>
    <w:rPr>
      <w:rFonts w:ascii="Times New Roman" w:hAnsi="Times New Roman"/>
      <w:smallCaps/>
      <w:spacing w:val="80"/>
      <w:sz w:val="28"/>
    </w:rPr>
  </w:style>
  <w:style w:type="paragraph" w:customStyle="1" w:styleId="InChapter">
    <w:name w:val="InChapter"/>
    <w:basedOn w:val="Heading3"/>
    <w:rsid w:val="0045328B"/>
    <w:pPr>
      <w:spacing w:after="240"/>
      <w:outlineLvl w:val="9"/>
    </w:pPr>
    <w:rPr>
      <w:noProof/>
    </w:rPr>
  </w:style>
  <w:style w:type="paragraph" w:styleId="Index2">
    <w:name w:val="index 2"/>
    <w:basedOn w:val="Normal"/>
    <w:next w:val="Normal"/>
    <w:semiHidden/>
    <w:rsid w:val="0045328B"/>
    <w:pPr>
      <w:tabs>
        <w:tab w:val="right" w:pos="4176"/>
      </w:tabs>
      <w:ind w:left="568" w:hanging="284"/>
    </w:pPr>
    <w:rPr>
      <w:rFonts w:ascii="Garamond" w:hAnsi="Garamond"/>
    </w:rPr>
  </w:style>
  <w:style w:type="paragraph" w:customStyle="1" w:styleId="Byline">
    <w:name w:val="Byline"/>
    <w:rsid w:val="00453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28B"/>
    <w:pPr>
      <w:tabs>
        <w:tab w:val="clear" w:pos="3600"/>
        <w:tab w:val="clear" w:pos="3958"/>
      </w:tabs>
      <w:jc w:val="right"/>
    </w:pPr>
  </w:style>
  <w:style w:type="character" w:styleId="Emphasis">
    <w:name w:val="Emphasis"/>
    <w:basedOn w:val="DefaultParagraphFont"/>
    <w:qFormat/>
    <w:rsid w:val="0045328B"/>
    <w:rPr>
      <w:i/>
    </w:rPr>
  </w:style>
  <w:style w:type="paragraph" w:styleId="Caption">
    <w:name w:val="caption"/>
    <w:basedOn w:val="BodyText"/>
    <w:next w:val="Normal"/>
    <w:qFormat/>
    <w:rsid w:val="0045328B"/>
    <w:pPr>
      <w:framePr w:w="2268" w:hSpace="181" w:vSpace="181" w:wrap="around" w:vAnchor="text" w:hAnchor="page" w:x="1135" w:y="285" w:anchorLock="1"/>
    </w:pPr>
    <w:rPr>
      <w:i/>
    </w:rPr>
  </w:style>
  <w:style w:type="paragraph" w:customStyle="1" w:styleId="MiniTOCTitle">
    <w:name w:val="MiniTOCTitle"/>
    <w:basedOn w:val="Heading4"/>
    <w:rsid w:val="0045328B"/>
    <w:pPr>
      <w:spacing w:before="240"/>
      <w:outlineLvl w:val="9"/>
    </w:pPr>
    <w:rPr>
      <w:noProof/>
      <w:sz w:val="24"/>
    </w:rPr>
  </w:style>
  <w:style w:type="paragraph" w:customStyle="1" w:styleId="MiniTOCItem">
    <w:name w:val="MiniTOCItem"/>
    <w:basedOn w:val="ListBullet"/>
    <w:rsid w:val="0045328B"/>
    <w:pPr>
      <w:numPr>
        <w:numId w:val="0"/>
      </w:numPr>
      <w:tabs>
        <w:tab w:val="right" w:leader="dot" w:pos="6521"/>
      </w:tabs>
      <w:spacing w:before="0" w:after="0"/>
    </w:pPr>
  </w:style>
  <w:style w:type="paragraph" w:customStyle="1" w:styleId="TOFTitle">
    <w:name w:val="TOFTitle"/>
    <w:basedOn w:val="TOCTitle"/>
    <w:rsid w:val="0045328B"/>
  </w:style>
  <w:style w:type="paragraph" w:styleId="TableofFigures">
    <w:name w:val="table of figures"/>
    <w:basedOn w:val="Normal"/>
    <w:next w:val="Normal"/>
    <w:semiHidden/>
    <w:rsid w:val="0045328B"/>
    <w:pPr>
      <w:tabs>
        <w:tab w:val="right" w:leader="dot" w:pos="9072"/>
      </w:tabs>
      <w:ind w:left="970" w:hanging="403"/>
    </w:pPr>
    <w:rPr>
      <w:rFonts w:ascii="Times New Roman" w:hAnsi="Times New Roman"/>
      <w:b/>
    </w:rPr>
  </w:style>
  <w:style w:type="paragraph" w:styleId="ListNumber">
    <w:name w:val="List Number"/>
    <w:basedOn w:val="List"/>
    <w:rsid w:val="0045328B"/>
    <w:pPr>
      <w:numPr>
        <w:numId w:val="12"/>
      </w:numPr>
    </w:pPr>
  </w:style>
  <w:style w:type="character" w:customStyle="1" w:styleId="WingdingSymbols">
    <w:name w:val="Wingding Symbols"/>
    <w:rsid w:val="0045328B"/>
    <w:rPr>
      <w:rFonts w:ascii="Wingdings" w:hAnsi="Wingdings"/>
    </w:rPr>
  </w:style>
  <w:style w:type="paragraph" w:customStyle="1" w:styleId="TableHeading">
    <w:name w:val="Table Heading"/>
    <w:basedOn w:val="HeadingBase"/>
    <w:rsid w:val="0045328B"/>
    <w:pPr>
      <w:keepLines/>
      <w:pBdr>
        <w:bottom w:val="single" w:sz="6" w:space="1" w:color="918585"/>
      </w:pBdr>
      <w:spacing w:before="240"/>
    </w:pPr>
  </w:style>
  <w:style w:type="character" w:customStyle="1" w:styleId="HotSpot">
    <w:name w:val="HotSpot"/>
    <w:rsid w:val="0045328B"/>
    <w:rPr>
      <w:color w:val="0033CC"/>
      <w:u w:val="none"/>
    </w:rPr>
  </w:style>
  <w:style w:type="paragraph" w:customStyle="1" w:styleId="BodyTextRight">
    <w:name w:val="Body Text Right"/>
    <w:basedOn w:val="BodyText"/>
    <w:rsid w:val="0045328B"/>
    <w:pPr>
      <w:spacing w:before="0" w:after="0"/>
      <w:jc w:val="right"/>
    </w:pPr>
  </w:style>
  <w:style w:type="paragraph" w:styleId="Index3">
    <w:name w:val="index 3"/>
    <w:basedOn w:val="ListNumber2"/>
    <w:next w:val="Normal"/>
    <w:semiHidden/>
    <w:rsid w:val="0045328B"/>
    <w:pPr>
      <w:numPr>
        <w:numId w:val="0"/>
      </w:numPr>
      <w:tabs>
        <w:tab w:val="right" w:leader="dot" w:pos="4176"/>
      </w:tabs>
    </w:pPr>
  </w:style>
  <w:style w:type="paragraph" w:styleId="ListNumber2">
    <w:name w:val="List Number 2"/>
    <w:basedOn w:val="List2"/>
    <w:rsid w:val="0045328B"/>
    <w:pPr>
      <w:numPr>
        <w:numId w:val="11"/>
      </w:numPr>
      <w:tabs>
        <w:tab w:val="clear" w:pos="1060"/>
      </w:tabs>
    </w:pPr>
  </w:style>
  <w:style w:type="paragraph" w:customStyle="1" w:styleId="MarginNote">
    <w:name w:val="Margin Note"/>
    <w:basedOn w:val="BodyText"/>
    <w:rsid w:val="00453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28B"/>
    <w:rPr>
      <w:sz w:val="32"/>
    </w:rPr>
  </w:style>
  <w:style w:type="paragraph" w:customStyle="1" w:styleId="HeadingProcedure">
    <w:name w:val="Heading Procedure"/>
    <w:basedOn w:val="HeadingBase"/>
    <w:next w:val="Normal"/>
    <w:rsid w:val="0045328B"/>
    <w:pPr>
      <w:tabs>
        <w:tab w:val="left" w:pos="0"/>
      </w:tabs>
      <w:spacing w:before="120" w:after="60"/>
    </w:pPr>
    <w:rPr>
      <w:i/>
      <w:color w:val="918585"/>
      <w:sz w:val="22"/>
    </w:rPr>
  </w:style>
  <w:style w:type="paragraph" w:customStyle="1" w:styleId="TableBodyText">
    <w:name w:val="Table Body Text"/>
    <w:basedOn w:val="BodyText"/>
    <w:rsid w:val="0045328B"/>
    <w:pPr>
      <w:spacing w:before="60" w:after="60"/>
    </w:pPr>
  </w:style>
  <w:style w:type="paragraph" w:styleId="ListContinue">
    <w:name w:val="List Continue"/>
    <w:basedOn w:val="List"/>
    <w:rsid w:val="0045328B"/>
    <w:pPr>
      <w:ind w:firstLine="0"/>
    </w:pPr>
  </w:style>
  <w:style w:type="paragraph" w:customStyle="1" w:styleId="ListNote">
    <w:name w:val="List Note"/>
    <w:basedOn w:val="List"/>
    <w:rsid w:val="0045328B"/>
    <w:pPr>
      <w:pBdr>
        <w:top w:val="single" w:sz="6" w:space="2" w:color="918585"/>
        <w:bottom w:val="single" w:sz="6" w:space="2" w:color="918585"/>
      </w:pBdr>
      <w:tabs>
        <w:tab w:val="left" w:pos="1021"/>
      </w:tabs>
      <w:ind w:firstLine="0"/>
    </w:pPr>
  </w:style>
  <w:style w:type="paragraph" w:customStyle="1" w:styleId="Warning">
    <w:name w:val="Warning"/>
    <w:basedOn w:val="BodyText"/>
    <w:rsid w:val="0045328B"/>
    <w:pPr>
      <w:shd w:val="clear" w:color="auto" w:fill="D9D9D9"/>
      <w:tabs>
        <w:tab w:val="left" w:pos="992"/>
      </w:tabs>
      <w:ind w:left="119" w:right="119"/>
    </w:pPr>
    <w:rPr>
      <w:sz w:val="20"/>
    </w:rPr>
  </w:style>
  <w:style w:type="paragraph" w:customStyle="1" w:styleId="MarginIcons">
    <w:name w:val="Margin Icons"/>
    <w:basedOn w:val="BodyText"/>
    <w:rsid w:val="00453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28B"/>
    <w:rPr>
      <w:rFonts w:ascii="Courier New" w:hAnsi="Courier New"/>
    </w:rPr>
  </w:style>
  <w:style w:type="paragraph" w:customStyle="1" w:styleId="NoteBullet">
    <w:name w:val="Note Bullet"/>
    <w:basedOn w:val="Note"/>
    <w:rsid w:val="0045328B"/>
    <w:pPr>
      <w:tabs>
        <w:tab w:val="clear" w:pos="680"/>
      </w:tabs>
      <w:spacing w:before="60" w:after="60"/>
    </w:pPr>
  </w:style>
  <w:style w:type="paragraph" w:customStyle="1" w:styleId="SubHeading2">
    <w:name w:val="SubHeading2"/>
    <w:basedOn w:val="HeadingBase"/>
    <w:rsid w:val="0045328B"/>
    <w:pPr>
      <w:spacing w:before="240" w:after="60"/>
    </w:pPr>
    <w:rPr>
      <w:sz w:val="20"/>
    </w:rPr>
  </w:style>
  <w:style w:type="paragraph" w:customStyle="1" w:styleId="SubHeading1">
    <w:name w:val="SubHeading1"/>
    <w:basedOn w:val="HeadingBase"/>
    <w:rsid w:val="0045328B"/>
    <w:pPr>
      <w:spacing w:before="240" w:after="60"/>
    </w:pPr>
    <w:rPr>
      <w:color w:val="918585"/>
      <w:sz w:val="22"/>
    </w:rPr>
  </w:style>
  <w:style w:type="paragraph" w:customStyle="1" w:styleId="SideHeading">
    <w:name w:val="Side Heading"/>
    <w:basedOn w:val="HeadingBase"/>
    <w:rsid w:val="00453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28B"/>
    <w:pPr>
      <w:numPr>
        <w:numId w:val="13"/>
      </w:numPr>
    </w:pPr>
  </w:style>
  <w:style w:type="paragraph" w:styleId="PlainText">
    <w:name w:val="Plain Text"/>
    <w:basedOn w:val="Normal"/>
    <w:link w:val="PlainTextChar"/>
    <w:rsid w:val="0045328B"/>
    <w:rPr>
      <w:sz w:val="20"/>
    </w:rPr>
  </w:style>
  <w:style w:type="character" w:customStyle="1" w:styleId="PlainTextChar">
    <w:name w:val="Plain Text Char"/>
    <w:basedOn w:val="DefaultParagraphFont"/>
    <w:link w:val="PlainText"/>
    <w:rsid w:val="0045328B"/>
    <w:rPr>
      <w:rFonts w:ascii="Courier New" w:eastAsia="Times New Roman" w:hAnsi="Courier New" w:cs="Times New Roman"/>
      <w:sz w:val="20"/>
      <w:szCs w:val="20"/>
      <w:lang w:eastAsia="en-US"/>
    </w:rPr>
  </w:style>
  <w:style w:type="character" w:customStyle="1" w:styleId="MenuOption">
    <w:name w:val="Menu Option"/>
    <w:basedOn w:val="DefaultParagraphFont"/>
    <w:rsid w:val="0045328B"/>
    <w:rPr>
      <w:b/>
      <w:smallCaps/>
    </w:rPr>
  </w:style>
  <w:style w:type="paragraph" w:customStyle="1" w:styleId="TableListNumber">
    <w:name w:val="Table List Number"/>
    <w:basedOn w:val="ListNumber"/>
    <w:rsid w:val="0045328B"/>
    <w:pPr>
      <w:numPr>
        <w:numId w:val="0"/>
      </w:numPr>
    </w:pPr>
  </w:style>
  <w:style w:type="paragraph" w:styleId="TOC4">
    <w:name w:val="toc 4"/>
    <w:basedOn w:val="TOCBase"/>
    <w:next w:val="Normal"/>
    <w:semiHidden/>
    <w:rsid w:val="0045328B"/>
    <w:pPr>
      <w:tabs>
        <w:tab w:val="right" w:leader="dot" w:pos="9071"/>
      </w:tabs>
      <w:ind w:left="1701"/>
    </w:pPr>
  </w:style>
  <w:style w:type="paragraph" w:customStyle="1" w:styleId="ListAlpha">
    <w:name w:val="List Alpha"/>
    <w:basedOn w:val="List"/>
    <w:rsid w:val="0045328B"/>
    <w:pPr>
      <w:numPr>
        <w:numId w:val="10"/>
      </w:numPr>
    </w:pPr>
  </w:style>
  <w:style w:type="paragraph" w:customStyle="1" w:styleId="ListAlpha2">
    <w:name w:val="List Alpha 2"/>
    <w:basedOn w:val="List2"/>
    <w:rsid w:val="0045328B"/>
    <w:pPr>
      <w:numPr>
        <w:numId w:val="9"/>
      </w:numPr>
    </w:pPr>
  </w:style>
  <w:style w:type="paragraph" w:styleId="List2">
    <w:name w:val="List 2"/>
    <w:basedOn w:val="BodyText"/>
    <w:rsid w:val="0045328B"/>
    <w:pPr>
      <w:tabs>
        <w:tab w:val="left" w:pos="680"/>
      </w:tabs>
      <w:spacing w:before="60" w:after="60"/>
      <w:ind w:left="680" w:hanging="340"/>
    </w:pPr>
  </w:style>
  <w:style w:type="paragraph" w:styleId="List3">
    <w:name w:val="List 3"/>
    <w:basedOn w:val="BodyText"/>
    <w:rsid w:val="0045328B"/>
    <w:pPr>
      <w:tabs>
        <w:tab w:val="left" w:pos="1021"/>
      </w:tabs>
      <w:spacing w:before="60" w:after="60"/>
      <w:ind w:left="1020" w:hanging="340"/>
    </w:pPr>
  </w:style>
  <w:style w:type="paragraph" w:styleId="List4">
    <w:name w:val="List 4"/>
    <w:basedOn w:val="BodyText"/>
    <w:rsid w:val="0045328B"/>
    <w:pPr>
      <w:tabs>
        <w:tab w:val="left" w:pos="1361"/>
      </w:tabs>
      <w:spacing w:before="60" w:after="60"/>
      <w:ind w:left="1361" w:hanging="340"/>
    </w:pPr>
  </w:style>
  <w:style w:type="paragraph" w:styleId="List5">
    <w:name w:val="List 5"/>
    <w:basedOn w:val="BodyText"/>
    <w:rsid w:val="0045328B"/>
    <w:pPr>
      <w:tabs>
        <w:tab w:val="left" w:pos="1701"/>
      </w:tabs>
      <w:spacing w:before="60" w:after="60"/>
      <w:ind w:left="1701" w:hanging="340"/>
    </w:pPr>
  </w:style>
  <w:style w:type="paragraph" w:styleId="ListBullet4">
    <w:name w:val="List Bullet 4"/>
    <w:basedOn w:val="List4"/>
    <w:rsid w:val="0045328B"/>
    <w:pPr>
      <w:numPr>
        <w:numId w:val="4"/>
      </w:numPr>
      <w:tabs>
        <w:tab w:val="clear" w:pos="1361"/>
      </w:tabs>
    </w:pPr>
  </w:style>
  <w:style w:type="paragraph" w:styleId="ListBullet5">
    <w:name w:val="List Bullet 5"/>
    <w:basedOn w:val="List5"/>
    <w:rsid w:val="0045328B"/>
    <w:pPr>
      <w:numPr>
        <w:numId w:val="5"/>
      </w:numPr>
    </w:pPr>
  </w:style>
  <w:style w:type="paragraph" w:styleId="ListContinue2">
    <w:name w:val="List Continue 2"/>
    <w:basedOn w:val="List2"/>
    <w:rsid w:val="0045328B"/>
    <w:pPr>
      <w:ind w:firstLine="0"/>
    </w:pPr>
  </w:style>
  <w:style w:type="paragraph" w:styleId="ListContinue3">
    <w:name w:val="List Continue 3"/>
    <w:basedOn w:val="List3"/>
    <w:rsid w:val="0045328B"/>
    <w:pPr>
      <w:ind w:left="1021" w:firstLine="0"/>
    </w:pPr>
  </w:style>
  <w:style w:type="paragraph" w:styleId="ListContinue4">
    <w:name w:val="List Continue 4"/>
    <w:basedOn w:val="List4"/>
    <w:rsid w:val="0045328B"/>
    <w:pPr>
      <w:ind w:firstLine="0"/>
    </w:pPr>
  </w:style>
  <w:style w:type="paragraph" w:styleId="ListContinue5">
    <w:name w:val="List Continue 5"/>
    <w:basedOn w:val="List5"/>
    <w:rsid w:val="0045328B"/>
    <w:pPr>
      <w:ind w:firstLine="0"/>
    </w:pPr>
  </w:style>
  <w:style w:type="paragraph" w:styleId="ListNumber3">
    <w:name w:val="List Number 3"/>
    <w:basedOn w:val="List3"/>
    <w:rsid w:val="0045328B"/>
    <w:pPr>
      <w:numPr>
        <w:numId w:val="6"/>
      </w:numPr>
    </w:pPr>
  </w:style>
  <w:style w:type="paragraph" w:styleId="ListNumber4">
    <w:name w:val="List Number 4"/>
    <w:basedOn w:val="List4"/>
    <w:rsid w:val="0045328B"/>
    <w:pPr>
      <w:numPr>
        <w:numId w:val="7"/>
      </w:numPr>
    </w:pPr>
  </w:style>
  <w:style w:type="paragraph" w:styleId="ListNumber5">
    <w:name w:val="List Number 5"/>
    <w:basedOn w:val="List5"/>
    <w:rsid w:val="0045328B"/>
    <w:pPr>
      <w:numPr>
        <w:numId w:val="8"/>
      </w:numPr>
    </w:pPr>
  </w:style>
  <w:style w:type="paragraph" w:styleId="BlockText">
    <w:name w:val="Block Text"/>
    <w:basedOn w:val="Normal"/>
    <w:rsid w:val="0045328B"/>
    <w:pPr>
      <w:spacing w:after="120"/>
      <w:ind w:left="1440" w:right="1440"/>
    </w:pPr>
  </w:style>
  <w:style w:type="character" w:customStyle="1" w:styleId="Superscript">
    <w:name w:val="Superscript"/>
    <w:basedOn w:val="DefaultParagraphFont"/>
    <w:rsid w:val="0045328B"/>
    <w:rPr>
      <w:sz w:val="16"/>
      <w:vertAlign w:val="superscript"/>
    </w:rPr>
  </w:style>
  <w:style w:type="character" w:customStyle="1" w:styleId="Symbols">
    <w:name w:val="Symbols"/>
    <w:basedOn w:val="DefaultParagraphFont"/>
    <w:rsid w:val="0045328B"/>
    <w:rPr>
      <w:rFonts w:ascii="Symbol" w:hAnsi="Symbol"/>
    </w:rPr>
  </w:style>
  <w:style w:type="character" w:customStyle="1" w:styleId="MenuOptions">
    <w:name w:val="Menu Options"/>
    <w:basedOn w:val="DefaultParagraphFont"/>
    <w:rsid w:val="0045328B"/>
    <w:rPr>
      <w:rFonts w:ascii="Arial Narrow" w:hAnsi="Arial Narrow"/>
      <w:smallCaps/>
    </w:rPr>
  </w:style>
  <w:style w:type="character" w:customStyle="1" w:styleId="Buttons">
    <w:name w:val="Buttons"/>
    <w:basedOn w:val="DefaultParagraphFont"/>
    <w:rsid w:val="0045328B"/>
    <w:rPr>
      <w:b/>
    </w:rPr>
  </w:style>
  <w:style w:type="character" w:customStyle="1" w:styleId="Underlined">
    <w:name w:val="Underlined"/>
    <w:basedOn w:val="DefaultParagraphFont"/>
    <w:rsid w:val="0045328B"/>
    <w:rPr>
      <w:u w:val="single"/>
    </w:rPr>
  </w:style>
  <w:style w:type="paragraph" w:customStyle="1" w:styleId="TableBodyTextRight">
    <w:name w:val="Table Body Text Right"/>
    <w:basedOn w:val="TableBodyText"/>
    <w:rsid w:val="0045328B"/>
    <w:pPr>
      <w:widowControl w:val="0"/>
      <w:autoSpaceDE w:val="0"/>
      <w:autoSpaceDN w:val="0"/>
      <w:adjustRightInd w:val="0"/>
      <w:jc w:val="right"/>
    </w:pPr>
    <w:rPr>
      <w:rFonts w:cs="Arial"/>
      <w:szCs w:val="18"/>
    </w:rPr>
  </w:style>
  <w:style w:type="paragraph" w:customStyle="1" w:styleId="CopyrightText">
    <w:name w:val="Copyright Text"/>
    <w:basedOn w:val="BodyText"/>
    <w:rsid w:val="0045328B"/>
    <w:rPr>
      <w:sz w:val="18"/>
    </w:rPr>
  </w:style>
  <w:style w:type="paragraph" w:customStyle="1" w:styleId="BodySmallRight">
    <w:name w:val="Body Small Right"/>
    <w:basedOn w:val="BodyTextRight"/>
    <w:rsid w:val="0045328B"/>
    <w:rPr>
      <w:sz w:val="18"/>
      <w:szCs w:val="18"/>
    </w:rPr>
  </w:style>
  <w:style w:type="paragraph" w:customStyle="1" w:styleId="MarginEdition">
    <w:name w:val="Margin Edition"/>
    <w:basedOn w:val="MarginNote"/>
    <w:rsid w:val="0045328B"/>
    <w:pPr>
      <w:spacing w:before="0" w:after="0"/>
    </w:pPr>
    <w:rPr>
      <w:rFonts w:ascii="Times New Roman" w:hAnsi="Times New Roman"/>
      <w:color w:val="999999"/>
    </w:rPr>
  </w:style>
  <w:style w:type="paragraph" w:customStyle="1" w:styleId="Spacer">
    <w:name w:val="Spacer"/>
    <w:basedOn w:val="Normal"/>
    <w:rsid w:val="0045328B"/>
    <w:rPr>
      <w:sz w:val="2"/>
      <w:szCs w:val="2"/>
    </w:rPr>
  </w:style>
  <w:style w:type="character" w:customStyle="1" w:styleId="Small">
    <w:name w:val="Small"/>
    <w:basedOn w:val="DefaultParagraphFont"/>
    <w:rsid w:val="0045328B"/>
    <w:rPr>
      <w:sz w:val="16"/>
    </w:rPr>
  </w:style>
  <w:style w:type="paragraph" w:customStyle="1" w:styleId="WideTable">
    <w:name w:val="Wide Table"/>
    <w:basedOn w:val="Normal"/>
    <w:rsid w:val="0045328B"/>
    <w:pPr>
      <w:ind w:left="-1418"/>
    </w:pPr>
    <w:rPr>
      <w:sz w:val="2"/>
      <w:szCs w:val="2"/>
    </w:rPr>
  </w:style>
  <w:style w:type="character" w:styleId="PageNumber">
    <w:name w:val="page number"/>
    <w:basedOn w:val="DefaultParagraphFont"/>
    <w:rsid w:val="0045328B"/>
  </w:style>
  <w:style w:type="paragraph" w:styleId="Quote">
    <w:name w:val="Quote"/>
    <w:basedOn w:val="Heading1"/>
    <w:link w:val="QuoteChar"/>
    <w:qFormat/>
    <w:rsid w:val="0045328B"/>
    <w:rPr>
      <w:b w:val="0"/>
      <w:sz w:val="72"/>
      <w:szCs w:val="72"/>
      <w:lang w:val="en-NZ"/>
    </w:rPr>
  </w:style>
  <w:style w:type="character" w:customStyle="1" w:styleId="QuoteChar">
    <w:name w:val="Quote Char"/>
    <w:basedOn w:val="DefaultParagraphFont"/>
    <w:link w:val="Quote"/>
    <w:rsid w:val="00453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28B"/>
    <w:pPr>
      <w:pageBreakBefore/>
    </w:pPr>
  </w:style>
  <w:style w:type="paragraph" w:customStyle="1" w:styleId="Border">
    <w:name w:val="Border"/>
    <w:basedOn w:val="Normal"/>
    <w:qFormat/>
    <w:rsid w:val="00453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28B"/>
    <w:rPr>
      <w:b/>
      <w:bCs/>
      <w:i/>
      <w:iCs/>
      <w:color w:val="auto"/>
    </w:rPr>
  </w:style>
  <w:style w:type="paragraph" w:styleId="IntenseQuote">
    <w:name w:val="Intense Quote"/>
    <w:basedOn w:val="Normal"/>
    <w:next w:val="Normal"/>
    <w:link w:val="IntenseQuoteChar"/>
    <w:uiPriority w:val="30"/>
    <w:qFormat/>
    <w:rsid w:val="00453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28B"/>
    <w:rPr>
      <w:smallCaps/>
      <w:color w:val="auto"/>
      <w:u w:val="single"/>
    </w:rPr>
  </w:style>
  <w:style w:type="character" w:styleId="IntenseReference">
    <w:name w:val="Intense Reference"/>
    <w:basedOn w:val="DefaultParagraphFont"/>
    <w:uiPriority w:val="32"/>
    <w:qFormat/>
    <w:rsid w:val="0045328B"/>
    <w:rPr>
      <w:b/>
      <w:bCs/>
      <w:smallCaps/>
      <w:color w:val="auto"/>
      <w:spacing w:val="5"/>
      <w:u w:val="single"/>
    </w:rPr>
  </w:style>
  <w:style w:type="paragraph" w:customStyle="1" w:styleId="2ColumnHeading">
    <w:name w:val="2Column Heading"/>
    <w:basedOn w:val="BodyText"/>
    <w:qFormat/>
    <w:rsid w:val="0045328B"/>
    <w:pPr>
      <w:spacing w:after="60"/>
      <w:ind w:left="-2268"/>
    </w:pPr>
    <w:rPr>
      <w:b/>
    </w:rPr>
  </w:style>
  <w:style w:type="paragraph" w:customStyle="1" w:styleId="Heading1TOC">
    <w:name w:val="Heading1 TOC"/>
    <w:basedOn w:val="Normal"/>
    <w:qFormat/>
    <w:rsid w:val="0045328B"/>
    <w:pPr>
      <w:spacing w:before="240" w:after="120"/>
    </w:pPr>
    <w:rPr>
      <w:rFonts w:ascii="Times New Roman" w:hAnsi="Times New Roman"/>
      <w:b/>
      <w:sz w:val="32"/>
    </w:rPr>
  </w:style>
  <w:style w:type="paragraph" w:customStyle="1" w:styleId="Heading2TOC">
    <w:name w:val="Heading2 TOC"/>
    <w:basedOn w:val="Normal"/>
    <w:qFormat/>
    <w:rsid w:val="0045328B"/>
    <w:pPr>
      <w:spacing w:before="240" w:after="60"/>
    </w:pPr>
    <w:rPr>
      <w:rFonts w:ascii="Times New Roman" w:hAnsi="Times New Roman"/>
      <w:b/>
      <w:sz w:val="28"/>
    </w:rPr>
  </w:style>
  <w:style w:type="character" w:customStyle="1" w:styleId="Underline">
    <w:name w:val="Underline"/>
    <w:basedOn w:val="DefaultParagraphFont"/>
    <w:qFormat/>
    <w:rsid w:val="0045328B"/>
    <w:rPr>
      <w:u w:val="single"/>
    </w:rPr>
  </w:style>
  <w:style w:type="character" w:customStyle="1" w:styleId="BoldandItalics">
    <w:name w:val="Bold and Italics"/>
    <w:qFormat/>
    <w:rsid w:val="0045328B"/>
    <w:rPr>
      <w:b/>
      <w:i/>
      <w:u w:val="none"/>
    </w:rPr>
  </w:style>
  <w:style w:type="paragraph" w:styleId="BalloonText">
    <w:name w:val="Balloon Text"/>
    <w:basedOn w:val="Normal"/>
    <w:link w:val="BalloonTextChar"/>
    <w:rsid w:val="0045328B"/>
    <w:rPr>
      <w:rFonts w:ascii="Tahoma" w:hAnsi="Tahoma" w:cs="Tahoma"/>
      <w:sz w:val="16"/>
      <w:szCs w:val="16"/>
    </w:rPr>
  </w:style>
  <w:style w:type="character" w:customStyle="1" w:styleId="BalloonTextChar">
    <w:name w:val="Balloon Text Char"/>
    <w:basedOn w:val="DefaultParagraphFont"/>
    <w:link w:val="BalloonText"/>
    <w:rsid w:val="00453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28B"/>
    <w:rPr>
      <w:b/>
      <w:color w:val="660033"/>
      <w:spacing w:val="0"/>
    </w:rPr>
  </w:style>
  <w:style w:type="paragraph" w:customStyle="1" w:styleId="Nameditemlist">
    <w:name w:val="Named item list"/>
    <w:basedOn w:val="BodyText"/>
    <w:qFormat/>
    <w:rsid w:val="004532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2898</Words>
  <Characters>17903</Characters>
  <Application>Microsoft Office Word</Application>
  <DocSecurity>0</DocSecurity>
  <Lines>699</Lines>
  <Paragraphs>282</Paragraphs>
  <ScaleCrop>false</ScaleCrop>
  <Company>Author-it Software Corporation Ltd.</Company>
  <LinksUpToDate>false</LinksUpToDate>
  <CharactersWithSpaces>20673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UEENEEJ185A Repair and service carbon dioxide refrigeration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2014-12-16T11:52:37Z</dcterms:created>
  <dcterms:modified xsi:type="dcterms:W3CDTF">2014-12-16T00:18:00Z</dcterms:modified>
</cp:coreProperties>
</file>