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5AE" w:rsidP="003725AE">
      <w:pPr>
        <w:pStyle w:val="Title"/>
      </w:pPr>
      <w:r>
        <w:fldChar w:fldCharType="begin"/>
      </w:r>
      <w:r>
        <w:instrText xml:space="preserve"> TITLE   \* MERGEFORMAT </w:instrText>
      </w:r>
      <w:r>
        <w:fldChar w:fldCharType="separate"/>
      </w:r>
      <w:r>
        <w:t>UEENEEJ183A Design secondary refrigerant  systems</w:t>
      </w:r>
      <w:r>
        <w:fldChar w:fldCharType="end"/>
      </w:r>
    </w:p>
    <w:p w:rsidR="003725AE" w:rsidP="003725AE">
      <w:pPr>
        <w:pStyle w:val="Version"/>
        <w:sectPr w:rsidSect="005050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050CA" w:rsidP="005050CA">
      <w:pPr>
        <w:pStyle w:val="SuperHeading"/>
      </w:pPr>
      <w:r w:rsidRPr="005050CA">
        <w:t>UEENEEJ183A Design secondary refrigerant  systems</w:t>
      </w:r>
    </w:p>
    <w:p w:rsidR="00000000" w:rsidRPr="005050CA" w:rsidP="005050CA">
      <w:pPr>
        <w:pStyle w:val="Heading1"/>
      </w:pPr>
      <w:bookmarkStart w:id="1" w:name="O_710248"/>
      <w:bookmarkEnd w:id="1"/>
      <w:r w:rsidRPr="005050CA">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3725A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0CA">
            <w:pPr>
              <w:pStyle w:val="BodyText"/>
              <w:rPr>
                <w:lang w:val="en-NZ"/>
              </w:rPr>
            </w:pPr>
            <w:r w:rsidRPr="005050CA">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0CA">
            <w:pPr>
              <w:pStyle w:val="BodyText"/>
              <w:rPr>
                <w:lang w:val="en-NZ"/>
              </w:rPr>
            </w:pPr>
            <w:r w:rsidRPr="005050CA">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0CA">
            <w:pPr>
              <w:pStyle w:val="BodyText"/>
              <w:rPr>
                <w:lang w:val="en-NZ"/>
              </w:rPr>
            </w:pPr>
            <w:r w:rsidRPr="005050CA">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0CA">
            <w:pPr>
              <w:pStyle w:val="BodyText"/>
              <w:rPr>
                <w:lang w:val="en-NZ"/>
              </w:rPr>
            </w:pPr>
            <w:r w:rsidRPr="005050CA">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0CA">
            <w:pPr>
              <w:pStyle w:val="BodyText"/>
              <w:rPr>
                <w:lang w:val="en-NZ"/>
              </w:rPr>
            </w:pPr>
            <w:r w:rsidRPr="005050CA">
              <w:t>Points</w:t>
            </w:r>
          </w:p>
        </w:tc>
      </w:tr>
      <w:tr w:rsidTr="003725A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0CA">
            <w:pPr>
              <w:pStyle w:val="BodyText"/>
              <w:rPr>
                <w:lang w:val="en-NZ"/>
              </w:rPr>
            </w:pPr>
            <w:r w:rsidRPr="005050C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0CA">
            <w:pPr>
              <w:pStyle w:val="BodyText"/>
              <w:rPr>
                <w:lang w:val="en-NZ"/>
              </w:rPr>
            </w:pPr>
            <w:r w:rsidRPr="005050CA">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0CA" w:rsidP="005050CA">
            <w:pPr>
              <w:pStyle w:val="BodyText"/>
            </w:pPr>
            <w:r w:rsidRPr="005050CA">
              <w:t>Update pre-requisite</w:t>
            </w:r>
          </w:p>
          <w:p w:rsidR="00000000" w:rsidP="005050CA">
            <w:pPr>
              <w:pStyle w:val="BodyText"/>
              <w:rPr>
                <w:lang w:val="en-NZ"/>
              </w:rPr>
            </w:pPr>
            <w:r w:rsidRPr="005050CA">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0CA" w:rsidP="005050CA">
            <w:pPr>
              <w:pStyle w:val="BodyText"/>
            </w:pPr>
          </w:p>
        </w:tc>
      </w:tr>
    </w:tbl>
    <w:p w:rsidR="00000000" w:rsidRPr="005050CA" w:rsidP="005050CA">
      <w:pPr>
        <w:pStyle w:val="BodyText"/>
      </w:pPr>
    </w:p>
    <w:p w:rsidR="00000000" w:rsidRPr="005050CA" w:rsidP="005050CA">
      <w:pPr>
        <w:pStyle w:val="AllowPageBreak"/>
      </w:pPr>
    </w:p>
    <w:p w:rsidR="00000000" w:rsidRPr="005050CA" w:rsidP="005050CA">
      <w:pPr>
        <w:pStyle w:val="Heading1"/>
      </w:pPr>
      <w:bookmarkStart w:id="2" w:name="O_710247"/>
      <w:bookmarkEnd w:id="2"/>
      <w:r w:rsidRPr="005050CA">
        <w:t>Unit Descriptor</w:t>
      </w:r>
    </w:p>
    <w:tbl>
      <w:tblPr>
        <w:tblW w:w="0" w:type="auto"/>
        <w:tblLayout w:type="fixed"/>
        <w:tblCellMar>
          <w:left w:w="62" w:type="dxa"/>
          <w:right w:w="62" w:type="dxa"/>
        </w:tblCellMar>
        <w:tblLook w:val="0000"/>
      </w:tblPr>
      <w:tblGrid>
        <w:gridCol w:w="2697"/>
        <w:gridCol w:w="5763"/>
      </w:tblGrid>
      <w:tr w:rsidTr="003725AE">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1</w:t>
            </w:r>
            <w:r w:rsidRPr="005050CA">
              <w:t xml:space="preserve">) </w:t>
            </w:r>
          </w:p>
          <w:p w:rsidR="00000000" w:rsidP="005050CA">
            <w:pPr>
              <w:pStyle w:val="BodyText"/>
              <w:rPr>
                <w:lang w:val="en-NZ"/>
              </w:rPr>
            </w:pPr>
            <w:r w:rsidRPr="005050CA">
              <w:rPr>
                <w:rStyle w:val="SpecialBold"/>
              </w:rPr>
              <w:t>1</w:t>
            </w:r>
            <w:r w:rsidRPr="005050CA">
              <w:t>.</w:t>
            </w:r>
            <w:r w:rsidRPr="005050CA">
              <w:rPr>
                <w:rStyle w:val="SpecialBold"/>
              </w:rPr>
              <w:t>1</w:t>
            </w:r>
            <w:r w:rsidRPr="005050CA">
              <w:t xml:space="preserve">) </w:t>
            </w:r>
            <w:r w:rsidRPr="005050CA">
              <w:rPr>
                <w:rStyle w:val="SpecialBold"/>
              </w:rPr>
              <w:t>Descriptor</w:t>
            </w:r>
          </w:p>
        </w:tc>
      </w:tr>
      <w:tr w:rsidTr="003725A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t>This unit covers the design of secondary refrigeration systems.  It encompasses design skills including overall systems design, selection of components and definition of control logic.</w:t>
            </w:r>
          </w:p>
        </w:tc>
      </w:tr>
    </w:tbl>
    <w:p w:rsidR="003725AE" w:rsidP="005050CA">
      <w:pPr>
        <w:pStyle w:val="BodyText"/>
      </w:pPr>
    </w:p>
    <w:p w:rsidR="003725AE" w:rsidP="005050CA">
      <w:pPr>
        <w:pStyle w:val="BodyText"/>
      </w:pPr>
    </w:p>
    <w:p w:rsidR="00000000" w:rsidRPr="005050CA" w:rsidP="005050CA">
      <w:pPr>
        <w:pStyle w:val="Heading1"/>
      </w:pPr>
      <w:bookmarkStart w:id="3" w:name="O_710246"/>
      <w:bookmarkEnd w:id="3"/>
      <w:r w:rsidRPr="005050CA">
        <w:t>Application of the Unit</w:t>
      </w:r>
    </w:p>
    <w:tbl>
      <w:tblPr>
        <w:tblW w:w="0" w:type="auto"/>
        <w:tblLayout w:type="fixed"/>
        <w:tblCellMar>
          <w:left w:w="62" w:type="dxa"/>
          <w:right w:w="62" w:type="dxa"/>
        </w:tblCellMar>
        <w:tblLook w:val="0000"/>
      </w:tblPr>
      <w:tblGrid>
        <w:gridCol w:w="2697"/>
        <w:gridCol w:w="5763"/>
      </w:tblGrid>
      <w:tr w:rsidTr="003725AE">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4</w:t>
            </w:r>
            <w:r w:rsidRPr="005050CA">
              <w:t>)</w:t>
            </w:r>
          </w:p>
        </w:tc>
      </w:tr>
      <w:tr w:rsidTr="003725A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t>This competency standard is suitable for employment-based programs under an approved contract of training at the AQF level of the qualification in which the unit is first packaged or higher.</w:t>
            </w:r>
          </w:p>
          <w:p w:rsidR="00000000" w:rsidRPr="005050CA" w:rsidP="005050CA">
            <w:pPr>
              <w:pStyle w:val="BodyText"/>
            </w:pPr>
            <w:r w:rsidRPr="005050CA">
              <w:t>The unit may be selected as an elective from the relevant sched</w:t>
            </w:r>
            <w:r w:rsidRPr="005050CA">
              <w:t>ule (see qualification packaging rules) provided that all prerequisite units are undertaken or addressed through recognition processes.</w:t>
            </w:r>
          </w:p>
          <w:p w:rsidR="00000000" w:rsidRPr="005050CA" w:rsidP="005050CA">
            <w:pPr>
              <w:pStyle w:val="BodyText"/>
            </w:pPr>
            <w:r w:rsidRPr="005050CA">
              <w:t>This unit may be included in a skill set provided that it is listed in the schedule of electives (see Qualification Framework) and all prerequisite units are undertaken or addressed through recognition processes.</w:t>
            </w:r>
          </w:p>
          <w:p w:rsidR="00000000" w:rsidRPr="005050CA" w:rsidP="005050CA">
            <w:pPr>
              <w:pStyle w:val="BodyText"/>
            </w:pPr>
            <w:r w:rsidRPr="005050CA">
              <w:t>Delivery and assessment of this unit should</w:t>
            </w:r>
            <w:r w:rsidRPr="005050CA">
              <w:t xml:space="preserve"> be undertaken within regard to the requirements of License to Practice </w:t>
            </w:r>
            <w:r w:rsidRPr="005050CA">
              <w:t>(1.2 above), Prerequisite Competencies and Literacy and Numeracy skills (2 above) and the recommendations for concurrent assessment and relationship with other units (9.5 below).</w:t>
            </w:r>
          </w:p>
          <w:p w:rsidR="00000000" w:rsidRPr="005050CA" w:rsidP="005050CA">
            <w:pPr>
              <w:pStyle w:val="BodyText"/>
            </w:pPr>
            <w:r w:rsidRPr="005050CA">
              <w:t>Pract</w:t>
            </w:r>
            <w:r w:rsidRPr="005050CA">
              <w:t>ice in the workplace and during training is also subject to regulations directly related to occupational health and safety and where applicable contracts of training such as apprenticeships.</w:t>
            </w:r>
          </w:p>
          <w:p w:rsidR="00000000" w:rsidRPr="005050CA" w:rsidP="005050CA">
            <w:pPr>
              <w:pStyle w:val="BodyText"/>
            </w:pPr>
            <w:r w:rsidRPr="005050CA">
              <w:t xml:space="preserve">Note: </w:t>
            </w:r>
            <w:r w:rsidRPr="005050CA">
              <w:br/>
              <w:t>1. Compliance with permits may be required in various juri</w:t>
            </w:r>
            <w:r w:rsidRPr="005050CA">
              <w:t>sdictions and typically relates to the operation of plant, machinery and equipment such as elevating work platforms, powder operated fixing tools, power operated tools, vehicles, road signage and traffic control and lifting equipment. Permits may also be r</w:t>
            </w:r>
            <w:r w:rsidRPr="005050CA">
              <w:t>equired for some work environments such as confined spaces, working aloft, near live electrical apparatus and site rehabilitation.</w:t>
            </w:r>
            <w:r w:rsidRPr="005050CA">
              <w:br/>
              <w:t>2. Compliance may be required in various jurisdictions relating to currency in First Aid, confined space, lifting, risk safet</w:t>
            </w:r>
            <w:r w:rsidRPr="005050CA">
              <w:t>y measures etc.</w:t>
            </w:r>
          </w:p>
        </w:tc>
      </w:tr>
    </w:tbl>
    <w:p w:rsidR="003725AE" w:rsidP="005050CA">
      <w:pPr>
        <w:pStyle w:val="BodyText"/>
      </w:pPr>
    </w:p>
    <w:p w:rsidR="003725AE" w:rsidP="005050CA">
      <w:pPr>
        <w:pStyle w:val="BodyText"/>
      </w:pPr>
    </w:p>
    <w:p w:rsidR="00000000" w:rsidRPr="005050CA" w:rsidP="005050CA">
      <w:pPr>
        <w:pStyle w:val="Heading1"/>
      </w:pPr>
      <w:bookmarkStart w:id="4" w:name="O_710245"/>
      <w:bookmarkEnd w:id="4"/>
      <w:r w:rsidRPr="005050CA">
        <w:t>Licensing/Regulatory Information</w:t>
      </w:r>
    </w:p>
    <w:tbl>
      <w:tblPr>
        <w:tblW w:w="0" w:type="auto"/>
        <w:tblLayout w:type="fixed"/>
        <w:tblCellMar>
          <w:left w:w="62" w:type="dxa"/>
          <w:right w:w="62" w:type="dxa"/>
        </w:tblCellMar>
        <w:tblLook w:val="0000"/>
      </w:tblPr>
      <w:tblGrid>
        <w:gridCol w:w="8460"/>
      </w:tblGrid>
      <w:tr w:rsidTr="003725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1</w:t>
            </w:r>
            <w:r w:rsidRPr="005050CA">
              <w:t>.</w:t>
            </w:r>
            <w:r w:rsidRPr="005050CA">
              <w:rPr>
                <w:rStyle w:val="SpecialBold"/>
              </w:rPr>
              <w:t>2</w:t>
            </w:r>
            <w:r w:rsidRPr="005050CA">
              <w:t xml:space="preserve">) </w:t>
            </w:r>
            <w:r w:rsidRPr="005050CA">
              <w:rPr>
                <w:rStyle w:val="SpecialBold"/>
              </w:rPr>
              <w:t>License to practice</w:t>
            </w:r>
          </w:p>
        </w:tc>
      </w:tr>
      <w:tr w:rsidTr="003725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t>The skills and knowledge described in this unit do not require a licence to practise in the work place. However practice in this unit is subject to regulations d</w:t>
            </w:r>
            <w:r w:rsidRPr="005050CA">
              <w:t>irectly related to occupational health and safety, codes of work practice and standard work procedures related to the characteristics and behaviour of material in an engineering environment.</w:t>
            </w:r>
          </w:p>
        </w:tc>
      </w:tr>
    </w:tbl>
    <w:p w:rsidR="003725AE" w:rsidP="005050CA">
      <w:pPr>
        <w:pStyle w:val="BodyText"/>
      </w:pPr>
    </w:p>
    <w:p w:rsidR="003725AE" w:rsidP="005050CA">
      <w:pPr>
        <w:pStyle w:val="BodyText"/>
      </w:pPr>
    </w:p>
    <w:p w:rsidR="00000000" w:rsidRPr="005050CA" w:rsidP="005050CA">
      <w:pPr>
        <w:pStyle w:val="Heading1"/>
      </w:pPr>
      <w:bookmarkStart w:id="5" w:name="O_710244"/>
      <w:bookmarkEnd w:id="5"/>
      <w:r w:rsidRPr="005050CA">
        <w:t>Pre-Requisites</w:t>
      </w:r>
    </w:p>
    <w:tbl>
      <w:tblPr>
        <w:tblW w:w="0" w:type="auto"/>
        <w:tblLayout w:type="fixed"/>
        <w:tblCellMar>
          <w:left w:w="62" w:type="dxa"/>
          <w:right w:w="62" w:type="dxa"/>
        </w:tblCellMar>
        <w:tblLook w:val="0000"/>
      </w:tblPr>
      <w:tblGrid>
        <w:gridCol w:w="2697"/>
        <w:gridCol w:w="5763"/>
      </w:tblGrid>
      <w:tr w:rsidTr="003725AE">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Prerequisite Unit</w:t>
            </w:r>
            <w:r w:rsidRPr="005050CA">
              <w:t>(</w:t>
            </w:r>
            <w:r w:rsidRPr="005050CA">
              <w:rPr>
                <w:rStyle w:val="SpecialBold"/>
              </w:rPr>
              <w:t>s</w:t>
            </w:r>
            <w:r w:rsidRPr="005050CA">
              <w:t>)</w:t>
            </w:r>
          </w:p>
        </w:tc>
        <w:tc>
          <w:tcPr>
            <w:tcW w:w="57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2</w:t>
            </w:r>
            <w:r w:rsidRPr="005050CA">
              <w:t xml:space="preserve">) </w:t>
            </w:r>
          </w:p>
        </w:tc>
      </w:tr>
      <w:tr w:rsidTr="003725A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5050CA">
            <w:pPr>
              <w:pStyle w:val="BodyText"/>
              <w:keepNext w:val="0"/>
              <w:keepLines w:val="0"/>
              <w:contextualSpacing w:val="0"/>
            </w:pPr>
          </w:p>
        </w:tc>
        <w:tc>
          <w:tcPr>
            <w:tcW w:w="57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2</w:t>
            </w:r>
            <w:r w:rsidRPr="005050CA">
              <w:t>.</w:t>
            </w:r>
            <w:r w:rsidRPr="005050CA">
              <w:rPr>
                <w:rStyle w:val="SpecialBold"/>
              </w:rPr>
              <w:t>1</w:t>
            </w:r>
            <w:r w:rsidRPr="005050CA">
              <w:t xml:space="preserve">) </w:t>
            </w:r>
            <w:r w:rsidRPr="005050CA">
              <w:rPr>
                <w:rStyle w:val="SpecialBold"/>
              </w:rPr>
              <w:t>Competencies</w:t>
            </w:r>
          </w:p>
        </w:tc>
      </w:tr>
      <w:tr w:rsidTr="003725A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t xml:space="preserve">Granting competency in this unit shall be made only after competency in the following unit(s) has/have been </w:t>
            </w:r>
            <w:r w:rsidRPr="005050CA">
              <w:t>confirmed.</w:t>
            </w:r>
          </w:p>
          <w:p w:rsidR="00000000" w:rsidRPr="005050CA" w:rsidP="005050CA">
            <w:pPr>
              <w:pStyle w:val="BodyText"/>
            </w:pPr>
            <w:r w:rsidRPr="005050CA">
              <w:t>UEENEEJ132A Design commercial refrigeration systems and select components</w:t>
            </w:r>
          </w:p>
          <w:p w:rsidR="00000000" w:rsidRPr="005050CA" w:rsidP="005050CA">
            <w:pPr>
              <w:pStyle w:val="BodyText"/>
            </w:pPr>
            <w:r w:rsidRPr="005050CA">
              <w:t>UEENEEJ129A Establish heat loads for commercial refrigeration and/or air conditioning applications</w:t>
            </w:r>
          </w:p>
          <w:p w:rsidR="00000000" w:rsidRPr="005050CA" w:rsidP="005050CA">
            <w:pPr>
              <w:pStyle w:val="BodyText"/>
            </w:pPr>
            <w:r w:rsidRPr="005050CA">
              <w:t>UEENEEJ165A: Evaluate thermodynamic and fluid parameters of refrigeration systems</w:t>
            </w:r>
          </w:p>
          <w:p w:rsidR="00000000" w:rsidRPr="005050CA" w:rsidP="005050CA">
            <w:pPr>
              <w:pStyle w:val="BodyText"/>
            </w:pPr>
            <w:r w:rsidRPr="005050CA">
              <w:t>UEENEEJ127A Establish the thermodynamic parameters of refrigeration and air</w:t>
            </w:r>
            <w:r w:rsidRPr="005050CA">
              <w:t xml:space="preserve"> conditioning systems</w:t>
            </w:r>
          </w:p>
          <w:p w:rsidR="00000000" w:rsidRPr="005050CA" w:rsidP="005050CA">
            <w:pPr>
              <w:pStyle w:val="BodyText"/>
            </w:pPr>
            <w:r w:rsidRPr="005050CA">
              <w:t>UEENEEJ164A Analyse the operation of HVAC air and hydronic systems</w:t>
            </w:r>
          </w:p>
          <w:p w:rsidR="00000000" w:rsidRPr="005050CA" w:rsidP="005050CA">
            <w:pPr>
              <w:pStyle w:val="BodyText"/>
            </w:pPr>
            <w:r w:rsidRPr="005050CA">
              <w:t>UEENEEJ192A Analyse the psychrometric performance of HVAC/R systems</w:t>
            </w:r>
          </w:p>
          <w:p w:rsidR="00000000" w:rsidRPr="005050CA" w:rsidP="005050CA">
            <w:pPr>
              <w:pStyle w:val="BodyText"/>
            </w:pPr>
            <w:r w:rsidRPr="005050CA">
              <w:t xml:space="preserve">and </w:t>
            </w:r>
          </w:p>
          <w:p w:rsidR="00000000" w:rsidRPr="005050CA" w:rsidP="005050CA">
            <w:pPr>
              <w:pStyle w:val="BodyText"/>
            </w:pPr>
            <w:r w:rsidRPr="005050CA">
              <w:t>UEENEEJ193A  Analyse the thermodynamic performance of HVAC/R systems</w:t>
            </w:r>
          </w:p>
          <w:p w:rsidR="00000000" w:rsidRPr="005050CA" w:rsidP="005050CA">
            <w:pPr>
              <w:pStyle w:val="BodyText"/>
            </w:pPr>
            <w:r w:rsidRPr="005050CA">
              <w:t xml:space="preserve">or </w:t>
            </w:r>
          </w:p>
          <w:p w:rsidR="00000000" w:rsidRPr="005050CA" w:rsidP="005050CA">
            <w:pPr>
              <w:pStyle w:val="BodyText"/>
            </w:pPr>
            <w:r w:rsidRPr="005050CA">
              <w:t>UEENEEJ109A Verify fu</w:t>
            </w:r>
            <w:r w:rsidRPr="005050CA">
              <w:t>nctionality and compliance of refrigeration and air conditioning installations</w:t>
            </w:r>
          </w:p>
          <w:p w:rsidR="00000000" w:rsidRPr="005050CA" w:rsidP="005050CA">
            <w:pPr>
              <w:pStyle w:val="BodyText"/>
            </w:pPr>
            <w:r w:rsidRPr="005050CA">
              <w:t>UEENEEE101A Apply Occupational Health and Safety regulations, codes and practices in the workplace</w:t>
            </w:r>
          </w:p>
          <w:p w:rsidR="00000000" w:rsidRPr="005050CA" w:rsidP="005050CA">
            <w:pPr>
              <w:pStyle w:val="BodyText"/>
            </w:pPr>
            <w:r w:rsidRPr="005050CA">
              <w:t>UEENEEE102A Fabricate, assemble and dismantle utilities industry components</w:t>
            </w:r>
          </w:p>
          <w:p w:rsidR="00000000" w:rsidRPr="005050CA" w:rsidP="005050CA">
            <w:pPr>
              <w:pStyle w:val="BodyText"/>
            </w:pPr>
            <w:r w:rsidRPr="005050CA">
              <w:t>UE</w:t>
            </w:r>
            <w:r w:rsidRPr="005050CA">
              <w:t>ENEEE103A Solve problems in ELV single path circuits</w:t>
            </w:r>
          </w:p>
          <w:p w:rsidR="00000000" w:rsidRPr="005050CA" w:rsidP="005050CA">
            <w:pPr>
              <w:pStyle w:val="BodyText"/>
            </w:pPr>
            <w:r w:rsidRPr="005050CA">
              <w:t>UEENEEE105A Fix and secure electrotechnology equipment</w:t>
            </w:r>
          </w:p>
          <w:p w:rsidR="00000000" w:rsidRPr="005050CA" w:rsidP="005050CA">
            <w:pPr>
              <w:pStyle w:val="BodyText"/>
            </w:pPr>
            <w:r w:rsidRPr="005050CA">
              <w:t>UEENEEE107A Use drawings, diagrams, schedules, standards, codes and specifications</w:t>
            </w:r>
          </w:p>
          <w:p w:rsidR="00000000" w:rsidRPr="005050CA" w:rsidP="005050CA">
            <w:pPr>
              <w:pStyle w:val="BodyText"/>
            </w:pPr>
            <w:r w:rsidRPr="005050CA">
              <w:t>UEENEEE137A Document and apply measures to control OHS risks asso</w:t>
            </w:r>
            <w:r w:rsidRPr="005050CA">
              <w:t>ciated with electrotechnology work</w:t>
            </w:r>
          </w:p>
          <w:p w:rsidR="00000000" w:rsidRPr="005050CA" w:rsidP="005050CA">
            <w:pPr>
              <w:pStyle w:val="BodyText"/>
            </w:pPr>
            <w:r w:rsidRPr="005050CA">
              <w:t>UEENEEJ102A Prepare and connect refrigerant tubing and fittings</w:t>
            </w:r>
          </w:p>
          <w:p w:rsidR="00000000" w:rsidRPr="005050CA" w:rsidP="005050CA">
            <w:pPr>
              <w:pStyle w:val="BodyText"/>
            </w:pPr>
            <w:r w:rsidRPr="005050CA">
              <w:t>UEENEEJ103A Establish the basic operating conditions of vapour compression systems</w:t>
            </w:r>
          </w:p>
          <w:p w:rsidR="00000000" w:rsidRPr="005050CA" w:rsidP="005050CA">
            <w:pPr>
              <w:pStyle w:val="BodyText"/>
            </w:pPr>
            <w:r w:rsidRPr="005050CA">
              <w:t>UEENEEJ104A Establish the basic operating conditions of air conditioning s</w:t>
            </w:r>
            <w:r w:rsidRPr="005050CA">
              <w:t>ystems</w:t>
            </w:r>
          </w:p>
          <w:p w:rsidR="00000000" w:rsidRPr="005050CA" w:rsidP="005050CA">
            <w:pPr>
              <w:pStyle w:val="BodyText"/>
            </w:pPr>
            <w:r w:rsidRPr="005050CA">
              <w:t>UEENEEJ106A Install refrigerant pipe work, flow controls and accessories</w:t>
            </w:r>
          </w:p>
          <w:p w:rsidR="00000000" w:rsidRPr="005050CA" w:rsidP="005050CA">
            <w:pPr>
              <w:pStyle w:val="BodyText"/>
            </w:pPr>
            <w:r w:rsidRPr="005050CA">
              <w:t>UEENEEJ107A Install air conditioning and refrigeration systems, major components and associated equipment</w:t>
            </w:r>
          </w:p>
          <w:p w:rsidR="00000000" w:rsidRPr="005050CA" w:rsidP="005050CA">
            <w:pPr>
              <w:pStyle w:val="BodyText"/>
            </w:pPr>
            <w:r w:rsidRPr="005050CA">
              <w:t>UEENEEJ108A Recover, pressure test, evacuate, charge and leak test refrigerants</w:t>
            </w:r>
          </w:p>
          <w:p w:rsidR="00000000" w:rsidRPr="005050CA" w:rsidP="005050CA">
            <w:pPr>
              <w:pStyle w:val="BodyText"/>
            </w:pPr>
            <w:r w:rsidRPr="005050CA">
              <w:t>UEENEEJ110A Select refrigerant piping, accessories and associated controls</w:t>
            </w:r>
          </w:p>
          <w:p w:rsidR="00000000" w:rsidRPr="005050CA" w:rsidP="005050CA">
            <w:pPr>
              <w:pStyle w:val="BodyText"/>
            </w:pPr>
            <w:r w:rsidRPr="005050CA">
              <w:t>UEENEEJ111A Diagnose and rectify faults in air conditioning and refrigeration systems and components</w:t>
            </w:r>
          </w:p>
          <w:p w:rsidR="00000000" w:rsidRPr="005050CA" w:rsidP="005050CA">
            <w:pPr>
              <w:pStyle w:val="BodyText"/>
            </w:pPr>
            <w:r w:rsidRPr="005050CA">
              <w:t>UEENEEJ113A Commission air conditioning and refrigeration systems</w:t>
            </w:r>
          </w:p>
          <w:p w:rsidR="00000000" w:rsidRPr="005050CA" w:rsidP="005050CA">
            <w:pPr>
              <w:pStyle w:val="BodyText"/>
            </w:pPr>
            <w:r w:rsidRPr="005050CA">
              <w:t>UEENEEJ153A Find and rectify faults motors and associated controls in refrigeration and air conditioning systems</w:t>
            </w:r>
          </w:p>
          <w:p w:rsidR="00000000" w:rsidRPr="005050CA" w:rsidP="005050CA">
            <w:pPr>
              <w:pStyle w:val="BodyText"/>
            </w:pPr>
            <w:r w:rsidRPr="005050CA">
              <w:t>UEENEEJ170A Diagnose and rectify faults in air conditioning and refrigeration</w:t>
            </w:r>
            <w:r w:rsidRPr="005050CA">
              <w:t xml:space="preserve"> control systems</w:t>
            </w:r>
          </w:p>
          <w:p w:rsidR="00000000" w:rsidRPr="005050CA" w:rsidP="005050CA">
            <w:pPr>
              <w:pStyle w:val="BodyText"/>
            </w:pPr>
            <w:r w:rsidRPr="005050CA">
              <w:t>UEENEEJ194A Solve problems in low voltage refrigeration circuits</w:t>
            </w:r>
          </w:p>
          <w:p w:rsidR="00000000" w:rsidRPr="005050CA" w:rsidP="005050CA">
            <w:pPr>
              <w:pStyle w:val="BodyText"/>
            </w:pPr>
            <w:r w:rsidRPr="005050CA">
              <w:t>UEENEEP012A Disconnect / reconnect composite appliances connected to low voltage installation wiring</w:t>
            </w:r>
          </w:p>
          <w:p w:rsidR="00000000" w:rsidRPr="005050CA" w:rsidP="005050CA">
            <w:pPr>
              <w:pStyle w:val="BodyText"/>
            </w:pPr>
            <w:r w:rsidRPr="005050CA">
              <w:t>UEENEEP017A Locate and rectify faults in low voltage composite appliances</w:t>
            </w:r>
            <w:r w:rsidRPr="005050CA">
              <w:t xml:space="preserve"> using set procedures</w:t>
            </w:r>
          </w:p>
          <w:p w:rsidR="00000000" w:rsidRPr="005050CA" w:rsidP="005050CA">
            <w:pPr>
              <w:pStyle w:val="BodyText"/>
            </w:pPr>
            <w:r w:rsidRPr="005050CA">
              <w:t>UEENEEP024A Attach cords and plugs to electrical equipment for connection to a single phase 230 Volt supply</w:t>
            </w:r>
          </w:p>
          <w:p w:rsidR="00000000" w:rsidRPr="005050CA" w:rsidP="005050CA">
            <w:pPr>
              <w:pStyle w:val="BodyText"/>
            </w:pPr>
            <w:r w:rsidRPr="005050CA">
              <w:t>UEENEEP025A Attach cords, cables and plugs to electrical equipment for connection to 1000 Va.c. or 1500 Vd.c. supply</w:t>
            </w:r>
          </w:p>
        </w:tc>
      </w:tr>
    </w:tbl>
    <w:p w:rsidR="003725AE" w:rsidP="005050CA">
      <w:pPr>
        <w:pStyle w:val="BodyText"/>
      </w:pPr>
    </w:p>
    <w:p w:rsidR="003725AE" w:rsidP="005050CA">
      <w:pPr>
        <w:pStyle w:val="BodyText"/>
      </w:pPr>
    </w:p>
    <w:p w:rsidR="00000000" w:rsidRPr="005050CA" w:rsidP="005050CA">
      <w:pPr>
        <w:pStyle w:val="Heading1"/>
      </w:pPr>
      <w:bookmarkStart w:id="6" w:name="O_710243"/>
      <w:bookmarkEnd w:id="6"/>
      <w:r w:rsidRPr="005050CA">
        <w:t>Employability Skills Information</w:t>
      </w:r>
    </w:p>
    <w:tbl>
      <w:tblPr>
        <w:tblW w:w="0" w:type="auto"/>
        <w:tblLayout w:type="fixed"/>
        <w:tblCellMar>
          <w:left w:w="62" w:type="dxa"/>
          <w:right w:w="62" w:type="dxa"/>
        </w:tblCellMar>
        <w:tblLook w:val="0000"/>
      </w:tblPr>
      <w:tblGrid>
        <w:gridCol w:w="2697"/>
        <w:gridCol w:w="5763"/>
      </w:tblGrid>
      <w:tr w:rsidTr="003725A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3</w:t>
            </w:r>
            <w:r w:rsidRPr="005050CA">
              <w:t>)</w:t>
            </w:r>
          </w:p>
          <w:p w:rsidR="00000000" w:rsidRPr="005050CA" w:rsidP="005050CA">
            <w:pPr>
              <w:pStyle w:val="BodyText"/>
            </w:pPr>
            <w:r w:rsidRPr="005050CA">
              <w:t>This unit contains Employability Skills</w:t>
            </w:r>
          </w:p>
          <w:p w:rsidR="00000000" w:rsidRPr="005050CA" w:rsidP="005050CA">
            <w:pPr>
              <w:pStyle w:val="BodyText"/>
            </w:pPr>
            <w:r w:rsidRPr="005050CA">
              <w:t>The required outcomes described in this unit of competency contain applicable facets of Employability Skills. The Employability Skills Summary of th</w:t>
            </w:r>
            <w:r w:rsidRPr="005050CA">
              <w:t>e qualification in which this unit of competency is packaged will assist in identifying Employability Skill requirements.</w:t>
            </w:r>
          </w:p>
        </w:tc>
      </w:tr>
    </w:tbl>
    <w:p w:rsidR="003725AE" w:rsidP="005050CA">
      <w:pPr>
        <w:pStyle w:val="BodyText"/>
      </w:pPr>
    </w:p>
    <w:p w:rsidR="003725AE" w:rsidP="005050CA">
      <w:pPr>
        <w:pStyle w:val="BodyText"/>
      </w:pPr>
    </w:p>
    <w:p w:rsidR="00000000" w:rsidRPr="005050CA" w:rsidP="005050CA">
      <w:pPr>
        <w:pStyle w:val="Heading1"/>
      </w:pPr>
      <w:bookmarkStart w:id="7" w:name="O_710242"/>
      <w:bookmarkEnd w:id="7"/>
      <w:r w:rsidRPr="005050CA">
        <w:t>Elements and Performance Criteria Pre-Content</w:t>
      </w:r>
    </w:p>
    <w:tbl>
      <w:tblPr>
        <w:tblW w:w="0" w:type="auto"/>
        <w:tblLayout w:type="fixed"/>
        <w:tblCellMar>
          <w:left w:w="62" w:type="dxa"/>
          <w:right w:w="62" w:type="dxa"/>
        </w:tblCellMar>
        <w:tblLook w:val="0000"/>
      </w:tblPr>
      <w:tblGrid>
        <w:gridCol w:w="2697"/>
        <w:gridCol w:w="5763"/>
      </w:tblGrid>
      <w:tr w:rsidTr="003725A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6</w:t>
            </w:r>
            <w:r w:rsidRPr="005050CA">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t>Performance criteria describe the required performance needed to demonstrate achievement of the Element. Assessment of performance must be consistent with the evidence guide.</w:t>
            </w:r>
          </w:p>
        </w:tc>
      </w:tr>
    </w:tbl>
    <w:p w:rsidR="00000000" w:rsidRPr="005050CA" w:rsidP="005050CA">
      <w:pPr>
        <w:pStyle w:val="BodyText"/>
      </w:pPr>
    </w:p>
    <w:p w:rsidR="00000000" w:rsidRPr="005050CA" w:rsidP="005050CA">
      <w:pPr>
        <w:pStyle w:val="AllowPageBreak"/>
      </w:pPr>
    </w:p>
    <w:p w:rsidR="00000000" w:rsidRPr="005050CA" w:rsidP="005050CA">
      <w:pPr>
        <w:pStyle w:val="Heading1"/>
      </w:pPr>
      <w:bookmarkStart w:id="8" w:name="O_710241"/>
      <w:bookmarkEnd w:id="8"/>
      <w:r w:rsidRPr="005050CA">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3725AE">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PERFORMANCE CRITERI</w:t>
            </w:r>
            <w:r w:rsidRPr="005050CA">
              <w:rPr>
                <w:rStyle w:val="SpecialBold"/>
              </w:rPr>
              <w:t>A</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1</w:t>
            </w:r>
          </w:p>
        </w:tc>
        <w:tc>
          <w:tcPr>
            <w:tcW w:w="2294" w:type="dxa"/>
            <w:vMerge w:val="restart"/>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Prepare to design secondary refrigeration systems</w:t>
            </w: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1.1</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OHS processes and procedures for a given work area are identified, obtained and understood.</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1.2</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The extent and nature of the refrigeration system is determined from design specifications.</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1.3</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Safety and other regulatory requirements to which the system shall comply are identified, obtained and understood.</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1.4</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Work supervisor or customers are consulted to determine which functions of the system are to be used and the parameter of each and</w:t>
            </w:r>
            <w:r w:rsidRPr="005050CA">
              <w:t xml:space="preserve"> written confirmation sought.</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1.5</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Design development work is planned to meet scheduled timelines in consultation with others involved on the work site.</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2</w:t>
            </w:r>
          </w:p>
        </w:tc>
        <w:tc>
          <w:tcPr>
            <w:tcW w:w="2294" w:type="dxa"/>
            <w:vMerge w:val="restart"/>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 xml:space="preserve">Design secondary refrigeration systems </w:t>
            </w: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2.1</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Established OHS risk control measures and procedures for carrying out the work are followed.</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2.2</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Knowledge of secondary refrigeration system analysis, secondary refrigeration system components and piping, performance standards and compliance methods are</w:t>
            </w:r>
            <w:r w:rsidRPr="005050CA">
              <w:t xml:space="preserve"> applied to developing the system design.</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2.3</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Safety, functional and budgetary considerations are incorporated in the installation designed.</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2.4</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 xml:space="preserve">Equipment required for the system is selected in accordance with the design specifications and established requirements. </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2.5</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Location of components of the system is documented to ensure correct operation of system functions.</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2.6</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System design draft is checked for compliance with the design brief and regulatory requirements.</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2.7</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System design is documented for submission to appropriate person(s) for approval.</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2.8</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Solutions to unplanned situation are provided consistent with o</w:t>
            </w:r>
            <w:r w:rsidRPr="005050CA">
              <w:t xml:space="preserve">rganisation's policy. </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3</w:t>
            </w:r>
          </w:p>
        </w:tc>
        <w:tc>
          <w:tcPr>
            <w:tcW w:w="2294"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Obtain approval for engineering computer applications design</w:t>
            </w: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3.1</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System design is presented and explained to client representative and/or other relevant person(s).</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3.2</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Requests for alterations to the design are negotiated with relevant person(s) within the constraints of organisation's policy.</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3.3</w:t>
            </w:r>
          </w:p>
        </w:tc>
        <w:tc>
          <w:tcPr>
            <w:tcW w:w="48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Final design is documented and approval obtained from appropriate person(s).</w:t>
            </w:r>
          </w:p>
        </w:tc>
      </w:tr>
      <w:tr w:rsidTr="003725AE">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3.4</w:t>
            </w:r>
          </w:p>
        </w:tc>
        <w:tc>
          <w:tcPr>
            <w:tcW w:w="4863"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t>Quality of work is monitored against p</w:t>
            </w:r>
            <w:r w:rsidRPr="005050CA">
              <w:t>ersonal performance agreement and/or established organisational or professional standards.</w:t>
            </w:r>
          </w:p>
        </w:tc>
      </w:tr>
    </w:tbl>
    <w:p w:rsidR="003725AE" w:rsidP="005050CA">
      <w:pPr>
        <w:pStyle w:val="BodyText"/>
      </w:pPr>
    </w:p>
    <w:p w:rsidR="003725AE" w:rsidP="005050CA">
      <w:pPr>
        <w:pStyle w:val="BodyText"/>
      </w:pPr>
    </w:p>
    <w:p w:rsidR="00000000" w:rsidRPr="005050CA" w:rsidP="005050CA">
      <w:pPr>
        <w:pStyle w:val="Heading1"/>
      </w:pPr>
      <w:bookmarkStart w:id="9" w:name="O_710240"/>
      <w:bookmarkEnd w:id="9"/>
      <w:r w:rsidRPr="005050CA">
        <w:t>Required Skills and Knowledge</w:t>
      </w:r>
    </w:p>
    <w:tbl>
      <w:tblPr>
        <w:tblW w:w="0" w:type="auto"/>
        <w:tblLayout w:type="fixed"/>
        <w:tblCellMar>
          <w:left w:w="62" w:type="dxa"/>
          <w:right w:w="62" w:type="dxa"/>
        </w:tblCellMar>
        <w:tblLook w:val="0000"/>
      </w:tblPr>
      <w:tblGrid>
        <w:gridCol w:w="2008"/>
        <w:gridCol w:w="1678"/>
        <w:gridCol w:w="4774"/>
      </w:tblGrid>
      <w:tr w:rsidTr="003725A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REQUIRED SKILLS AND KNOWLEDGE</w:t>
            </w:r>
          </w:p>
        </w:tc>
      </w:tr>
      <w:tr w:rsidTr="003725A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7</w:t>
            </w:r>
            <w:r w:rsidRPr="005050CA">
              <w:t>) This describes the essential skills and knowledge and their level, required for this unit.</w:t>
            </w:r>
          </w:p>
        </w:tc>
      </w:tr>
      <w:tr w:rsidTr="003725A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t>Evidence shall show that knowledge has been acquired of safe working practices and designing multi-stage cascade and/or liquid recirculation secondary refrigera</w:t>
            </w:r>
            <w:r w:rsidRPr="005050CA">
              <w:t>tion systems. All knowledge and skills detailed in this unit should be contextualised to current industry practices and technologies.</w:t>
            </w:r>
          </w:p>
          <w:p w:rsidR="00000000" w:rsidP="005050CA">
            <w:pPr>
              <w:pStyle w:val="BodyText"/>
              <w:rPr>
                <w:lang w:val="en-NZ"/>
              </w:rPr>
            </w:pPr>
            <w:r w:rsidRPr="005050CA">
              <w:t>The extent of the essential knowledge and associated skills (EKAS) required is given in Volume 2 - Part 2.2 EKAS.  It form</w:t>
            </w:r>
            <w:r w:rsidRPr="005050CA">
              <w:t>s an integral part of this unit.</w:t>
            </w:r>
          </w:p>
        </w:tc>
      </w:tr>
      <w:tr w:rsidTr="003725AE">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8"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 xml:space="preserve">KS01-EJ183A </w:t>
            </w:r>
          </w:p>
        </w:tc>
        <w:tc>
          <w:tcPr>
            <w:tcW w:w="4774"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Secondary refrigeration system design</w:t>
            </w:r>
          </w:p>
        </w:tc>
      </w:tr>
      <w:tr w:rsidTr="003725AE">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74" w:type="dxa"/>
            <w:tcBorders>
              <w:top w:val="nil"/>
              <w:left w:val="nil"/>
              <w:bottom w:val="nil"/>
              <w:right w:val="nil"/>
            </w:tcBorders>
            <w:tcMar>
              <w:top w:w="0" w:type="dxa"/>
              <w:left w:w="62" w:type="dxa"/>
              <w:bottom w:w="0" w:type="dxa"/>
              <w:right w:w="62" w:type="dxa"/>
            </w:tcMar>
          </w:tcPr>
          <w:p w:rsidR="00000000" w:rsidRPr="005050CA" w:rsidP="005050CA">
            <w:pPr>
              <w:pStyle w:val="BodyText"/>
            </w:pPr>
          </w:p>
        </w:tc>
      </w:tr>
    </w:tbl>
    <w:p w:rsidR="003725AE" w:rsidP="005050CA">
      <w:pPr>
        <w:pStyle w:val="BodyText"/>
      </w:pPr>
    </w:p>
    <w:p w:rsidR="003725AE" w:rsidP="005050CA">
      <w:pPr>
        <w:pStyle w:val="BodyText"/>
      </w:pPr>
    </w:p>
    <w:p w:rsidR="00000000" w:rsidRPr="005050CA" w:rsidP="005050CA">
      <w:pPr>
        <w:pStyle w:val="Heading1"/>
      </w:pPr>
      <w:bookmarkStart w:id="10" w:name="O_710239"/>
      <w:bookmarkEnd w:id="10"/>
      <w:r w:rsidRPr="005050CA">
        <w:t>Evidence Guide</w:t>
      </w:r>
    </w:p>
    <w:tbl>
      <w:tblPr>
        <w:tblW w:w="0" w:type="auto"/>
        <w:tblLayout w:type="fixed"/>
        <w:tblCellMar>
          <w:left w:w="62" w:type="dxa"/>
          <w:right w:w="62" w:type="dxa"/>
        </w:tblCellMar>
        <w:tblLook w:val="0000"/>
      </w:tblPr>
      <w:tblGrid>
        <w:gridCol w:w="2157"/>
        <w:gridCol w:w="720"/>
        <w:gridCol w:w="540"/>
        <w:gridCol w:w="5043"/>
      </w:tblGrid>
      <w:tr w:rsidTr="003725A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EVIDENCE GUIDE</w:t>
            </w:r>
          </w:p>
        </w:tc>
      </w:tr>
      <w:tr w:rsidTr="003725A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9</w:t>
            </w:r>
            <w:r w:rsidRPr="005050CA">
              <w:t xml:space="preserve">) The evidence guide provides advice on assessment and must be read in conjunction with the Performance </w:t>
            </w:r>
            <w:r w:rsidRPr="005050CA">
              <w:t>Criteria, Required Skills and Knowledge, the Range Statement and the Assessment Guidelines for this Training Package. .</w:t>
            </w:r>
          </w:p>
          <w:p w:rsidR="00000000" w:rsidP="005050CA">
            <w:pPr>
              <w:pStyle w:val="BodyText"/>
              <w:rPr>
                <w:lang w:val="en-NZ"/>
              </w:rPr>
            </w:pPr>
            <w:r w:rsidRPr="005050CA">
              <w:t>The Evidence Guide forms an integral part of this unit. It must be used in conjunction with all parts of this unit and performed in acco</w:t>
            </w:r>
            <w:r w:rsidRPr="005050CA">
              <w:t>rdance with the Assessment Guidelines of this Training Package.</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9</w:t>
            </w:r>
            <w:r w:rsidRPr="005050CA">
              <w:t>.</w:t>
            </w:r>
            <w:r w:rsidRPr="005050CA">
              <w:rPr>
                <w:rStyle w:val="SpecialBold"/>
              </w:rPr>
              <w:t>1</w:t>
            </w:r>
            <w:r w:rsidRPr="005050CA">
              <w:t xml:space="preserve">) </w:t>
            </w:r>
          </w:p>
          <w:p w:rsidR="00000000" w:rsidRPr="005050CA" w:rsidP="005050CA">
            <w:pPr>
              <w:pStyle w:val="BodyText"/>
            </w:pPr>
            <w:r w:rsidRPr="005050CA">
              <w:t>Longitudinal competency development approaches to assessment, such as Profilin</w:t>
            </w:r>
            <w:r w:rsidRPr="005050CA">
              <w:t>g, require data to be reliably gathered in a form that can be consistently interpreted over time. This approach is best utilised in Apprenticeship programs and reduces assessment intervention. It is the industry-preferred model for apprenticeships. However</w:t>
            </w:r>
            <w:r w:rsidRPr="005050CA">
              <w:t>, where summative (or final) assessment is used it is to include the application of the competency in the normal work environment or, at a minimum, the application of the competency in a realistically simulated work environment. In some circumstances, asse</w:t>
            </w:r>
            <w:r w:rsidRPr="005050CA">
              <w:t>ssment in part or full can occur outside the workplace. However, it must be in accordance with industry and regulatory policy.</w:t>
            </w:r>
          </w:p>
          <w:p w:rsidR="00000000" w:rsidRPr="005050CA" w:rsidP="005050CA">
            <w:pPr>
              <w:pStyle w:val="BodyText"/>
            </w:pPr>
            <w:r w:rsidRPr="005050CA">
              <w:t>Methods chosen for a particular assessment will be influenced by various factors. These include the extent of the assessment, the</w:t>
            </w:r>
            <w:r w:rsidRPr="005050CA">
              <w:t xml:space="preserve"> most effective locations for the assessment activities to take place, access to physical resources, additional safety measures that may be required and the critical nature of the competencies being assessed.</w:t>
            </w:r>
          </w:p>
          <w:p w:rsidR="00000000" w:rsidRPr="005050CA" w:rsidP="005050CA">
            <w:pPr>
              <w:pStyle w:val="BodyText"/>
            </w:pPr>
            <w:r w:rsidRPr="005050CA">
              <w:t xml:space="preserve">The critical safety issues inherent in working </w:t>
            </w:r>
            <w:r w:rsidRPr="005050CA">
              <w:t>with electricity, electrical equipment, gas or any other hazardous substance/material present a challenge for those determining competence. Sources of evidence need to be 'rich' in nature to minimise error in judgment.</w:t>
            </w:r>
          </w:p>
          <w:p w:rsidR="00000000" w:rsidP="005050CA">
            <w:pPr>
              <w:pStyle w:val="BodyText"/>
              <w:rPr>
                <w:lang w:val="en-NZ"/>
              </w:rPr>
            </w:pPr>
            <w:r w:rsidRPr="005050CA">
              <w:t>Activities associated with normal eve</w:t>
            </w:r>
            <w:r w:rsidRPr="005050CA">
              <w:t>ryday work have a bearing on the decision as to how much and how detailed the data gathered will contribute to its 'richness'. Some skills are more critical to safety and operational requirements while the same skills may be more or less frequently practis</w:t>
            </w:r>
            <w:r w:rsidRPr="005050CA">
              <w:t>ed. These points are raised for the assessors to consider when choosing an assessment method and developing assessment instruments. Sample assessment instruments are included for Assessors in the Assessment Guidelines of this Training Package.</w:t>
            </w:r>
          </w:p>
        </w:tc>
      </w:tr>
      <w:tr w:rsidTr="003725AE">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 xml:space="preserve">Critical </w:t>
            </w:r>
            <w:r w:rsidRPr="005050CA">
              <w:rPr>
                <w:rStyle w:val="SpecialBold"/>
              </w:rPr>
              <w:t xml:space="preserve">aspects of evidence required to demonstrate competency </w:t>
            </w:r>
            <w:r w:rsidRPr="005050CA">
              <w:rPr>
                <w:rStyle w:val="SpecialBold"/>
              </w:rPr>
              <w:t>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9</w:t>
            </w:r>
            <w:r w:rsidRPr="005050CA">
              <w:t>.</w:t>
            </w:r>
            <w:r w:rsidRPr="005050CA">
              <w:rPr>
                <w:rStyle w:val="SpecialBold"/>
              </w:rPr>
              <w:t>2</w:t>
            </w:r>
            <w:r w:rsidRPr="005050CA">
              <w:t xml:space="preserve">) </w:t>
            </w:r>
          </w:p>
          <w:p w:rsidR="00000000" w:rsidP="005050CA">
            <w:pPr>
              <w:pStyle w:val="BodyText"/>
              <w:rPr>
                <w:lang w:val="en-NZ"/>
              </w:rPr>
            </w:pPr>
            <w:r w:rsidRPr="005050CA">
              <w:t>Before the critical aspects of evidence are considered all prerequisites must be met.</w:t>
            </w:r>
          </w:p>
        </w:tc>
      </w:tr>
      <w:tr w:rsidTr="003725AE">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5050CA">
            <w:pPr>
              <w:pStyle w:val="ListBullet"/>
              <w:rPr>
                <w:lang w:val="en-NZ"/>
              </w:rPr>
            </w:pPr>
            <w:r w:rsidRPr="005050CA">
              <w:t>A</w:t>
            </w:r>
            <w:r w:rsidRPr="005050CA">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5050CA" w:rsidP="005050CA">
            <w:pPr>
              <w:pStyle w:val="ListBullet2"/>
            </w:pPr>
            <w:r w:rsidRPr="005050CA">
              <w:t>Implement Occupational Health and Safety workplace procedures and practices including the use of risk control measures as specified in the performance criteria and range statement</w:t>
            </w:r>
          </w:p>
          <w:p w:rsidR="00000000" w:rsidRPr="005050CA" w:rsidP="005050CA">
            <w:pPr>
              <w:pStyle w:val="ListBullet2"/>
            </w:pPr>
            <w:r w:rsidRPr="005050CA">
              <w:t>Apply sustainable energy principles and practices as specified in the perfor</w:t>
            </w:r>
            <w:r w:rsidRPr="005050CA">
              <w:t>mance criteria and range statement</w:t>
            </w:r>
          </w:p>
          <w:p w:rsidR="00000000" w:rsidRPr="005050CA" w:rsidP="005050CA">
            <w:pPr>
              <w:pStyle w:val="ListBullet2"/>
            </w:pPr>
            <w:r w:rsidRPr="005050CA">
              <w:t>Demonstrate an understanding of the essential knowledge and associated skills as described in this unit.  It may be required by some jurisdictions that RTOs provide a percentile graded result for the purpose of regulatory</w:t>
            </w:r>
            <w:r w:rsidRPr="005050CA">
              <w:t xml:space="preserve"> or licensing requirements.</w:t>
            </w:r>
          </w:p>
          <w:p w:rsidR="00000000" w:rsidRPr="005050CA" w:rsidP="005050CA">
            <w:pPr>
              <w:pStyle w:val="ListBullet2"/>
            </w:pPr>
            <w:r w:rsidRPr="005050CA">
              <w:t>Demonstrate an appropriate level of skills enabling employment</w:t>
            </w:r>
          </w:p>
          <w:p w:rsidR="00000000" w:rsidP="005050CA">
            <w:pPr>
              <w:pStyle w:val="ListBullet2"/>
              <w:rPr>
                <w:lang w:val="en-NZ"/>
              </w:rPr>
            </w:pPr>
            <w:r w:rsidRPr="005050CA">
              <w:t>Conduct work observing the relevant Anti Discrimination legislation, regulations, polices and workplace procedures</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5050CA">
            <w:pPr>
              <w:pStyle w:val="ListBullet"/>
              <w:rPr>
                <w:lang w:val="en-NZ"/>
              </w:rPr>
            </w:pPr>
            <w:r w:rsidRPr="005050CA">
              <w:t>Demonstrated consistent performance across a representative range of contexts from the prescribed items below:</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5050CA">
            <w:pPr>
              <w:pStyle w:val="ListBullet2"/>
              <w:rPr>
                <w:lang w:val="en-NZ"/>
              </w:rPr>
            </w:pPr>
            <w:r w:rsidRPr="005050CA">
              <w:t>Design secondary refrigeration systems as described in 8) and including:</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A</w:t>
            </w:r>
          </w:p>
        </w:tc>
        <w:tc>
          <w:tcPr>
            <w:tcW w:w="504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Understanding required operating functions and parameters from the design specification</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B</w:t>
            </w:r>
          </w:p>
        </w:tc>
        <w:tc>
          <w:tcPr>
            <w:tcW w:w="504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Developing the design within the safety, regulatory and functional requirements and budget limitations</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C</w:t>
            </w:r>
          </w:p>
        </w:tc>
        <w:tc>
          <w:tcPr>
            <w:tcW w:w="504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Documenting and presenting design effectively</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D</w:t>
            </w:r>
          </w:p>
        </w:tc>
        <w:tc>
          <w:tcPr>
            <w:tcW w:w="504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Successfully negotiating design alteration requests</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E</w:t>
            </w:r>
          </w:p>
        </w:tc>
        <w:tc>
          <w:tcPr>
            <w:tcW w:w="504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Obtaining approval for final design</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F</w:t>
            </w:r>
          </w:p>
        </w:tc>
        <w:tc>
          <w:tcPr>
            <w:tcW w:w="504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 xml:space="preserve">Dealing with unplanned events by drawing on essential knowledge and skills to provide appropriate solutions incorporated in a holistic assessment </w:t>
            </w:r>
            <w:r w:rsidRPr="005050CA">
              <w:t>with the above listed items</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9</w:t>
            </w:r>
            <w:r w:rsidRPr="005050CA">
              <w:t>.</w:t>
            </w:r>
            <w:r w:rsidRPr="005050CA">
              <w:rPr>
                <w:rStyle w:val="SpecialBold"/>
              </w:rPr>
              <w:t>3</w:t>
            </w:r>
            <w:r w:rsidRPr="005050CA">
              <w:t xml:space="preserve">) </w:t>
            </w:r>
          </w:p>
          <w:p w:rsidR="00000000" w:rsidRPr="005050CA" w:rsidP="005050CA">
            <w:pPr>
              <w:pStyle w:val="BodyText"/>
            </w:pPr>
            <w:r w:rsidRPr="005050CA">
              <w:t>This unit should be assessed as it relates to normal work practice using procedures, information and resources typical of a workplace. This should include:</w:t>
            </w:r>
          </w:p>
          <w:p w:rsidR="00000000" w:rsidRPr="005050CA" w:rsidP="005050CA">
            <w:pPr>
              <w:pStyle w:val="ListBullet"/>
            </w:pPr>
            <w:r w:rsidRPr="005050CA">
              <w:t xml:space="preserve">OHS policy and </w:t>
            </w:r>
            <w:r w:rsidRPr="005050CA">
              <w:t>work procedures and instructions.</w:t>
            </w:r>
          </w:p>
          <w:p w:rsidR="00000000" w:rsidRPr="005050CA" w:rsidP="005050CA">
            <w:pPr>
              <w:pStyle w:val="ListBullet"/>
            </w:pPr>
            <w:r w:rsidRPr="005050CA">
              <w:t>Suitable work environment, facilities, equipment and materials to undertake actual work as prescribed by this unit.</w:t>
            </w:r>
          </w:p>
          <w:p w:rsidR="00000000" w:rsidRPr="005050CA" w:rsidP="005050CA">
            <w:pPr>
              <w:pStyle w:val="BodyText"/>
            </w:pPr>
            <w:r w:rsidRPr="005050CA">
              <w:t>These should be part of the formal learning/assessment environment.</w:t>
            </w:r>
          </w:p>
          <w:p w:rsidR="00000000" w:rsidRPr="005050CA" w:rsidP="005050CA">
            <w:pPr>
              <w:pStyle w:val="BodyText"/>
            </w:pPr>
            <w:r w:rsidRPr="005050CA">
              <w:t>Note:</w:t>
            </w:r>
          </w:p>
          <w:p w:rsidR="00000000" w:rsidP="005050CA">
            <w:pPr>
              <w:pStyle w:val="BodyText"/>
              <w:rPr>
                <w:lang w:val="en-NZ"/>
              </w:rPr>
            </w:pPr>
            <w:r w:rsidRPr="005050CA">
              <w:t>Where simulation is considered a</w:t>
            </w:r>
            <w:r w:rsidRPr="005050CA">
              <w:t xml:space="preserve"> suitable strategy for assessment, conditions must be authentic and as far as possible reproduce and replicate the workplace and be consistent with the approved industry simulation policy.</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The resources used for assessment should reflect current industry practices in relation to designing secondary refrigeration systems.</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9</w:t>
            </w:r>
            <w:r w:rsidRPr="005050CA">
              <w:t>.</w:t>
            </w:r>
            <w:r w:rsidRPr="005050CA">
              <w:rPr>
                <w:rStyle w:val="SpecialBold"/>
              </w:rPr>
              <w:t>4</w:t>
            </w:r>
            <w:r w:rsidRPr="005050CA">
              <w:t xml:space="preserve">) </w:t>
            </w:r>
          </w:p>
          <w:p w:rsidR="00000000" w:rsidRPr="005050CA" w:rsidP="005050CA">
            <w:pPr>
              <w:pStyle w:val="BodyText"/>
            </w:pPr>
            <w:r w:rsidRPr="005050CA">
              <w:t>This unit shall be assessed by methods given in Volume 1, Part 3 'Assessment Guidelines'.</w:t>
            </w:r>
          </w:p>
          <w:p w:rsidR="00000000" w:rsidRPr="005050CA" w:rsidP="005050CA">
            <w:pPr>
              <w:pStyle w:val="BodyText"/>
            </w:pPr>
            <w:r w:rsidRPr="005050CA">
              <w:t>No</w:t>
            </w:r>
            <w:r w:rsidRPr="005050CA">
              <w:t xml:space="preserve">te: </w:t>
            </w:r>
          </w:p>
          <w:p w:rsidR="00000000" w:rsidP="005050CA">
            <w:pPr>
              <w:pStyle w:val="BodyText"/>
              <w:rPr>
                <w:lang w:val="en-NZ"/>
              </w:rPr>
            </w:pPr>
            <w:r w:rsidRPr="005050CA">
              <w:t xml:space="preserve">Competent performance with inherent safe working practices is expected in the Industry to which this unit applies. This requires assessment in a structured environment which is intended primarily for learning/assessment and incorporates all necessary </w:t>
            </w:r>
            <w:r w:rsidRPr="005050CA">
              <w:t>equipment and facilities for learners to develop and demonstrate the essential knowledge and skills described in this unit.</w:t>
            </w:r>
          </w:p>
        </w:tc>
      </w:tr>
      <w:tr w:rsidTr="003725AE">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9</w:t>
            </w:r>
            <w:r w:rsidRPr="005050CA">
              <w:t>.</w:t>
            </w:r>
            <w:r w:rsidRPr="005050CA">
              <w:rPr>
                <w:rStyle w:val="SpecialBold"/>
              </w:rPr>
              <w:t>5</w:t>
            </w:r>
            <w:r w:rsidRPr="005050CA">
              <w:t>)</w:t>
            </w:r>
          </w:p>
        </w:tc>
      </w:tr>
      <w:tr w:rsidTr="003725AE">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 xml:space="preserve">There are no concurrent assessment recommendations for this unit. </w:t>
            </w:r>
          </w:p>
        </w:tc>
      </w:tr>
      <w:tr w:rsidTr="003725AE">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t>The critical aspects of occupational health and safety covered in unit UEENEEE001B and other discipline specific occupational health and safety units shall be incorporated in relation t</w:t>
            </w:r>
            <w:r w:rsidRPr="005050CA">
              <w:t>o this unit..</w:t>
            </w:r>
          </w:p>
        </w:tc>
      </w:tr>
    </w:tbl>
    <w:p w:rsidR="003725AE" w:rsidP="005050CA">
      <w:pPr>
        <w:pStyle w:val="BodyText"/>
      </w:pPr>
    </w:p>
    <w:p w:rsidR="003725AE" w:rsidP="005050CA">
      <w:pPr>
        <w:pStyle w:val="BodyText"/>
      </w:pPr>
    </w:p>
    <w:p w:rsidR="00000000" w:rsidRPr="005050CA" w:rsidP="005050CA">
      <w:pPr>
        <w:pStyle w:val="Heading1"/>
      </w:pPr>
      <w:bookmarkStart w:id="11" w:name="O_710238"/>
      <w:bookmarkEnd w:id="11"/>
      <w:r w:rsidRPr="005050CA">
        <w:t>Range Statement</w:t>
      </w:r>
    </w:p>
    <w:tbl>
      <w:tblPr>
        <w:tblW w:w="0" w:type="auto"/>
        <w:tblLayout w:type="fixed"/>
        <w:tblCellMar>
          <w:left w:w="62" w:type="dxa"/>
          <w:right w:w="62" w:type="dxa"/>
        </w:tblCellMar>
        <w:tblLook w:val="0000"/>
      </w:tblPr>
      <w:tblGrid>
        <w:gridCol w:w="8460"/>
      </w:tblGrid>
      <w:tr w:rsidTr="003725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RANGE STATEMENT</w:t>
            </w:r>
          </w:p>
        </w:tc>
      </w:tr>
      <w:tr w:rsidTr="003725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8</w:t>
            </w:r>
            <w:r w:rsidRPr="005050CA">
              <w:t xml:space="preserve">) This relates to the unit as a whole providing the range of contexts and conditions to which the </w:t>
            </w:r>
            <w:r w:rsidRPr="005050CA">
              <w:t>performance criteria apply. It allows for different work environments and situations that will affect performance.</w:t>
            </w:r>
          </w:p>
        </w:tc>
      </w:tr>
      <w:tr w:rsidTr="003725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This unit must be demonstrated in relation to designing at least two different (2 multi-stage cascade or 2 liquid recirculation or 1 multi-stage and 1 liquid recirculation) secondary refrigeration systems encompassing major components (i.e. heat exchanger,</w:t>
            </w:r>
            <w:r w:rsidRPr="005050CA">
              <w:t xml:space="preserve"> condenser, compressor, accumulator, and pump), associated components and controls.</w:t>
            </w:r>
          </w:p>
        </w:tc>
      </w:tr>
      <w:tr w:rsidTr="003725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t>Generic terms used throughout this Vocational Standard shall be regarded as part of the Range Statement in which competency is demonstrated. The definition of these and ot</w:t>
            </w:r>
            <w:r w:rsidRPr="005050CA">
              <w:t>her terms that apply are given in Volume 2, Part 2.1.</w:t>
            </w:r>
          </w:p>
        </w:tc>
      </w:tr>
    </w:tbl>
    <w:p w:rsidR="003725AE" w:rsidP="005050CA">
      <w:pPr>
        <w:pStyle w:val="BodyText"/>
      </w:pPr>
    </w:p>
    <w:p w:rsidR="003725AE" w:rsidP="005050CA">
      <w:pPr>
        <w:pStyle w:val="BodyText"/>
      </w:pPr>
    </w:p>
    <w:p w:rsidR="00000000" w:rsidRPr="005050CA" w:rsidP="005050CA">
      <w:pPr>
        <w:pStyle w:val="Heading1"/>
      </w:pPr>
      <w:bookmarkStart w:id="12" w:name="O_710237"/>
      <w:bookmarkEnd w:id="12"/>
      <w:r w:rsidRPr="005050CA">
        <w:t>Unit Sector(s)</w:t>
      </w:r>
    </w:p>
    <w:p w:rsidR="00000000" w:rsidRPr="005050CA" w:rsidP="005050CA">
      <w:pPr>
        <w:pStyle w:val="BodyText"/>
      </w:pPr>
      <w:r w:rsidRPr="005050CA">
        <w:t>Not Applicable</w:t>
      </w:r>
    </w:p>
    <w:p w:rsidR="00000000" w:rsidRPr="005050CA" w:rsidP="005050CA">
      <w:pPr>
        <w:pStyle w:val="AllowPageBreak"/>
      </w:pPr>
    </w:p>
    <w:p w:rsidR="00000000" w:rsidRPr="005050CA" w:rsidP="005050CA">
      <w:pPr>
        <w:pStyle w:val="Heading1"/>
      </w:pPr>
      <w:bookmarkStart w:id="13" w:name="O_710236"/>
      <w:bookmarkEnd w:id="13"/>
      <w:r w:rsidRPr="005050CA">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3725A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2</w:t>
            </w:r>
            <w:r w:rsidRPr="005050CA">
              <w:t>.</w:t>
            </w:r>
            <w:r w:rsidRPr="005050CA">
              <w:rPr>
                <w:rStyle w:val="SpecialBold"/>
              </w:rPr>
              <w:t>2</w:t>
            </w:r>
            <w:r w:rsidRPr="005050CA">
              <w:t xml:space="preserve">) </w:t>
            </w:r>
            <w:r w:rsidRPr="005050CA">
              <w:rPr>
                <w:rStyle w:val="SpecialBold"/>
              </w:rPr>
              <w:t>Literacy and numeracy skills</w:t>
            </w:r>
          </w:p>
          <w:p w:rsidR="00000000" w:rsidP="005050CA">
            <w:pPr>
              <w:pStyle w:val="BodyText"/>
              <w:rPr>
                <w:lang w:val="en-NZ"/>
              </w:rPr>
            </w:pPr>
            <w:r w:rsidRPr="005050CA">
              <w:t>Participants are best equipped to achieve competency in this unit if they have readi</w:t>
            </w:r>
            <w:r w:rsidRPr="005050CA">
              <w:t>ng, writing and numeracy skills indicated by the following scales. Description of each scale is given in Volume 2, Part 3 'Literacy and Numeracy'</w:t>
            </w:r>
          </w:p>
        </w:tc>
      </w:tr>
      <w:tr w:rsidTr="003725AE">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Reading</w:t>
            </w:r>
          </w:p>
        </w:tc>
        <w:tc>
          <w:tcPr>
            <w:tcW w:w="1182"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5</w:t>
            </w:r>
          </w:p>
        </w:tc>
        <w:tc>
          <w:tcPr>
            <w:tcW w:w="1738"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Writing</w:t>
            </w:r>
          </w:p>
        </w:tc>
        <w:tc>
          <w:tcPr>
            <w:tcW w:w="1182"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5</w:t>
            </w:r>
          </w:p>
        </w:tc>
        <w:tc>
          <w:tcPr>
            <w:tcW w:w="1720"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t>Numeracy</w:t>
            </w:r>
          </w:p>
        </w:tc>
        <w:tc>
          <w:tcPr>
            <w:tcW w:w="1186"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t>5</w:t>
            </w:r>
          </w:p>
        </w:tc>
      </w:tr>
    </w:tbl>
    <w:p w:rsidR="003725AE" w:rsidP="005050CA">
      <w:pPr>
        <w:pStyle w:val="BodyText"/>
      </w:pPr>
    </w:p>
    <w:p w:rsidR="003725AE" w:rsidP="005050CA">
      <w:pPr>
        <w:pStyle w:val="BodyText"/>
      </w:pPr>
    </w:p>
    <w:p w:rsidR="00000000" w:rsidRPr="005050CA" w:rsidP="005050CA">
      <w:pPr>
        <w:pStyle w:val="Heading1"/>
      </w:pPr>
      <w:bookmarkStart w:id="14" w:name="O_710235"/>
      <w:bookmarkEnd w:id="14"/>
      <w:r w:rsidRPr="005050CA">
        <w:t>2.2) Literacy and numeracy skills</w:t>
      </w:r>
    </w:p>
    <w:tbl>
      <w:tblPr>
        <w:tblW w:w="0" w:type="auto"/>
        <w:tblLayout w:type="fixed"/>
        <w:tblCellMar>
          <w:left w:w="62" w:type="dxa"/>
          <w:right w:w="62" w:type="dxa"/>
        </w:tblCellMar>
        <w:tblLook w:val="0000"/>
      </w:tblPr>
      <w:tblGrid>
        <w:gridCol w:w="2697"/>
        <w:gridCol w:w="5763"/>
      </w:tblGrid>
      <w:tr w:rsidTr="003725AE">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5050CA">
            <w:pPr>
              <w:pStyle w:val="BodyText"/>
              <w:rPr>
                <w:lang w:val="en-NZ"/>
              </w:rPr>
            </w:pPr>
            <w:r w:rsidRPr="005050CA">
              <w:rPr>
                <w:rStyle w:val="SpecialBold"/>
              </w:rPr>
              <w:t>5</w:t>
            </w:r>
            <w:r w:rsidRPr="005050CA">
              <w:t>)</w:t>
            </w:r>
          </w:p>
        </w:tc>
      </w:tr>
      <w:tr w:rsidTr="003725AE">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5050CA" w:rsidP="005050CA">
            <w:pPr>
              <w:pStyle w:val="BodyText"/>
            </w:pPr>
            <w:r w:rsidRPr="005050CA">
              <w:t>Refrigeration and Air Conditioning</w:t>
            </w:r>
          </w:p>
        </w:tc>
      </w:tr>
    </w:tbl>
    <w:p w:rsidR="003725AE" w:rsidP="005050CA">
      <w:pPr>
        <w:pStyle w:val="BodyText"/>
      </w:pPr>
    </w:p>
    <w:p w:rsidR="003725AE" w:rsidP="005050CA">
      <w:pPr>
        <w:pStyle w:val="BodyText"/>
      </w:pPr>
    </w:p>
    <w:p w:rsidR="00000000" w:rsidRPr="005050CA" w:rsidP="005050CA"/>
    <w:sectPr w:rsidSect="005050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CA" w:rsidRPr="003725AE" w:rsidP="003725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5AE" w:rsidP="005050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725AE" w:rsidP="005050C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725AE" w:rsidP="005050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CA" w:rsidRPr="003725AE" w:rsidP="003725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5AE" w:rsidRPr="002D2AF8" w:rsidP="005050CA">
    <w:pPr>
      <w:pStyle w:val="Header"/>
      <w:framePr w:wrap="around"/>
    </w:pPr>
    <w:r>
      <w:fldChar w:fldCharType="begin"/>
    </w:r>
    <w:r>
      <w:instrText xml:space="preserve"> TITLE   \* MERGEFORMAT </w:instrText>
    </w:r>
    <w:r>
      <w:fldChar w:fldCharType="separate"/>
    </w:r>
    <w:r>
      <w:t>UEENEEJ183A Design secondary refrigerant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3725AE" w:rsidP="005050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1AD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081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B83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0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0CA"/>
    <w:pPr>
      <w:spacing w:before="360" w:after="60"/>
      <w:outlineLvl w:val="0"/>
    </w:pPr>
    <w:rPr>
      <w:sz w:val="32"/>
    </w:rPr>
  </w:style>
  <w:style w:type="paragraph" w:styleId="Heading2">
    <w:name w:val="heading 2"/>
    <w:basedOn w:val="HeadingBase"/>
    <w:next w:val="BodyText"/>
    <w:link w:val="Heading2Char"/>
    <w:qFormat/>
    <w:rsid w:val="005050CA"/>
    <w:pPr>
      <w:keepLines/>
      <w:spacing w:before="240" w:after="120"/>
      <w:outlineLvl w:val="1"/>
    </w:pPr>
    <w:rPr>
      <w:sz w:val="28"/>
      <w:szCs w:val="40"/>
    </w:rPr>
  </w:style>
  <w:style w:type="paragraph" w:styleId="Heading3">
    <w:name w:val="heading 3"/>
    <w:basedOn w:val="HeadingBase"/>
    <w:next w:val="BodyText"/>
    <w:link w:val="Heading3Char"/>
    <w:qFormat/>
    <w:rsid w:val="005050CA"/>
    <w:pPr>
      <w:spacing w:before="180" w:after="120"/>
      <w:outlineLvl w:val="2"/>
    </w:pPr>
    <w:rPr>
      <w:spacing w:val="-10"/>
      <w:kern w:val="32"/>
    </w:rPr>
  </w:style>
  <w:style w:type="paragraph" w:styleId="Heading4">
    <w:name w:val="heading 4"/>
    <w:basedOn w:val="HeadingBase"/>
    <w:next w:val="BodyText"/>
    <w:link w:val="Heading4Char"/>
    <w:qFormat/>
    <w:rsid w:val="005050CA"/>
    <w:pPr>
      <w:spacing w:before="160" w:after="120"/>
      <w:outlineLvl w:val="3"/>
    </w:pPr>
    <w:rPr>
      <w:sz w:val="22"/>
    </w:rPr>
  </w:style>
  <w:style w:type="paragraph" w:styleId="Heading5">
    <w:name w:val="heading 5"/>
    <w:basedOn w:val="HeadingBase"/>
    <w:next w:val="Normal"/>
    <w:link w:val="Heading5Char"/>
    <w:qFormat/>
    <w:rsid w:val="005050CA"/>
    <w:pPr>
      <w:spacing w:before="80"/>
      <w:outlineLvl w:val="4"/>
    </w:pPr>
    <w:rPr>
      <w:color w:val="918585"/>
      <w:sz w:val="20"/>
    </w:rPr>
  </w:style>
  <w:style w:type="paragraph" w:styleId="Heading6">
    <w:name w:val="heading 6"/>
    <w:basedOn w:val="HeadingBase"/>
    <w:next w:val="Normal"/>
    <w:link w:val="Heading6Char"/>
    <w:qFormat/>
    <w:rsid w:val="005050CA"/>
    <w:pPr>
      <w:spacing w:before="60"/>
      <w:outlineLvl w:val="5"/>
    </w:pPr>
    <w:rPr>
      <w:color w:val="918585"/>
      <w:sz w:val="20"/>
    </w:rPr>
  </w:style>
  <w:style w:type="paragraph" w:styleId="Heading7">
    <w:name w:val="heading 7"/>
    <w:basedOn w:val="Normal"/>
    <w:next w:val="Normal"/>
    <w:link w:val="Heading7Char"/>
    <w:qFormat/>
    <w:rsid w:val="005050CA"/>
    <w:pPr>
      <w:ind w:left="720"/>
      <w:outlineLvl w:val="6"/>
    </w:pPr>
    <w:rPr>
      <w:i/>
    </w:rPr>
  </w:style>
  <w:style w:type="paragraph" w:styleId="Heading8">
    <w:name w:val="heading 8"/>
    <w:basedOn w:val="Normal"/>
    <w:next w:val="Normal"/>
    <w:link w:val="Heading8Char"/>
    <w:qFormat/>
    <w:rsid w:val="005050CA"/>
    <w:pPr>
      <w:ind w:left="720"/>
      <w:outlineLvl w:val="7"/>
    </w:pPr>
    <w:rPr>
      <w:i/>
    </w:rPr>
  </w:style>
  <w:style w:type="paragraph" w:styleId="Heading9">
    <w:name w:val="heading 9"/>
    <w:basedOn w:val="Normal"/>
    <w:next w:val="Normal"/>
    <w:link w:val="Heading9Char"/>
    <w:qFormat/>
    <w:rsid w:val="005050CA"/>
    <w:pPr>
      <w:ind w:left="720"/>
      <w:outlineLvl w:val="8"/>
    </w:pPr>
    <w:rPr>
      <w:i/>
    </w:rPr>
  </w:style>
  <w:style w:type="character" w:default="1" w:styleId="DefaultParagraphFont">
    <w:name w:val="Default Paragraph Font"/>
    <w:uiPriority w:val="1"/>
    <w:unhideWhenUsed/>
    <w:rsid w:val="005050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0CA"/>
  </w:style>
  <w:style w:type="character" w:customStyle="1" w:styleId="Heading1Char">
    <w:name w:val="Heading 1 Char"/>
    <w:basedOn w:val="DefaultParagraphFont"/>
    <w:link w:val="Heading1"/>
    <w:rsid w:val="005050CA"/>
    <w:rPr>
      <w:rFonts w:ascii="Times New Roman" w:eastAsia="Times New Roman" w:hAnsi="Times New Roman" w:cs="Times New Roman"/>
      <w:b/>
      <w:sz w:val="32"/>
      <w:szCs w:val="20"/>
      <w:lang w:eastAsia="en-US"/>
    </w:rPr>
  </w:style>
  <w:style w:type="paragraph" w:styleId="BodyText">
    <w:name w:val="Body Text"/>
    <w:basedOn w:val="Normal"/>
    <w:link w:val="BodyTextChar"/>
    <w:rsid w:val="005050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50CA"/>
    <w:rPr>
      <w:rFonts w:ascii="Times New Roman" w:eastAsia="Times New Roman" w:hAnsi="Times New Roman" w:cs="Times New Roman"/>
      <w:sz w:val="24"/>
      <w:lang w:eastAsia="en-US"/>
    </w:rPr>
  </w:style>
  <w:style w:type="paragraph" w:styleId="ListBullet">
    <w:name w:val="List Bullet"/>
    <w:basedOn w:val="List"/>
    <w:rsid w:val="005050CA"/>
    <w:pPr>
      <w:numPr>
        <w:numId w:val="13"/>
      </w:numPr>
      <w:tabs>
        <w:tab w:val="clear" w:pos="340"/>
      </w:tabs>
      <w:spacing w:before="40" w:after="40"/>
    </w:pPr>
  </w:style>
  <w:style w:type="character" w:customStyle="1" w:styleId="SpecialBold">
    <w:name w:val="Special Bold"/>
    <w:basedOn w:val="DefaultParagraphFont"/>
    <w:rsid w:val="005050CA"/>
    <w:rPr>
      <w:b/>
      <w:spacing w:val="0"/>
    </w:rPr>
  </w:style>
  <w:style w:type="paragraph" w:styleId="ListBullet2">
    <w:name w:val="List Bullet 2"/>
    <w:basedOn w:val="List2"/>
    <w:rsid w:val="005050CA"/>
    <w:pPr>
      <w:numPr>
        <w:numId w:val="14"/>
      </w:numPr>
      <w:tabs>
        <w:tab w:val="clear" w:pos="680"/>
      </w:tabs>
    </w:pPr>
  </w:style>
  <w:style w:type="paragraph" w:customStyle="1" w:styleId="SuperHeading">
    <w:name w:val="SuperHeading"/>
    <w:basedOn w:val="Normal"/>
    <w:rsid w:val="005050CA"/>
    <w:pPr>
      <w:spacing w:before="240" w:after="120"/>
      <w:outlineLvl w:val="0"/>
    </w:pPr>
    <w:rPr>
      <w:rFonts w:ascii="Times New Roman" w:hAnsi="Times New Roman"/>
      <w:b/>
      <w:sz w:val="32"/>
    </w:rPr>
  </w:style>
  <w:style w:type="paragraph" w:customStyle="1" w:styleId="AllowPageBreak">
    <w:name w:val="AllowPageBreak"/>
    <w:rsid w:val="005050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50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0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0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0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0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0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0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0CA"/>
    <w:rPr>
      <w:rFonts w:ascii="Courier New" w:eastAsia="Times New Roman" w:hAnsi="Courier New" w:cs="Times New Roman"/>
      <w:i/>
      <w:szCs w:val="20"/>
      <w:lang w:eastAsia="en-US"/>
    </w:rPr>
  </w:style>
  <w:style w:type="paragraph" w:customStyle="1" w:styleId="HeadingBase">
    <w:name w:val="Heading Base"/>
    <w:rsid w:val="005050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0CA"/>
    <w:pPr>
      <w:tabs>
        <w:tab w:val="right" w:leader="dot" w:pos="9072"/>
      </w:tabs>
      <w:ind w:left="567"/>
    </w:pPr>
    <w:rPr>
      <w:szCs w:val="22"/>
    </w:rPr>
  </w:style>
  <w:style w:type="paragraph" w:customStyle="1" w:styleId="TOCBase">
    <w:name w:val="TOC Base"/>
    <w:rsid w:val="005050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0CA"/>
    <w:pPr>
      <w:tabs>
        <w:tab w:val="right" w:leader="dot" w:pos="9072"/>
      </w:tabs>
      <w:spacing w:before="40" w:after="40"/>
      <w:ind w:left="284"/>
    </w:pPr>
    <w:rPr>
      <w:rFonts w:ascii="Times New Roman" w:hAnsi="Times New Roman"/>
    </w:rPr>
  </w:style>
  <w:style w:type="paragraph" w:styleId="TOC1">
    <w:name w:val="toc 1"/>
    <w:basedOn w:val="TOCBase"/>
    <w:next w:val="Normal"/>
    <w:rsid w:val="005050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0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0CA"/>
    <w:rPr>
      <w:rFonts w:ascii="Times New Roman" w:eastAsia="Times New Roman" w:hAnsi="Times New Roman" w:cs="Times New Roman"/>
      <w:sz w:val="16"/>
      <w:lang w:eastAsia="en-US"/>
    </w:rPr>
  </w:style>
  <w:style w:type="paragraph" w:styleId="Title">
    <w:name w:val="Title"/>
    <w:basedOn w:val="HeadingBase"/>
    <w:link w:val="TitleChar"/>
    <w:qFormat/>
    <w:rsid w:val="005050CA"/>
    <w:pPr>
      <w:spacing w:before="5040"/>
      <w:jc w:val="center"/>
    </w:pPr>
    <w:rPr>
      <w:sz w:val="48"/>
      <w:szCs w:val="72"/>
      <w:lang w:val="en-US"/>
    </w:rPr>
  </w:style>
  <w:style w:type="character" w:customStyle="1" w:styleId="TitleChar">
    <w:name w:val="Title Char"/>
    <w:basedOn w:val="DefaultParagraphFont"/>
    <w:link w:val="Title"/>
    <w:rsid w:val="005050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0CA"/>
    <w:pPr>
      <w:tabs>
        <w:tab w:val="left" w:pos="3600"/>
        <w:tab w:val="left" w:pos="3958"/>
      </w:tabs>
    </w:pPr>
  </w:style>
  <w:style w:type="paragraph" w:styleId="List">
    <w:name w:val="List"/>
    <w:basedOn w:val="BodyText"/>
    <w:next w:val="BodyText"/>
    <w:rsid w:val="005050CA"/>
    <w:pPr>
      <w:tabs>
        <w:tab w:val="left" w:pos="340"/>
      </w:tabs>
      <w:spacing w:before="60" w:after="60"/>
      <w:ind w:left="340" w:hanging="340"/>
    </w:pPr>
  </w:style>
  <w:style w:type="paragraph" w:customStyle="1" w:styleId="Note">
    <w:name w:val="Note"/>
    <w:basedOn w:val="BodyText"/>
    <w:rsid w:val="005050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0CA"/>
    <w:pPr>
      <w:framePr w:wrap="auto" w:hAnchor="text" w:y="6049"/>
    </w:pPr>
    <w:rPr>
      <w:color w:val="000000"/>
      <w:sz w:val="40"/>
    </w:rPr>
  </w:style>
  <w:style w:type="paragraph" w:customStyle="1" w:styleId="TOCTitle">
    <w:name w:val="TOCTitle"/>
    <w:basedOn w:val="Heading1"/>
    <w:rsid w:val="005050CA"/>
    <w:pPr>
      <w:spacing w:after="240"/>
      <w:jc w:val="center"/>
      <w:outlineLvl w:val="9"/>
    </w:pPr>
    <w:rPr>
      <w:caps/>
    </w:rPr>
  </w:style>
  <w:style w:type="paragraph" w:customStyle="1" w:styleId="Version">
    <w:name w:val="Version"/>
    <w:rsid w:val="005050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0CA"/>
    <w:pPr>
      <w:keepNext w:val="0"/>
      <w:tabs>
        <w:tab w:val="right" w:pos="4176"/>
      </w:tabs>
      <w:ind w:left="198" w:hanging="198"/>
    </w:pPr>
    <w:rPr>
      <w:rFonts w:ascii="Garamond" w:hAnsi="Garamond"/>
    </w:rPr>
  </w:style>
  <w:style w:type="paragraph" w:styleId="IndexHeading">
    <w:name w:val="index heading"/>
    <w:basedOn w:val="Normal"/>
    <w:next w:val="Index1"/>
    <w:semiHidden/>
    <w:rsid w:val="005050CA"/>
    <w:pPr>
      <w:spacing w:before="120" w:after="120"/>
    </w:pPr>
    <w:rPr>
      <w:rFonts w:ascii="Arial" w:hAnsi="Arial"/>
      <w:b/>
      <w:color w:val="918585"/>
      <w:sz w:val="24"/>
    </w:rPr>
  </w:style>
  <w:style w:type="paragraph" w:styleId="Header">
    <w:name w:val="header"/>
    <w:basedOn w:val="Normal"/>
    <w:link w:val="HeaderChar"/>
    <w:rsid w:val="005050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0CA"/>
    <w:rPr>
      <w:rFonts w:ascii="Times New Roman" w:eastAsia="Times New Roman" w:hAnsi="Times New Roman" w:cs="Times New Roman"/>
      <w:sz w:val="16"/>
      <w:szCs w:val="20"/>
      <w:lang w:val="en-GB" w:eastAsia="en-US"/>
    </w:rPr>
  </w:style>
  <w:style w:type="paragraph" w:customStyle="1" w:styleId="Chapter">
    <w:name w:val="Chapter"/>
    <w:basedOn w:val="Normal"/>
    <w:rsid w:val="005050CA"/>
    <w:pPr>
      <w:spacing w:before="240"/>
    </w:pPr>
    <w:rPr>
      <w:rFonts w:ascii="Times New Roman" w:hAnsi="Times New Roman"/>
      <w:smallCaps/>
      <w:spacing w:val="80"/>
      <w:sz w:val="28"/>
    </w:rPr>
  </w:style>
  <w:style w:type="paragraph" w:customStyle="1" w:styleId="InChapter">
    <w:name w:val="InChapter"/>
    <w:basedOn w:val="Heading3"/>
    <w:rsid w:val="005050CA"/>
    <w:pPr>
      <w:spacing w:after="240"/>
      <w:outlineLvl w:val="9"/>
    </w:pPr>
    <w:rPr>
      <w:noProof/>
    </w:rPr>
  </w:style>
  <w:style w:type="paragraph" w:styleId="Index2">
    <w:name w:val="index 2"/>
    <w:basedOn w:val="Normal"/>
    <w:next w:val="Normal"/>
    <w:semiHidden/>
    <w:rsid w:val="005050CA"/>
    <w:pPr>
      <w:tabs>
        <w:tab w:val="right" w:pos="4176"/>
      </w:tabs>
      <w:ind w:left="568" w:hanging="284"/>
    </w:pPr>
    <w:rPr>
      <w:rFonts w:ascii="Garamond" w:hAnsi="Garamond"/>
    </w:rPr>
  </w:style>
  <w:style w:type="paragraph" w:customStyle="1" w:styleId="Byline">
    <w:name w:val="Byline"/>
    <w:rsid w:val="005050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0CA"/>
    <w:pPr>
      <w:tabs>
        <w:tab w:val="clear" w:pos="3600"/>
        <w:tab w:val="clear" w:pos="3958"/>
      </w:tabs>
      <w:jc w:val="right"/>
    </w:pPr>
  </w:style>
  <w:style w:type="character" w:styleId="Emphasis">
    <w:name w:val="Emphasis"/>
    <w:basedOn w:val="DefaultParagraphFont"/>
    <w:qFormat/>
    <w:rsid w:val="005050CA"/>
    <w:rPr>
      <w:i/>
    </w:rPr>
  </w:style>
  <w:style w:type="paragraph" w:styleId="Caption">
    <w:name w:val="caption"/>
    <w:basedOn w:val="BodyText"/>
    <w:next w:val="Normal"/>
    <w:qFormat/>
    <w:rsid w:val="005050CA"/>
    <w:pPr>
      <w:framePr w:w="2268" w:hSpace="181" w:vSpace="181" w:wrap="around" w:vAnchor="text" w:hAnchor="page" w:x="1135" w:y="285" w:anchorLock="1"/>
    </w:pPr>
    <w:rPr>
      <w:i/>
    </w:rPr>
  </w:style>
  <w:style w:type="paragraph" w:customStyle="1" w:styleId="MiniTOCTitle">
    <w:name w:val="MiniTOCTitle"/>
    <w:basedOn w:val="Heading4"/>
    <w:rsid w:val="005050CA"/>
    <w:pPr>
      <w:spacing w:before="240"/>
      <w:outlineLvl w:val="9"/>
    </w:pPr>
    <w:rPr>
      <w:noProof/>
      <w:sz w:val="24"/>
    </w:rPr>
  </w:style>
  <w:style w:type="paragraph" w:customStyle="1" w:styleId="MiniTOCItem">
    <w:name w:val="MiniTOCItem"/>
    <w:basedOn w:val="ListBullet"/>
    <w:rsid w:val="005050CA"/>
    <w:pPr>
      <w:numPr>
        <w:numId w:val="0"/>
      </w:numPr>
      <w:tabs>
        <w:tab w:val="right" w:leader="dot" w:pos="6521"/>
      </w:tabs>
      <w:spacing w:before="0" w:after="0"/>
    </w:pPr>
  </w:style>
  <w:style w:type="paragraph" w:customStyle="1" w:styleId="TOFTitle">
    <w:name w:val="TOFTitle"/>
    <w:basedOn w:val="TOCTitle"/>
    <w:rsid w:val="005050CA"/>
  </w:style>
  <w:style w:type="paragraph" w:styleId="TableofFigures">
    <w:name w:val="table of figures"/>
    <w:basedOn w:val="Normal"/>
    <w:next w:val="Normal"/>
    <w:semiHidden/>
    <w:rsid w:val="005050CA"/>
    <w:pPr>
      <w:tabs>
        <w:tab w:val="right" w:leader="dot" w:pos="9072"/>
      </w:tabs>
      <w:ind w:left="970" w:hanging="403"/>
    </w:pPr>
    <w:rPr>
      <w:rFonts w:ascii="Times New Roman" w:hAnsi="Times New Roman"/>
      <w:b/>
    </w:rPr>
  </w:style>
  <w:style w:type="paragraph" w:styleId="ListNumber">
    <w:name w:val="List Number"/>
    <w:basedOn w:val="List"/>
    <w:rsid w:val="005050CA"/>
    <w:pPr>
      <w:numPr>
        <w:numId w:val="11"/>
      </w:numPr>
    </w:pPr>
  </w:style>
  <w:style w:type="character" w:customStyle="1" w:styleId="WingdingSymbols">
    <w:name w:val="Wingding Symbols"/>
    <w:rsid w:val="005050CA"/>
    <w:rPr>
      <w:rFonts w:ascii="Wingdings" w:hAnsi="Wingdings"/>
    </w:rPr>
  </w:style>
  <w:style w:type="paragraph" w:customStyle="1" w:styleId="TableHeading">
    <w:name w:val="Table Heading"/>
    <w:basedOn w:val="HeadingBase"/>
    <w:rsid w:val="005050CA"/>
    <w:pPr>
      <w:keepLines/>
      <w:pBdr>
        <w:bottom w:val="single" w:sz="6" w:space="1" w:color="918585"/>
      </w:pBdr>
      <w:spacing w:before="240"/>
    </w:pPr>
  </w:style>
  <w:style w:type="character" w:customStyle="1" w:styleId="HotSpot">
    <w:name w:val="HotSpot"/>
    <w:rsid w:val="005050CA"/>
    <w:rPr>
      <w:color w:val="0033CC"/>
      <w:u w:val="none"/>
    </w:rPr>
  </w:style>
  <w:style w:type="paragraph" w:customStyle="1" w:styleId="BodyTextRight">
    <w:name w:val="Body Text Right"/>
    <w:basedOn w:val="BodyText"/>
    <w:rsid w:val="005050CA"/>
    <w:pPr>
      <w:spacing w:before="0" w:after="0"/>
      <w:jc w:val="right"/>
    </w:pPr>
  </w:style>
  <w:style w:type="paragraph" w:styleId="Index3">
    <w:name w:val="index 3"/>
    <w:basedOn w:val="ListNumber2"/>
    <w:next w:val="Normal"/>
    <w:semiHidden/>
    <w:rsid w:val="005050CA"/>
    <w:pPr>
      <w:numPr>
        <w:numId w:val="0"/>
      </w:numPr>
      <w:tabs>
        <w:tab w:val="right" w:leader="dot" w:pos="4176"/>
      </w:tabs>
    </w:pPr>
  </w:style>
  <w:style w:type="paragraph" w:styleId="ListNumber2">
    <w:name w:val="List Number 2"/>
    <w:basedOn w:val="List2"/>
    <w:rsid w:val="005050CA"/>
    <w:pPr>
      <w:numPr>
        <w:numId w:val="10"/>
      </w:numPr>
      <w:tabs>
        <w:tab w:val="clear" w:pos="1060"/>
      </w:tabs>
    </w:pPr>
  </w:style>
  <w:style w:type="paragraph" w:customStyle="1" w:styleId="MarginNote">
    <w:name w:val="Margin Note"/>
    <w:basedOn w:val="BodyText"/>
    <w:rsid w:val="005050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0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0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0CA"/>
    <w:rPr>
      <w:sz w:val="32"/>
    </w:rPr>
  </w:style>
  <w:style w:type="paragraph" w:customStyle="1" w:styleId="HeadingProcedure">
    <w:name w:val="Heading Procedure"/>
    <w:basedOn w:val="HeadingBase"/>
    <w:next w:val="Normal"/>
    <w:rsid w:val="005050CA"/>
    <w:pPr>
      <w:tabs>
        <w:tab w:val="left" w:pos="0"/>
      </w:tabs>
      <w:spacing w:before="120" w:after="60"/>
    </w:pPr>
    <w:rPr>
      <w:i/>
      <w:color w:val="918585"/>
      <w:sz w:val="22"/>
    </w:rPr>
  </w:style>
  <w:style w:type="paragraph" w:customStyle="1" w:styleId="TableBodyText">
    <w:name w:val="Table Body Text"/>
    <w:basedOn w:val="BodyText"/>
    <w:rsid w:val="005050CA"/>
    <w:pPr>
      <w:spacing w:before="60" w:after="60"/>
    </w:pPr>
  </w:style>
  <w:style w:type="paragraph" w:styleId="ListContinue">
    <w:name w:val="List Continue"/>
    <w:basedOn w:val="List"/>
    <w:rsid w:val="005050CA"/>
    <w:pPr>
      <w:ind w:firstLine="0"/>
    </w:pPr>
  </w:style>
  <w:style w:type="paragraph" w:customStyle="1" w:styleId="ListNote">
    <w:name w:val="List Note"/>
    <w:basedOn w:val="List"/>
    <w:rsid w:val="005050CA"/>
    <w:pPr>
      <w:pBdr>
        <w:top w:val="single" w:sz="6" w:space="2" w:color="918585"/>
        <w:bottom w:val="single" w:sz="6" w:space="2" w:color="918585"/>
      </w:pBdr>
      <w:tabs>
        <w:tab w:val="left" w:pos="1021"/>
      </w:tabs>
      <w:ind w:firstLine="0"/>
    </w:pPr>
  </w:style>
  <w:style w:type="paragraph" w:customStyle="1" w:styleId="Warning">
    <w:name w:val="Warning"/>
    <w:basedOn w:val="BodyText"/>
    <w:rsid w:val="005050CA"/>
    <w:pPr>
      <w:shd w:val="clear" w:color="auto" w:fill="D9D9D9"/>
      <w:tabs>
        <w:tab w:val="left" w:pos="992"/>
      </w:tabs>
      <w:ind w:left="119" w:right="119"/>
    </w:pPr>
    <w:rPr>
      <w:sz w:val="20"/>
    </w:rPr>
  </w:style>
  <w:style w:type="paragraph" w:customStyle="1" w:styleId="MarginIcons">
    <w:name w:val="Margin Icons"/>
    <w:basedOn w:val="BodyText"/>
    <w:rsid w:val="005050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0CA"/>
    <w:rPr>
      <w:rFonts w:ascii="Courier New" w:hAnsi="Courier New"/>
    </w:rPr>
  </w:style>
  <w:style w:type="paragraph" w:customStyle="1" w:styleId="NoteBullet">
    <w:name w:val="Note Bullet"/>
    <w:basedOn w:val="Note"/>
    <w:rsid w:val="005050CA"/>
    <w:pPr>
      <w:tabs>
        <w:tab w:val="clear" w:pos="680"/>
      </w:tabs>
      <w:spacing w:before="60" w:after="60"/>
    </w:pPr>
  </w:style>
  <w:style w:type="paragraph" w:customStyle="1" w:styleId="SubHeading2">
    <w:name w:val="SubHeading2"/>
    <w:basedOn w:val="HeadingBase"/>
    <w:rsid w:val="005050CA"/>
    <w:pPr>
      <w:spacing w:before="240" w:after="60"/>
    </w:pPr>
    <w:rPr>
      <w:sz w:val="20"/>
    </w:rPr>
  </w:style>
  <w:style w:type="paragraph" w:customStyle="1" w:styleId="SubHeading1">
    <w:name w:val="SubHeading1"/>
    <w:basedOn w:val="HeadingBase"/>
    <w:rsid w:val="005050CA"/>
    <w:pPr>
      <w:spacing w:before="240" w:after="60"/>
    </w:pPr>
    <w:rPr>
      <w:color w:val="918585"/>
      <w:sz w:val="22"/>
    </w:rPr>
  </w:style>
  <w:style w:type="paragraph" w:customStyle="1" w:styleId="SideHeading">
    <w:name w:val="Side Heading"/>
    <w:basedOn w:val="HeadingBase"/>
    <w:rsid w:val="005050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0CA"/>
    <w:pPr>
      <w:numPr>
        <w:numId w:val="12"/>
      </w:numPr>
    </w:pPr>
  </w:style>
  <w:style w:type="paragraph" w:styleId="PlainText">
    <w:name w:val="Plain Text"/>
    <w:basedOn w:val="Normal"/>
    <w:link w:val="PlainTextChar"/>
    <w:rsid w:val="005050CA"/>
    <w:rPr>
      <w:sz w:val="20"/>
    </w:rPr>
  </w:style>
  <w:style w:type="character" w:customStyle="1" w:styleId="PlainTextChar">
    <w:name w:val="Plain Text Char"/>
    <w:basedOn w:val="DefaultParagraphFont"/>
    <w:link w:val="PlainText"/>
    <w:rsid w:val="005050CA"/>
    <w:rPr>
      <w:rFonts w:ascii="Courier New" w:eastAsia="Times New Roman" w:hAnsi="Courier New" w:cs="Times New Roman"/>
      <w:sz w:val="20"/>
      <w:szCs w:val="20"/>
      <w:lang w:eastAsia="en-US"/>
    </w:rPr>
  </w:style>
  <w:style w:type="character" w:customStyle="1" w:styleId="MenuOption">
    <w:name w:val="Menu Option"/>
    <w:basedOn w:val="DefaultParagraphFont"/>
    <w:rsid w:val="005050CA"/>
    <w:rPr>
      <w:b/>
      <w:smallCaps/>
    </w:rPr>
  </w:style>
  <w:style w:type="paragraph" w:customStyle="1" w:styleId="TableListNumber">
    <w:name w:val="Table List Number"/>
    <w:basedOn w:val="ListNumber"/>
    <w:rsid w:val="005050CA"/>
    <w:pPr>
      <w:numPr>
        <w:numId w:val="0"/>
      </w:numPr>
    </w:pPr>
  </w:style>
  <w:style w:type="paragraph" w:styleId="TOC4">
    <w:name w:val="toc 4"/>
    <w:basedOn w:val="TOCBase"/>
    <w:next w:val="Normal"/>
    <w:semiHidden/>
    <w:rsid w:val="005050CA"/>
    <w:pPr>
      <w:tabs>
        <w:tab w:val="right" w:leader="dot" w:pos="9071"/>
      </w:tabs>
      <w:ind w:left="1701"/>
    </w:pPr>
  </w:style>
  <w:style w:type="paragraph" w:customStyle="1" w:styleId="ListAlpha">
    <w:name w:val="List Alpha"/>
    <w:basedOn w:val="List"/>
    <w:rsid w:val="005050CA"/>
    <w:pPr>
      <w:numPr>
        <w:numId w:val="9"/>
      </w:numPr>
    </w:pPr>
  </w:style>
  <w:style w:type="paragraph" w:customStyle="1" w:styleId="ListAlpha2">
    <w:name w:val="List Alpha 2"/>
    <w:basedOn w:val="List2"/>
    <w:rsid w:val="005050CA"/>
    <w:pPr>
      <w:numPr>
        <w:numId w:val="8"/>
      </w:numPr>
    </w:pPr>
  </w:style>
  <w:style w:type="paragraph" w:styleId="List2">
    <w:name w:val="List 2"/>
    <w:basedOn w:val="BodyText"/>
    <w:rsid w:val="005050CA"/>
    <w:pPr>
      <w:tabs>
        <w:tab w:val="left" w:pos="680"/>
      </w:tabs>
      <w:spacing w:before="60" w:after="60"/>
      <w:ind w:left="680" w:hanging="340"/>
    </w:pPr>
  </w:style>
  <w:style w:type="paragraph" w:styleId="List3">
    <w:name w:val="List 3"/>
    <w:basedOn w:val="BodyText"/>
    <w:rsid w:val="005050CA"/>
    <w:pPr>
      <w:tabs>
        <w:tab w:val="left" w:pos="1021"/>
      </w:tabs>
      <w:spacing w:before="60" w:after="60"/>
      <w:ind w:left="1020" w:hanging="340"/>
    </w:pPr>
  </w:style>
  <w:style w:type="paragraph" w:styleId="List4">
    <w:name w:val="List 4"/>
    <w:basedOn w:val="BodyText"/>
    <w:rsid w:val="005050CA"/>
    <w:pPr>
      <w:tabs>
        <w:tab w:val="left" w:pos="1361"/>
      </w:tabs>
      <w:spacing w:before="60" w:after="60"/>
      <w:ind w:left="1361" w:hanging="340"/>
    </w:pPr>
  </w:style>
  <w:style w:type="paragraph" w:styleId="List5">
    <w:name w:val="List 5"/>
    <w:basedOn w:val="BodyText"/>
    <w:rsid w:val="005050CA"/>
    <w:pPr>
      <w:tabs>
        <w:tab w:val="left" w:pos="1701"/>
      </w:tabs>
      <w:spacing w:before="60" w:after="60"/>
      <w:ind w:left="1701" w:hanging="340"/>
    </w:pPr>
  </w:style>
  <w:style w:type="paragraph" w:styleId="ListBullet3">
    <w:name w:val="List Bullet 3"/>
    <w:basedOn w:val="List3"/>
    <w:rsid w:val="005050CA"/>
    <w:pPr>
      <w:numPr>
        <w:numId w:val="15"/>
      </w:numPr>
      <w:tabs>
        <w:tab w:val="clear" w:pos="1021"/>
      </w:tabs>
      <w:ind w:left="1037" w:hanging="357"/>
    </w:pPr>
  </w:style>
  <w:style w:type="paragraph" w:styleId="ListBullet4">
    <w:name w:val="List Bullet 4"/>
    <w:basedOn w:val="List4"/>
    <w:rsid w:val="005050CA"/>
    <w:pPr>
      <w:numPr>
        <w:numId w:val="3"/>
      </w:numPr>
      <w:tabs>
        <w:tab w:val="clear" w:pos="1361"/>
      </w:tabs>
    </w:pPr>
  </w:style>
  <w:style w:type="paragraph" w:styleId="ListBullet5">
    <w:name w:val="List Bullet 5"/>
    <w:basedOn w:val="List5"/>
    <w:rsid w:val="005050CA"/>
    <w:pPr>
      <w:numPr>
        <w:numId w:val="4"/>
      </w:numPr>
    </w:pPr>
  </w:style>
  <w:style w:type="paragraph" w:styleId="ListContinue2">
    <w:name w:val="List Continue 2"/>
    <w:basedOn w:val="List2"/>
    <w:rsid w:val="005050CA"/>
    <w:pPr>
      <w:ind w:firstLine="0"/>
    </w:pPr>
  </w:style>
  <w:style w:type="paragraph" w:styleId="ListContinue3">
    <w:name w:val="List Continue 3"/>
    <w:basedOn w:val="List3"/>
    <w:rsid w:val="005050CA"/>
    <w:pPr>
      <w:ind w:left="1021" w:firstLine="0"/>
    </w:pPr>
  </w:style>
  <w:style w:type="paragraph" w:styleId="ListContinue4">
    <w:name w:val="List Continue 4"/>
    <w:basedOn w:val="List4"/>
    <w:rsid w:val="005050CA"/>
    <w:pPr>
      <w:ind w:firstLine="0"/>
    </w:pPr>
  </w:style>
  <w:style w:type="paragraph" w:styleId="ListContinue5">
    <w:name w:val="List Continue 5"/>
    <w:basedOn w:val="List5"/>
    <w:rsid w:val="005050CA"/>
    <w:pPr>
      <w:ind w:firstLine="0"/>
    </w:pPr>
  </w:style>
  <w:style w:type="paragraph" w:styleId="ListNumber3">
    <w:name w:val="List Number 3"/>
    <w:basedOn w:val="List3"/>
    <w:rsid w:val="005050CA"/>
    <w:pPr>
      <w:numPr>
        <w:numId w:val="5"/>
      </w:numPr>
    </w:pPr>
  </w:style>
  <w:style w:type="paragraph" w:styleId="ListNumber4">
    <w:name w:val="List Number 4"/>
    <w:basedOn w:val="List4"/>
    <w:rsid w:val="005050CA"/>
    <w:pPr>
      <w:numPr>
        <w:numId w:val="6"/>
      </w:numPr>
    </w:pPr>
  </w:style>
  <w:style w:type="paragraph" w:styleId="ListNumber5">
    <w:name w:val="List Number 5"/>
    <w:basedOn w:val="List5"/>
    <w:rsid w:val="005050CA"/>
    <w:pPr>
      <w:numPr>
        <w:numId w:val="7"/>
      </w:numPr>
    </w:pPr>
  </w:style>
  <w:style w:type="paragraph" w:styleId="BlockText">
    <w:name w:val="Block Text"/>
    <w:basedOn w:val="Normal"/>
    <w:rsid w:val="005050CA"/>
    <w:pPr>
      <w:spacing w:after="120"/>
      <w:ind w:left="1440" w:right="1440"/>
    </w:pPr>
  </w:style>
  <w:style w:type="character" w:customStyle="1" w:styleId="Subscript">
    <w:name w:val="Subscript"/>
    <w:basedOn w:val="DefaultParagraphFont"/>
    <w:rsid w:val="005050CA"/>
    <w:rPr>
      <w:sz w:val="16"/>
      <w:vertAlign w:val="subscript"/>
    </w:rPr>
  </w:style>
  <w:style w:type="character" w:customStyle="1" w:styleId="Superscript">
    <w:name w:val="Superscript"/>
    <w:basedOn w:val="DefaultParagraphFont"/>
    <w:rsid w:val="005050CA"/>
    <w:rPr>
      <w:sz w:val="16"/>
      <w:vertAlign w:val="superscript"/>
    </w:rPr>
  </w:style>
  <w:style w:type="character" w:customStyle="1" w:styleId="Symbols">
    <w:name w:val="Symbols"/>
    <w:basedOn w:val="DefaultParagraphFont"/>
    <w:rsid w:val="005050CA"/>
    <w:rPr>
      <w:rFonts w:ascii="Symbol" w:hAnsi="Symbol"/>
    </w:rPr>
  </w:style>
  <w:style w:type="character" w:customStyle="1" w:styleId="MenuOptions">
    <w:name w:val="Menu Options"/>
    <w:basedOn w:val="DefaultParagraphFont"/>
    <w:rsid w:val="005050CA"/>
    <w:rPr>
      <w:rFonts w:ascii="Arial Narrow" w:hAnsi="Arial Narrow"/>
      <w:smallCaps/>
    </w:rPr>
  </w:style>
  <w:style w:type="character" w:customStyle="1" w:styleId="Buttons">
    <w:name w:val="Buttons"/>
    <w:basedOn w:val="DefaultParagraphFont"/>
    <w:rsid w:val="005050CA"/>
    <w:rPr>
      <w:b/>
    </w:rPr>
  </w:style>
  <w:style w:type="character" w:customStyle="1" w:styleId="Underlined">
    <w:name w:val="Underlined"/>
    <w:basedOn w:val="DefaultParagraphFont"/>
    <w:rsid w:val="005050CA"/>
    <w:rPr>
      <w:u w:val="single"/>
    </w:rPr>
  </w:style>
  <w:style w:type="paragraph" w:customStyle="1" w:styleId="TableBodyTextRight">
    <w:name w:val="Table Body Text Right"/>
    <w:basedOn w:val="TableBodyText"/>
    <w:rsid w:val="005050CA"/>
    <w:pPr>
      <w:widowControl w:val="0"/>
      <w:autoSpaceDE w:val="0"/>
      <w:autoSpaceDN w:val="0"/>
      <w:adjustRightInd w:val="0"/>
      <w:jc w:val="right"/>
    </w:pPr>
    <w:rPr>
      <w:rFonts w:cs="Arial"/>
      <w:szCs w:val="18"/>
    </w:rPr>
  </w:style>
  <w:style w:type="paragraph" w:customStyle="1" w:styleId="CopyrightText">
    <w:name w:val="Copyright Text"/>
    <w:basedOn w:val="BodyText"/>
    <w:rsid w:val="005050CA"/>
    <w:rPr>
      <w:sz w:val="18"/>
    </w:rPr>
  </w:style>
  <w:style w:type="paragraph" w:customStyle="1" w:styleId="BodySmallRight">
    <w:name w:val="Body Small Right"/>
    <w:basedOn w:val="BodyTextRight"/>
    <w:rsid w:val="005050CA"/>
    <w:rPr>
      <w:sz w:val="18"/>
      <w:szCs w:val="18"/>
    </w:rPr>
  </w:style>
  <w:style w:type="paragraph" w:customStyle="1" w:styleId="MarginEdition">
    <w:name w:val="Margin Edition"/>
    <w:basedOn w:val="MarginNote"/>
    <w:rsid w:val="005050CA"/>
    <w:pPr>
      <w:spacing w:before="0" w:after="0"/>
    </w:pPr>
    <w:rPr>
      <w:rFonts w:ascii="Times New Roman" w:hAnsi="Times New Roman"/>
      <w:color w:val="999999"/>
    </w:rPr>
  </w:style>
  <w:style w:type="paragraph" w:customStyle="1" w:styleId="Spacer">
    <w:name w:val="Spacer"/>
    <w:basedOn w:val="Normal"/>
    <w:rsid w:val="005050CA"/>
    <w:rPr>
      <w:sz w:val="2"/>
      <w:szCs w:val="2"/>
    </w:rPr>
  </w:style>
  <w:style w:type="character" w:customStyle="1" w:styleId="Small">
    <w:name w:val="Small"/>
    <w:basedOn w:val="DefaultParagraphFont"/>
    <w:rsid w:val="005050CA"/>
    <w:rPr>
      <w:sz w:val="16"/>
    </w:rPr>
  </w:style>
  <w:style w:type="paragraph" w:customStyle="1" w:styleId="WideTable">
    <w:name w:val="Wide Table"/>
    <w:basedOn w:val="Normal"/>
    <w:rsid w:val="005050CA"/>
    <w:pPr>
      <w:ind w:left="-1418"/>
    </w:pPr>
    <w:rPr>
      <w:sz w:val="2"/>
      <w:szCs w:val="2"/>
    </w:rPr>
  </w:style>
  <w:style w:type="character" w:styleId="PageNumber">
    <w:name w:val="page number"/>
    <w:basedOn w:val="DefaultParagraphFont"/>
    <w:rsid w:val="005050CA"/>
  </w:style>
  <w:style w:type="paragraph" w:styleId="Quote">
    <w:name w:val="Quote"/>
    <w:basedOn w:val="Heading1"/>
    <w:link w:val="QuoteChar"/>
    <w:qFormat/>
    <w:rsid w:val="005050CA"/>
    <w:rPr>
      <w:b w:val="0"/>
      <w:sz w:val="72"/>
      <w:szCs w:val="72"/>
      <w:lang w:val="en-NZ"/>
    </w:rPr>
  </w:style>
  <w:style w:type="character" w:customStyle="1" w:styleId="QuoteChar">
    <w:name w:val="Quote Char"/>
    <w:basedOn w:val="DefaultParagraphFont"/>
    <w:link w:val="Quote"/>
    <w:rsid w:val="005050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0CA"/>
    <w:pPr>
      <w:pageBreakBefore/>
    </w:pPr>
  </w:style>
  <w:style w:type="paragraph" w:customStyle="1" w:styleId="Border">
    <w:name w:val="Border"/>
    <w:basedOn w:val="Normal"/>
    <w:qFormat/>
    <w:rsid w:val="005050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0CA"/>
    <w:rPr>
      <w:b/>
      <w:bCs/>
      <w:i/>
      <w:iCs/>
      <w:color w:val="auto"/>
    </w:rPr>
  </w:style>
  <w:style w:type="paragraph" w:styleId="IntenseQuote">
    <w:name w:val="Intense Quote"/>
    <w:basedOn w:val="Normal"/>
    <w:next w:val="Normal"/>
    <w:link w:val="IntenseQuoteChar"/>
    <w:uiPriority w:val="30"/>
    <w:qFormat/>
    <w:rsid w:val="005050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0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0CA"/>
    <w:rPr>
      <w:smallCaps/>
      <w:color w:val="auto"/>
      <w:u w:val="single"/>
    </w:rPr>
  </w:style>
  <w:style w:type="character" w:styleId="IntenseReference">
    <w:name w:val="Intense Reference"/>
    <w:basedOn w:val="DefaultParagraphFont"/>
    <w:uiPriority w:val="32"/>
    <w:qFormat/>
    <w:rsid w:val="005050CA"/>
    <w:rPr>
      <w:b/>
      <w:bCs/>
      <w:smallCaps/>
      <w:color w:val="auto"/>
      <w:spacing w:val="5"/>
      <w:u w:val="single"/>
    </w:rPr>
  </w:style>
  <w:style w:type="paragraph" w:customStyle="1" w:styleId="2ColumnHeading">
    <w:name w:val="2Column Heading"/>
    <w:basedOn w:val="BodyText"/>
    <w:qFormat/>
    <w:rsid w:val="005050CA"/>
    <w:pPr>
      <w:spacing w:after="60"/>
      <w:ind w:left="-2268"/>
    </w:pPr>
    <w:rPr>
      <w:b/>
    </w:rPr>
  </w:style>
  <w:style w:type="paragraph" w:customStyle="1" w:styleId="Heading1TOC">
    <w:name w:val="Heading1 TOC"/>
    <w:basedOn w:val="Normal"/>
    <w:qFormat/>
    <w:rsid w:val="005050CA"/>
    <w:pPr>
      <w:spacing w:before="240" w:after="120"/>
    </w:pPr>
    <w:rPr>
      <w:rFonts w:ascii="Times New Roman" w:hAnsi="Times New Roman"/>
      <w:b/>
      <w:sz w:val="32"/>
    </w:rPr>
  </w:style>
  <w:style w:type="paragraph" w:customStyle="1" w:styleId="Heading2TOC">
    <w:name w:val="Heading2 TOC"/>
    <w:basedOn w:val="Normal"/>
    <w:qFormat/>
    <w:rsid w:val="005050CA"/>
    <w:pPr>
      <w:spacing w:before="240" w:after="60"/>
    </w:pPr>
    <w:rPr>
      <w:rFonts w:ascii="Times New Roman" w:hAnsi="Times New Roman"/>
      <w:b/>
      <w:sz w:val="28"/>
    </w:rPr>
  </w:style>
  <w:style w:type="character" w:customStyle="1" w:styleId="Underline">
    <w:name w:val="Underline"/>
    <w:basedOn w:val="DefaultParagraphFont"/>
    <w:qFormat/>
    <w:rsid w:val="005050CA"/>
    <w:rPr>
      <w:u w:val="single"/>
    </w:rPr>
  </w:style>
  <w:style w:type="character" w:customStyle="1" w:styleId="BoldandItalics">
    <w:name w:val="Bold and Italics"/>
    <w:qFormat/>
    <w:rsid w:val="005050CA"/>
    <w:rPr>
      <w:b/>
      <w:i/>
      <w:u w:val="none"/>
    </w:rPr>
  </w:style>
  <w:style w:type="paragraph" w:styleId="BalloonText">
    <w:name w:val="Balloon Text"/>
    <w:basedOn w:val="Normal"/>
    <w:link w:val="BalloonTextChar"/>
    <w:rsid w:val="005050CA"/>
    <w:rPr>
      <w:rFonts w:ascii="Tahoma" w:hAnsi="Tahoma" w:cs="Tahoma"/>
      <w:sz w:val="16"/>
      <w:szCs w:val="16"/>
    </w:rPr>
  </w:style>
  <w:style w:type="character" w:customStyle="1" w:styleId="BalloonTextChar">
    <w:name w:val="Balloon Text Char"/>
    <w:basedOn w:val="DefaultParagraphFont"/>
    <w:link w:val="BalloonText"/>
    <w:rsid w:val="005050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0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50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0CA"/>
    <w:rPr>
      <w:b/>
      <w:color w:val="660033"/>
      <w:spacing w:val="0"/>
    </w:rPr>
  </w:style>
  <w:style w:type="paragraph" w:customStyle="1" w:styleId="Nameditemlist">
    <w:name w:val="Named item list"/>
    <w:basedOn w:val="BodyText"/>
    <w:qFormat/>
    <w:rsid w:val="005050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2255</Words>
  <Characters>13862</Characters>
  <Application>Microsoft Office Word</Application>
  <DocSecurity>0</DocSecurity>
  <Lines>508</Lines>
  <Paragraphs>197</Paragraphs>
  <ScaleCrop>false</ScaleCrop>
  <Company>Author-it Software Corporation Ltd.</Company>
  <LinksUpToDate>false</LinksUpToDate>
  <CharactersWithSpaces>15956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UEENEEJ183A Design secondary refrigerant  systems</dc:title>
  <dc:subject>Approved</dc:subject>
  <dc:creator>E-OZ Training Standards</dc:creator>
  <cp:keywords>Release 4</cp:keywords>
  <dc:description>Review Date: 12 April 2008</dc:description>
  <cp:lastModifiedBy>HSD_TPCMSd.prod</cp:lastModifiedBy>
  <cp:revision>3</cp:revision>
  <dcterms:created xsi:type="dcterms:W3CDTF">2014-12-16T11:52:59Z</dcterms:created>
  <dcterms:modified xsi:type="dcterms:W3CDTF">2014-12-16T00:21:00Z</dcterms:modified>
</cp:coreProperties>
</file>