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C9D" w:rsidP="00244C9D">
      <w:pPr>
        <w:pStyle w:val="Title"/>
      </w:pPr>
      <w:r>
        <w:fldChar w:fldCharType="begin"/>
      </w:r>
      <w:r>
        <w:instrText xml:space="preserve"> TITLE   \* MERGEFORMAT </w:instrText>
      </w:r>
      <w:r>
        <w:fldChar w:fldCharType="separate"/>
      </w:r>
      <w:r>
        <w:t>UEENEEJ180A Install and commission ammonia refrigeration systems, components and associated equipment</w:t>
      </w:r>
      <w:r>
        <w:fldChar w:fldCharType="end"/>
      </w:r>
    </w:p>
    <w:p w:rsidR="00244C9D" w:rsidP="00244C9D">
      <w:pPr>
        <w:pStyle w:val="Version"/>
        <w:sectPr w:rsidSect="00071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7156D" w:rsidP="0007156D">
      <w:pPr>
        <w:pStyle w:val="SuperHeading"/>
      </w:pPr>
      <w:r w:rsidRPr="0007156D">
        <w:t>UEENEEJ180A Install and commission ammonia refrigeration systems, components and associated equipment</w:t>
      </w:r>
    </w:p>
    <w:p w:rsidR="00000000" w:rsidRPr="0007156D" w:rsidP="0007156D">
      <w:pPr>
        <w:pStyle w:val="Heading1"/>
      </w:pPr>
      <w:bookmarkStart w:id="1" w:name="O_710108"/>
      <w:bookmarkEnd w:id="1"/>
      <w:r w:rsidRPr="0007156D">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244C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Points</w:t>
            </w:r>
          </w:p>
        </w:tc>
      </w:tr>
      <w:tr w:rsidTr="00244C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6D">
            <w:pPr>
              <w:pStyle w:val="BodyText"/>
              <w:rPr>
                <w:lang w:val="en-NZ"/>
              </w:rPr>
            </w:pPr>
            <w:r w:rsidRPr="0007156D">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6D" w:rsidP="0007156D">
            <w:pPr>
              <w:pStyle w:val="BodyText"/>
            </w:pPr>
            <w:r w:rsidRPr="0007156D">
              <w:t>Update pre-requisite</w:t>
            </w:r>
          </w:p>
          <w:p w:rsidR="00000000" w:rsidP="0007156D">
            <w:pPr>
              <w:pStyle w:val="BodyText"/>
              <w:rPr>
                <w:lang w:val="en-NZ"/>
              </w:rPr>
            </w:pPr>
            <w:r w:rsidRPr="0007156D">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6D" w:rsidP="0007156D">
            <w:pPr>
              <w:pStyle w:val="BodyText"/>
            </w:pPr>
          </w:p>
        </w:tc>
      </w:tr>
    </w:tbl>
    <w:p w:rsidR="00000000" w:rsidRPr="0007156D" w:rsidP="0007156D">
      <w:pPr>
        <w:pStyle w:val="BodyText"/>
      </w:pPr>
    </w:p>
    <w:p w:rsidR="00000000" w:rsidRPr="0007156D" w:rsidP="0007156D">
      <w:pPr>
        <w:pStyle w:val="AllowPageBreak"/>
      </w:pPr>
    </w:p>
    <w:p w:rsidR="00000000" w:rsidRPr="0007156D" w:rsidP="0007156D">
      <w:pPr>
        <w:pStyle w:val="Heading1"/>
      </w:pPr>
      <w:bookmarkStart w:id="2" w:name="O_710107"/>
      <w:bookmarkEnd w:id="2"/>
      <w:r w:rsidRPr="0007156D">
        <w:t>Unit Descriptor</w:t>
      </w:r>
    </w:p>
    <w:tbl>
      <w:tblPr>
        <w:tblW w:w="0" w:type="auto"/>
        <w:tblLayout w:type="fixed"/>
        <w:tblCellMar>
          <w:left w:w="62" w:type="dxa"/>
          <w:right w:w="62" w:type="dxa"/>
        </w:tblCellMar>
        <w:tblLook w:val="0000"/>
      </w:tblPr>
      <w:tblGrid>
        <w:gridCol w:w="2700"/>
        <w:gridCol w:w="5760"/>
      </w:tblGrid>
      <w:tr w:rsidTr="00244C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1</w:t>
            </w:r>
            <w:r w:rsidRPr="0007156D">
              <w:t xml:space="preserve">) </w:t>
            </w:r>
          </w:p>
          <w:p w:rsidR="00000000" w:rsidP="0007156D">
            <w:pPr>
              <w:pStyle w:val="BodyText"/>
              <w:rPr>
                <w:lang w:val="en-NZ"/>
              </w:rPr>
            </w:pPr>
            <w:r w:rsidRPr="0007156D">
              <w:rPr>
                <w:rStyle w:val="SpecialBold"/>
              </w:rPr>
              <w:t>1</w:t>
            </w:r>
            <w:r w:rsidRPr="0007156D">
              <w:t>.</w:t>
            </w:r>
            <w:r w:rsidRPr="0007156D">
              <w:rPr>
                <w:rStyle w:val="SpecialBold"/>
              </w:rPr>
              <w:t>1</w:t>
            </w:r>
            <w:r w:rsidRPr="0007156D">
              <w:t xml:space="preserve">) </w:t>
            </w:r>
            <w:r w:rsidRPr="0007156D">
              <w:rPr>
                <w:rStyle w:val="SpecialBold"/>
              </w:rPr>
              <w:t>Descriptor</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This unit covers specialised procedures for the installation and commissioning of refrigeration equipment using Ammonia as the refrigerant.  It reinforces safe working practice and encompasses applying specialised knowledge of refrigeration principles that</w:t>
            </w:r>
            <w:r w:rsidRPr="0007156D">
              <w:t xml:space="preserve"> apply to Ammonia, interpreting plans and specifications, project management principles, supervision of installation, commissioning and completing the necessary commissioning documentation.</w:t>
            </w:r>
          </w:p>
        </w:tc>
      </w:tr>
    </w:tbl>
    <w:p w:rsidR="00244C9D" w:rsidP="0007156D">
      <w:pPr>
        <w:pStyle w:val="BodyText"/>
      </w:pPr>
    </w:p>
    <w:p w:rsidR="00244C9D" w:rsidP="0007156D">
      <w:pPr>
        <w:pStyle w:val="BodyText"/>
      </w:pPr>
    </w:p>
    <w:p w:rsidR="00000000" w:rsidRPr="0007156D" w:rsidP="0007156D">
      <w:pPr>
        <w:pStyle w:val="Heading1"/>
      </w:pPr>
      <w:bookmarkStart w:id="3" w:name="O_710106"/>
      <w:bookmarkEnd w:id="3"/>
      <w:r w:rsidRPr="0007156D">
        <w:t>Application of the Unit</w:t>
      </w:r>
    </w:p>
    <w:tbl>
      <w:tblPr>
        <w:tblW w:w="0" w:type="auto"/>
        <w:tblLayout w:type="fixed"/>
        <w:tblCellMar>
          <w:left w:w="62" w:type="dxa"/>
          <w:right w:w="62" w:type="dxa"/>
        </w:tblCellMar>
        <w:tblLook w:val="0000"/>
      </w:tblPr>
      <w:tblGrid>
        <w:gridCol w:w="2700"/>
        <w:gridCol w:w="5760"/>
      </w:tblGrid>
      <w:tr w:rsidTr="00244C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Application of the Uni</w:t>
            </w:r>
            <w:r w:rsidRPr="0007156D">
              <w:rPr>
                <w:rStyle w:val="SpecialBold"/>
              </w:rPr>
              <w:t>t</w:t>
            </w:r>
          </w:p>
        </w:tc>
        <w:tc>
          <w:tcPr>
            <w:tcW w:w="57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4</w:t>
            </w:r>
            <w:r w:rsidRPr="0007156D">
              <w:t>)</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This competency standard is suitable for employment-based programs under an approved contract of training at the AQF level of the qualification in which the unit is first packaged or higher.</w:t>
            </w:r>
          </w:p>
          <w:p w:rsidR="00000000" w:rsidRPr="0007156D" w:rsidP="0007156D">
            <w:pPr>
              <w:pStyle w:val="BodyText"/>
            </w:pPr>
            <w:r w:rsidRPr="0007156D">
              <w:t xml:space="preserve">The unit may be selected as an elective from the relevant </w:t>
            </w:r>
            <w:r w:rsidRPr="0007156D">
              <w:t>schedule (see qualification packaging rules) provided that all prerequisite units are undertaken or addressed through recognition processes.</w:t>
            </w:r>
          </w:p>
          <w:p w:rsidR="00000000" w:rsidRPr="0007156D" w:rsidP="0007156D">
            <w:pPr>
              <w:pStyle w:val="BodyText"/>
            </w:pPr>
            <w:r w:rsidRPr="0007156D">
              <w:t xml:space="preserve">This unit may be included in a skill set provided that it is </w:t>
            </w:r>
            <w:r w:rsidRPr="0007156D">
              <w:t>listed in the schedule of electives (see Qualification Framework) and all prerequisite units are undertaken or addressed through recognition processes.</w:t>
            </w:r>
          </w:p>
          <w:p w:rsidR="00000000" w:rsidRPr="0007156D" w:rsidP="0007156D">
            <w:pPr>
              <w:pStyle w:val="BodyText"/>
            </w:pPr>
            <w:r w:rsidRPr="0007156D">
              <w:t>Delivery and assessment of this unit should</w:t>
            </w:r>
            <w:r w:rsidRPr="0007156D">
              <w:t xml:space="preserve"> be undertaken within regard to the requirements of License to Practice (1.2 above), Prerequisite Competencies and Literacy and Numeracy skills (2 above) and the  recommendations for concurrent assessment and relationship with other units (9.5 below).</w:t>
            </w:r>
          </w:p>
          <w:p w:rsidR="00000000" w:rsidRPr="0007156D" w:rsidP="0007156D">
            <w:pPr>
              <w:pStyle w:val="BodyText"/>
            </w:pPr>
            <w:r w:rsidRPr="0007156D">
              <w:t>Prac</w:t>
            </w:r>
            <w:r w:rsidRPr="0007156D">
              <w:t>tice in the workplace and during training is also subject to regulations directly related to occupational health and safety and where applicable contracts of training such as apprenticeships.</w:t>
            </w:r>
          </w:p>
          <w:p w:rsidR="00000000" w:rsidRPr="0007156D" w:rsidP="0007156D">
            <w:pPr>
              <w:pStyle w:val="BodyText"/>
            </w:pPr>
            <w:r w:rsidRPr="0007156D">
              <w:t xml:space="preserve">Note: </w:t>
            </w:r>
            <w:r w:rsidRPr="0007156D">
              <w:br/>
              <w:t>1. Compliance with permits may be required in various jur</w:t>
            </w:r>
            <w:r w:rsidRPr="0007156D">
              <w:t xml:space="preserve">isdictions and typically relates to the operation of plant, machinery and equipment such as elevating work platforms, powder operated fixing tools, power operated tools, vehicles, road signage and traffic control and lifting equipment. Permits may also be </w:t>
            </w:r>
            <w:r w:rsidRPr="0007156D">
              <w:t>required for some work environments such as confined spaces, working aloft, near live electrical apparatus and site rehabilitation.</w:t>
            </w:r>
            <w:r w:rsidRPr="0007156D">
              <w:br/>
              <w:t>2. Compliance may be required in various jurisdictions relating to currency in First Aid, confined space, lifting, risk safe</w:t>
            </w:r>
            <w:r w:rsidRPr="0007156D">
              <w:t>ty measures etc.</w:t>
            </w:r>
          </w:p>
        </w:tc>
      </w:tr>
    </w:tbl>
    <w:p w:rsidR="00244C9D" w:rsidP="0007156D">
      <w:pPr>
        <w:pStyle w:val="BodyText"/>
      </w:pPr>
    </w:p>
    <w:p w:rsidR="00244C9D" w:rsidP="0007156D">
      <w:pPr>
        <w:pStyle w:val="BodyText"/>
      </w:pPr>
    </w:p>
    <w:p w:rsidR="00000000" w:rsidRPr="0007156D" w:rsidP="0007156D">
      <w:pPr>
        <w:pStyle w:val="Heading1"/>
      </w:pPr>
      <w:bookmarkStart w:id="4" w:name="O_710105"/>
      <w:bookmarkEnd w:id="4"/>
      <w:r w:rsidRPr="0007156D">
        <w:t>Licensing/Regulatory Information</w:t>
      </w:r>
    </w:p>
    <w:tbl>
      <w:tblPr>
        <w:tblW w:w="0" w:type="auto"/>
        <w:tblLayout w:type="fixed"/>
        <w:tblCellMar>
          <w:left w:w="62" w:type="dxa"/>
          <w:right w:w="62" w:type="dxa"/>
        </w:tblCellMar>
        <w:tblLook w:val="0000"/>
      </w:tblPr>
      <w:tblGrid>
        <w:gridCol w:w="8460"/>
      </w:tblGrid>
      <w:tr w:rsidTr="00244C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1</w:t>
            </w:r>
            <w:r w:rsidRPr="0007156D">
              <w:t>.</w:t>
            </w:r>
            <w:r w:rsidRPr="0007156D">
              <w:rPr>
                <w:rStyle w:val="SpecialBold"/>
              </w:rPr>
              <w:t>2</w:t>
            </w:r>
            <w:r w:rsidRPr="0007156D">
              <w:t xml:space="preserve">) </w:t>
            </w:r>
            <w:r w:rsidRPr="0007156D">
              <w:rPr>
                <w:rStyle w:val="SpecialBold"/>
              </w:rPr>
              <w:t>License to practice</w:t>
            </w:r>
          </w:p>
        </w:tc>
      </w:tr>
      <w:tr w:rsidTr="00244C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The skills and knowledge described in this unit may, in some jurisdictions, require a licence to practise in the workplace subject to regulations for undertakin</w:t>
            </w:r>
            <w:r w:rsidRPr="0007156D">
              <w:t>g refrigeration and air conditioning work. Practice in workplace and during training is also subject to regulations directly related to occupational health and safety and where applicable contracts of training such as apprenticeships.</w:t>
            </w:r>
          </w:p>
          <w:p w:rsidR="00000000" w:rsidRPr="0007156D" w:rsidP="0007156D">
            <w:pPr>
              <w:pStyle w:val="BodyText"/>
            </w:pPr>
            <w:r w:rsidRPr="0007156D">
              <w:t xml:space="preserve">Note: </w:t>
            </w:r>
            <w:r w:rsidRPr="0007156D">
              <w:br/>
              <w:t xml:space="preserve">1. Compliance </w:t>
            </w:r>
            <w:r w:rsidRPr="0007156D">
              <w:t>with permits may be required in various jurisdictions and typically relates to the operation of plant, machinery and equipment such as elevating work platforms, powder operated fixing tools, power operated tools, vehicles, road signage and traffic control,</w:t>
            </w:r>
            <w:r w:rsidRPr="0007156D">
              <w:t xml:space="preserve"> lifting equipment. Permits may also be required for some work environments such as confined spaces, working aloft, near live electrical apparatus and site rehabilitation.</w:t>
            </w:r>
            <w:r w:rsidRPr="0007156D">
              <w:br/>
              <w:t>2. Compliance may be required in various jurisdictions relating to currency in First</w:t>
            </w:r>
            <w:r w:rsidRPr="0007156D">
              <w:t xml:space="preserve"> Aid, confined space, lifting and risk safety measures.</w:t>
            </w:r>
          </w:p>
        </w:tc>
      </w:tr>
    </w:tbl>
    <w:p w:rsidR="00244C9D" w:rsidP="0007156D">
      <w:pPr>
        <w:pStyle w:val="BodyText"/>
      </w:pPr>
    </w:p>
    <w:p w:rsidR="00244C9D" w:rsidP="0007156D">
      <w:pPr>
        <w:pStyle w:val="BodyText"/>
      </w:pPr>
    </w:p>
    <w:p w:rsidR="00000000" w:rsidRPr="0007156D" w:rsidP="0007156D">
      <w:pPr>
        <w:pStyle w:val="Heading1"/>
      </w:pPr>
      <w:bookmarkStart w:id="5" w:name="O_710104"/>
      <w:bookmarkEnd w:id="5"/>
      <w:r w:rsidRPr="0007156D">
        <w:t>Pre-Requisites</w:t>
      </w:r>
    </w:p>
    <w:tbl>
      <w:tblPr>
        <w:tblW w:w="0" w:type="auto"/>
        <w:tblLayout w:type="fixed"/>
        <w:tblCellMar>
          <w:left w:w="62" w:type="dxa"/>
          <w:right w:w="62" w:type="dxa"/>
        </w:tblCellMar>
        <w:tblLook w:val="0000"/>
      </w:tblPr>
      <w:tblGrid>
        <w:gridCol w:w="2700"/>
        <w:gridCol w:w="1710"/>
        <w:gridCol w:w="4050"/>
      </w:tblGrid>
      <w:tr w:rsidTr="00244C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Prerequisite Unit</w:t>
            </w:r>
            <w:r w:rsidRPr="0007156D">
              <w:t>(</w:t>
            </w:r>
            <w:r w:rsidRPr="0007156D">
              <w:rPr>
                <w:rStyle w:val="SpecialBold"/>
              </w:rPr>
              <w:t>s</w:t>
            </w:r>
            <w:r w:rsidRPr="0007156D">
              <w:t>)</w:t>
            </w:r>
          </w:p>
        </w:tc>
        <w:tc>
          <w:tcPr>
            <w:tcW w:w="5760" w:type="dxa"/>
            <w:gridSpan w:val="2"/>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2</w:t>
            </w:r>
            <w:r w:rsidRPr="0007156D">
              <w:t xml:space="preserve">) </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156D">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2</w:t>
            </w:r>
            <w:r w:rsidRPr="0007156D">
              <w:t>.</w:t>
            </w:r>
            <w:r w:rsidRPr="0007156D">
              <w:rPr>
                <w:rStyle w:val="SpecialBold"/>
              </w:rPr>
              <w:t>1</w:t>
            </w:r>
            <w:r w:rsidRPr="0007156D">
              <w:t xml:space="preserve">) </w:t>
            </w:r>
            <w:r w:rsidRPr="0007156D">
              <w:rPr>
                <w:rStyle w:val="SpecialBold"/>
              </w:rPr>
              <w:t>Competencies</w:t>
            </w:r>
          </w:p>
        </w:tc>
      </w:tr>
      <w:tr w:rsidTr="00244C9D">
        <w:tblPrEx>
          <w:tblW w:w="0" w:type="auto"/>
          <w:tblLayout w:type="fixed"/>
          <w:tblCellMar>
            <w:left w:w="62" w:type="dxa"/>
            <w:right w:w="62" w:type="dxa"/>
          </w:tblCellMar>
          <w:tblLook w:val="0000"/>
        </w:tblPrEx>
        <w:trPr>
          <w:trHeight w:val="17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Granting competency in this unit shall be made only after competency in the following unit(s) has/have been confirmed</w:t>
            </w:r>
          </w:p>
        </w:tc>
      </w:tr>
      <w:tr w:rsidTr="00244C9D">
        <w:tblPrEx>
          <w:tblW w:w="0" w:type="auto"/>
          <w:tblLayout w:type="fixed"/>
          <w:tblCellMar>
            <w:left w:w="62" w:type="dxa"/>
            <w:right w:w="62" w:type="dxa"/>
          </w:tblCellMar>
          <w:tblLook w:val="0000"/>
        </w:tblPrEx>
        <w:trPr>
          <w:trHeight w:val="19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UEENEEJ178A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Apply safety awareness and legal requirements for  ammonia refrigerant</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UEENEEJ179A</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Repair and service ammonia refrigeration systems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Diagnose and rectify faults in air conditioning and refrigeration systems and components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Commission air conditioning and refrigeration systems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Apply Occupational </w:t>
            </w:r>
            <w:r w:rsidRPr="0007156D">
              <w:t>Health and Safety regulations, codes and practices in the workplace</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Fabricate, assemble and dismantle utilities industry components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UEENEEE103A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Solve problems in ELV single path circuits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Fix and secure electrotechnology equipment</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Use drawings, diagrams, schedules, standards, codes and specifications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Document and apply measures to control OHS risks associated with electrotechnology work</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Prepare a</w:t>
            </w:r>
            <w:r w:rsidRPr="0007156D">
              <w:t>nd connect refrigerant tubing and fittings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Establish the basic operating conditions of vapour compression systems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Establish the basic operating conditions of air conditioning systems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Install refrigerant pipe work, flow controls and accessories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Install air conditioning and refrigeration systems, major components and associated equipment</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Recover, pressure test, evacuate, charge and leak test refrigerants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U</w:t>
            </w:r>
            <w:r w:rsidRPr="0007156D">
              <w:t xml:space="preserve">EENEEJ110A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Select refrigerant piping, accessories and associated controls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Find and rectify faults motors and associated controls in refrigeration and air conditioning systems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Diagnose and rectify faults in air conditioning and refrigeration control systems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Solve problems in low voltage refrigeration circuits</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Disconnect / reconnect composite appliances connected to low voltage installation wiring</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UEENEEP017A </w:t>
            </w:r>
          </w:p>
        </w:tc>
        <w:tc>
          <w:tcPr>
            <w:tcW w:w="405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Locate and rectify faults in low voltage composite appliances using set procedures</w:t>
            </w:r>
          </w:p>
        </w:tc>
      </w:tr>
    </w:tbl>
    <w:p w:rsidR="00000000" w:rsidRPr="0007156D" w:rsidP="0007156D">
      <w:pPr>
        <w:pStyle w:val="BodyText"/>
      </w:pPr>
    </w:p>
    <w:p w:rsidR="00000000" w:rsidRPr="0007156D" w:rsidP="0007156D">
      <w:pPr>
        <w:pStyle w:val="AllowPageBreak"/>
      </w:pPr>
    </w:p>
    <w:p w:rsidR="00000000" w:rsidRPr="0007156D" w:rsidP="0007156D">
      <w:pPr>
        <w:pStyle w:val="Heading1"/>
      </w:pPr>
      <w:bookmarkStart w:id="6" w:name="O_710103"/>
      <w:bookmarkEnd w:id="6"/>
      <w:r w:rsidRPr="0007156D">
        <w:t>Employability Skills Information</w:t>
      </w:r>
    </w:p>
    <w:tbl>
      <w:tblPr>
        <w:tblW w:w="0" w:type="auto"/>
        <w:tblLayout w:type="fixed"/>
        <w:tblCellMar>
          <w:left w:w="62" w:type="dxa"/>
          <w:right w:w="62" w:type="dxa"/>
        </w:tblCellMar>
        <w:tblLook w:val="0000"/>
      </w:tblPr>
      <w:tblGrid>
        <w:gridCol w:w="2700"/>
        <w:gridCol w:w="5760"/>
      </w:tblGrid>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3</w:t>
            </w:r>
            <w:r w:rsidRPr="0007156D">
              <w:t>)</w:t>
            </w:r>
          </w:p>
          <w:p w:rsidR="00000000" w:rsidRPr="0007156D" w:rsidP="0007156D">
            <w:pPr>
              <w:pStyle w:val="BodyText"/>
            </w:pPr>
            <w:r w:rsidRPr="0007156D">
              <w:t>This unit contains Employability Skills</w:t>
            </w:r>
          </w:p>
          <w:p w:rsidR="00000000" w:rsidRPr="0007156D" w:rsidP="0007156D">
            <w:pPr>
              <w:pStyle w:val="BodyText"/>
            </w:pPr>
            <w:r w:rsidRPr="0007156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7156D">
              <w:t>requirements.</w:t>
            </w:r>
          </w:p>
        </w:tc>
      </w:tr>
    </w:tbl>
    <w:p w:rsidR="00244C9D" w:rsidP="0007156D">
      <w:pPr>
        <w:pStyle w:val="BodyText"/>
      </w:pPr>
    </w:p>
    <w:p w:rsidR="00244C9D" w:rsidP="0007156D">
      <w:pPr>
        <w:pStyle w:val="BodyText"/>
      </w:pPr>
    </w:p>
    <w:p w:rsidR="00000000" w:rsidRPr="0007156D" w:rsidP="0007156D">
      <w:pPr>
        <w:pStyle w:val="Heading1"/>
      </w:pPr>
      <w:bookmarkStart w:id="7" w:name="O_710102"/>
      <w:bookmarkEnd w:id="7"/>
      <w:r w:rsidRPr="0007156D">
        <w:t>Elements and Performance Criteria Pre-Content</w:t>
      </w:r>
    </w:p>
    <w:tbl>
      <w:tblPr>
        <w:tblW w:w="0" w:type="auto"/>
        <w:tblLayout w:type="fixed"/>
        <w:tblCellMar>
          <w:left w:w="62" w:type="dxa"/>
          <w:right w:w="62" w:type="dxa"/>
        </w:tblCellMar>
        <w:tblLook w:val="0000"/>
      </w:tblPr>
      <w:tblGrid>
        <w:gridCol w:w="2700"/>
        <w:gridCol w:w="5760"/>
      </w:tblGrid>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6</w:t>
            </w:r>
            <w:r w:rsidRPr="0007156D">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Performance criteria describe the required performance needed to demonstrate achievement of the Element. Assessment of per</w:t>
            </w:r>
            <w:r w:rsidRPr="0007156D">
              <w:t>formance must be consistent with the evidence guide.</w:t>
            </w:r>
          </w:p>
        </w:tc>
      </w:tr>
    </w:tbl>
    <w:p w:rsidR="00000000" w:rsidRPr="0007156D" w:rsidP="0007156D">
      <w:pPr>
        <w:pStyle w:val="BodyText"/>
      </w:pPr>
    </w:p>
    <w:p w:rsidR="00000000" w:rsidRPr="0007156D" w:rsidP="0007156D">
      <w:pPr>
        <w:pStyle w:val="AllowPageBreak"/>
      </w:pPr>
    </w:p>
    <w:p w:rsidR="00000000" w:rsidRPr="0007156D" w:rsidP="0007156D">
      <w:pPr>
        <w:pStyle w:val="Heading1"/>
      </w:pPr>
      <w:bookmarkStart w:id="8" w:name="O_710101"/>
      <w:bookmarkEnd w:id="8"/>
      <w:r w:rsidRPr="000715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4C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PERFORMANCE CRITERIA</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w:t>
            </w:r>
          </w:p>
        </w:tc>
        <w:tc>
          <w:tcPr>
            <w:tcW w:w="2296" w:type="dxa"/>
            <w:vMerge w:val="restart"/>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Prepare to install and commission Ammonia refrigeration systems </w:t>
            </w: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1.1</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OHS procedures for a g</w:t>
            </w:r>
            <w:r w:rsidRPr="0007156D">
              <w:t>iven work area are identified, obtained and understood  through established routines and procedures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1.2</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Established OHS risk control measures and procedures are followed in preparation for the work.</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1.3</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Safety hazards which have not previously been identified are reported and advice on risk control measures is sought from the project engineer.</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1.4</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The nature of work is obtained from documentation or from project engineer to establish the scope of work </w:t>
            </w:r>
            <w:r w:rsidRPr="0007156D">
              <w:t>to be undertaken.</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1.5</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Advice is sought from the project engineer to ensure the work is coordinated effectively with others.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1.6</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Sources of materials that may be required for the work are accessed in accordance with established routines and procedures.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w:t>
            </w:r>
          </w:p>
        </w:tc>
        <w:tc>
          <w:tcPr>
            <w:tcW w:w="2296" w:type="dxa"/>
            <w:vMerge w:val="restart"/>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Install and Commission Ammonia refrigeration systems.</w:t>
            </w: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2.1</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Established OHS risk control measures and procedures for carrying out t</w:t>
            </w:r>
            <w:r w:rsidRPr="0007156D">
              <w:t>he work are followed. Site establishment carried out</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2.2</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Measuring system operating parameters is conducted in strict accordance with OHS requirements and established safety procedures </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2.3</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Major components and pipe work is installed in compliance with all applicable Standards, Codes and Regulations </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2.4</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Pressure testing is conducted at a pressure compatible with Ammonia and in accordance with applicable standards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2.5</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Precautions are ta</w:t>
            </w:r>
            <w:r w:rsidRPr="0007156D">
              <w:t>ken to prevent damage to components while pressure testing the system</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2.6</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Leaks are located and rectified using testing methods appropriate to the system and in accordance with industry practice</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2.7</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System is evacuated in accordance with in</w:t>
            </w:r>
            <w:r w:rsidRPr="0007156D">
              <w:t>dustry practices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2.8</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System is charged safely with Ammonia and  lubricants in accordance with industry practices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2.9</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Pre operational checks are carried out on all operating and safety controls. A "Dry Run" is carried out</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2.10</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System is commissioned and all adjustments made to operating and safety controls. Adjustments and setting made to all refrigerant flow metering devices and level control devices. </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2.11</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Caution to be taken with temperature reduction of coolrooms and free</w:t>
            </w:r>
            <w:r w:rsidRPr="0007156D">
              <w:t xml:space="preserve">zers. Temperatures are reduced in accordance with industry practices </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2.12</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Maintenance procedures to be carried out which include inspection and cleaning of all strainers, filters and collection of oil sample for analysis </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2.13</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Training given to pers</w:t>
            </w:r>
            <w:r w:rsidRPr="0007156D">
              <w:t>onnel responsible for the operation and maintenance of the refrigeration system.</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3</w:t>
            </w:r>
          </w:p>
        </w:tc>
        <w:tc>
          <w:tcPr>
            <w:tcW w:w="2296"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Complete work and report on installation and commissioning of Ammonia refrigeration systems</w:t>
            </w: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3.1</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OHS work completion risk control measures and procedures are followed.</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3.2</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Work site is cleaned and made safe in accordance with established procedures.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3.3</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Contaminated refrigerant and lubricant is dealt with in accordance with legislative/regulatory requirements</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3.4</w:t>
            </w:r>
          </w:p>
        </w:tc>
        <w:tc>
          <w:tcPr>
            <w:tcW w:w="48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Operation conditions and commissioning figures are d</w:t>
            </w:r>
            <w:r w:rsidRPr="0007156D">
              <w:t xml:space="preserve">ocumented, including identification of any parameter that is not within the specified range for the system. </w:t>
            </w:r>
          </w:p>
        </w:tc>
      </w:tr>
      <w:tr w:rsidTr="00244C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3.5</w:t>
            </w:r>
          </w:p>
        </w:tc>
        <w:tc>
          <w:tcPr>
            <w:tcW w:w="48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 xml:space="preserve">All mechanical and electrical documentation to be marked up "As Installed" </w:t>
            </w:r>
          </w:p>
        </w:tc>
      </w:tr>
    </w:tbl>
    <w:p w:rsidR="00244C9D" w:rsidP="0007156D">
      <w:pPr>
        <w:pStyle w:val="BodyText"/>
      </w:pPr>
    </w:p>
    <w:p w:rsidR="00244C9D" w:rsidP="0007156D">
      <w:pPr>
        <w:pStyle w:val="BodyText"/>
      </w:pPr>
    </w:p>
    <w:p w:rsidR="00000000" w:rsidRPr="0007156D" w:rsidP="0007156D">
      <w:pPr>
        <w:pStyle w:val="Heading1"/>
      </w:pPr>
      <w:bookmarkStart w:id="9" w:name="O_710100"/>
      <w:bookmarkEnd w:id="9"/>
      <w:r w:rsidRPr="0007156D">
        <w:t>Required Skills and Knowledge</w:t>
      </w:r>
    </w:p>
    <w:tbl>
      <w:tblPr>
        <w:tblW w:w="0" w:type="auto"/>
        <w:tblLayout w:type="fixed"/>
        <w:tblCellMar>
          <w:left w:w="62" w:type="dxa"/>
          <w:right w:w="62" w:type="dxa"/>
        </w:tblCellMar>
        <w:tblLook w:val="0000"/>
      </w:tblPr>
      <w:tblGrid>
        <w:gridCol w:w="8460"/>
      </w:tblGrid>
      <w:tr w:rsidTr="00244C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REQUIRED SKILLS AND KNOWLEDGE</w:t>
            </w:r>
          </w:p>
        </w:tc>
      </w:tr>
      <w:tr w:rsidTr="00244C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7)</w:t>
            </w:r>
            <w:r w:rsidRPr="0007156D">
              <w:t xml:space="preserve"> This describes the essential skills and knowledge and their level, required for this unit.</w:t>
            </w:r>
          </w:p>
        </w:tc>
      </w:tr>
      <w:tr w:rsidTr="00244C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Evidence shall show that knowledge has been acquired of safe working practices and installing and commissioning refrigeration syst</w:t>
            </w:r>
            <w:r w:rsidRPr="0007156D">
              <w:t>ems and associated equipment to be charged with a Ammonia refrigerant.</w:t>
            </w:r>
          </w:p>
          <w:p w:rsidR="00000000" w:rsidRPr="0007156D" w:rsidP="0007156D">
            <w:pPr>
              <w:pStyle w:val="BodyText"/>
            </w:pPr>
            <w:r w:rsidRPr="0007156D">
              <w:t>All knowledge and skills detailed in this unit should be contextualised to current industry practices and technologies.</w:t>
            </w:r>
          </w:p>
          <w:p w:rsidR="00000000" w:rsidRPr="0007156D" w:rsidP="0007156D">
            <w:pPr>
              <w:pStyle w:val="BodyText"/>
            </w:pPr>
            <w:r w:rsidRPr="0007156D">
              <w:rPr>
                <w:rStyle w:val="SpecialBold"/>
              </w:rPr>
              <w:t>KS01-EJ180A                         Installation and commissionin</w:t>
            </w:r>
            <w:r w:rsidRPr="0007156D">
              <w:rPr>
                <w:rStyle w:val="SpecialBold"/>
              </w:rPr>
              <w:t>g techniques for Ammonia refrigeration systems</w:t>
            </w:r>
          </w:p>
          <w:p w:rsidR="00000000" w:rsidRPr="0007156D" w:rsidP="0007156D">
            <w:pPr>
              <w:pStyle w:val="BodyText"/>
            </w:pPr>
            <w:r w:rsidRPr="0007156D">
              <w:t xml:space="preserve">Evidence shall show an understanding of installation  and commissioning techniques for ammonia refrigeration systems, applying safe working practices and relevant Standards, Codes and Regulations to an extent </w:t>
            </w:r>
            <w:r w:rsidRPr="0007156D">
              <w:t>indicated by the following aspects:</w:t>
            </w:r>
          </w:p>
          <w:p w:rsidR="00000000" w:rsidRPr="0007156D" w:rsidP="0007156D">
            <w:pPr>
              <w:pStyle w:val="BodyText"/>
            </w:pPr>
            <w:r w:rsidRPr="0007156D">
              <w:t>T1</w:t>
            </w:r>
            <w:r w:rsidRPr="0007156D">
              <w:tab/>
              <w:t xml:space="preserve">Interpret Drawings </w:t>
            </w:r>
          </w:p>
          <w:p w:rsidR="00000000" w:rsidRPr="0007156D" w:rsidP="0007156D">
            <w:pPr>
              <w:pStyle w:val="ListBullet"/>
            </w:pPr>
            <w:r w:rsidRPr="0007156D">
              <w:t>Refrigeration Piping Schematic Diagrams</w:t>
            </w:r>
          </w:p>
          <w:p w:rsidR="00000000" w:rsidRPr="0007156D" w:rsidP="0007156D">
            <w:pPr>
              <w:pStyle w:val="ListBullet"/>
            </w:pPr>
            <w:r w:rsidRPr="0007156D">
              <w:t>Refrigeration Layout Diagrams</w:t>
            </w:r>
          </w:p>
          <w:p w:rsidR="00000000" w:rsidRPr="0007156D" w:rsidP="0007156D">
            <w:pPr>
              <w:pStyle w:val="ListBullet"/>
            </w:pPr>
            <w:r w:rsidRPr="0007156D">
              <w:t>Electrical Control Diagrams</w:t>
            </w:r>
          </w:p>
          <w:p w:rsidR="00000000" w:rsidRPr="0007156D" w:rsidP="0007156D">
            <w:pPr>
              <w:pStyle w:val="ListBullet"/>
            </w:pPr>
            <w:r w:rsidRPr="0007156D">
              <w:t>PLC Control Diagrams</w:t>
            </w:r>
          </w:p>
          <w:p w:rsidR="00000000" w:rsidRPr="0007156D" w:rsidP="0007156D">
            <w:pPr>
              <w:pStyle w:val="BodyText"/>
            </w:pPr>
            <w:r w:rsidRPr="0007156D">
              <w:t>T2</w:t>
            </w:r>
            <w:r w:rsidRPr="0007156D">
              <w:tab/>
              <w:t>Project Management</w:t>
            </w:r>
          </w:p>
          <w:p w:rsidR="00000000" w:rsidRPr="0007156D" w:rsidP="0007156D">
            <w:pPr>
              <w:pStyle w:val="ListBullet"/>
            </w:pPr>
            <w:r w:rsidRPr="0007156D">
              <w:t>Work Breakdown Structures</w:t>
            </w:r>
          </w:p>
          <w:p w:rsidR="00000000" w:rsidRPr="0007156D" w:rsidP="0007156D">
            <w:pPr>
              <w:pStyle w:val="ListBullet"/>
            </w:pPr>
            <w:r w:rsidRPr="0007156D">
              <w:t>Network Diagrams / Gantt Charts</w:t>
            </w:r>
          </w:p>
          <w:p w:rsidR="00000000" w:rsidRPr="0007156D" w:rsidP="0007156D">
            <w:pPr>
              <w:pStyle w:val="ListBullet"/>
            </w:pPr>
            <w:r w:rsidRPr="0007156D">
              <w:t>Costing</w:t>
            </w:r>
          </w:p>
          <w:p w:rsidR="00000000" w:rsidRPr="0007156D" w:rsidP="0007156D">
            <w:pPr>
              <w:pStyle w:val="ListBullet"/>
            </w:pPr>
            <w:r w:rsidRPr="0007156D">
              <w:t>Dealing with Conflict</w:t>
            </w:r>
          </w:p>
          <w:p w:rsidR="00000000" w:rsidRPr="0007156D" w:rsidP="0007156D">
            <w:pPr>
              <w:pStyle w:val="ListBullet"/>
            </w:pPr>
            <w:r w:rsidRPr="0007156D">
              <w:t>Delegation</w:t>
            </w:r>
          </w:p>
          <w:p w:rsidR="00000000" w:rsidRPr="0007156D" w:rsidP="0007156D">
            <w:pPr>
              <w:pStyle w:val="BodyText"/>
            </w:pPr>
            <w:r w:rsidRPr="0007156D">
              <w:t>T3</w:t>
            </w:r>
            <w:r w:rsidRPr="0007156D">
              <w:tab/>
              <w:t xml:space="preserve">Refrigerant Piping  </w:t>
            </w:r>
          </w:p>
          <w:p w:rsidR="00000000" w:rsidRPr="0007156D" w:rsidP="0007156D">
            <w:pPr>
              <w:pStyle w:val="ListBullet"/>
            </w:pPr>
            <w:r w:rsidRPr="0007156D">
              <w:t>Pipe Sizing Principles</w:t>
            </w:r>
          </w:p>
          <w:p w:rsidR="00000000" w:rsidRPr="0007156D" w:rsidP="0007156D">
            <w:pPr>
              <w:pStyle w:val="ListBullet"/>
            </w:pPr>
            <w:r w:rsidRPr="0007156D">
              <w:t>Material Compatibility</w:t>
            </w:r>
          </w:p>
          <w:p w:rsidR="00000000" w:rsidRPr="0007156D" w:rsidP="0007156D">
            <w:pPr>
              <w:pStyle w:val="ListBullet"/>
            </w:pPr>
            <w:r w:rsidRPr="0007156D">
              <w:t>Installation Principles</w:t>
            </w:r>
          </w:p>
          <w:p w:rsidR="00000000" w:rsidRPr="0007156D" w:rsidP="0007156D">
            <w:pPr>
              <w:pStyle w:val="ListBullet"/>
            </w:pPr>
            <w:r w:rsidRPr="0007156D">
              <w:t>Welding</w:t>
            </w:r>
          </w:p>
          <w:p w:rsidR="00000000" w:rsidRPr="0007156D" w:rsidP="0007156D">
            <w:pPr>
              <w:pStyle w:val="ListBullet"/>
            </w:pPr>
            <w:r w:rsidRPr="0007156D">
              <w:t>Hydraulic Shock</w:t>
            </w:r>
          </w:p>
          <w:p w:rsidR="00000000" w:rsidRPr="0007156D" w:rsidP="0007156D">
            <w:pPr>
              <w:pStyle w:val="ListBullet"/>
            </w:pPr>
            <w:r w:rsidRPr="0007156D">
              <w:t>Relief Valves</w:t>
            </w:r>
          </w:p>
          <w:p w:rsidR="00000000" w:rsidRPr="0007156D" w:rsidP="0007156D">
            <w:pPr>
              <w:pStyle w:val="ListBullet"/>
            </w:pPr>
            <w:r w:rsidRPr="0007156D">
              <w:t>Pressure Testing/Evacuation</w:t>
            </w:r>
          </w:p>
          <w:p w:rsidR="00000000" w:rsidRPr="0007156D" w:rsidP="0007156D">
            <w:pPr>
              <w:pStyle w:val="BodyText"/>
            </w:pPr>
            <w:r w:rsidRPr="0007156D">
              <w:t>T4</w:t>
            </w:r>
            <w:r w:rsidRPr="0007156D">
              <w:tab/>
              <w:t>Insulation and Vapo</w:t>
            </w:r>
            <w:r w:rsidRPr="0007156D">
              <w:t xml:space="preserve">ur Barrier       </w:t>
            </w:r>
          </w:p>
          <w:p w:rsidR="00000000" w:rsidRPr="0007156D" w:rsidP="0007156D">
            <w:pPr>
              <w:pStyle w:val="ListBullet"/>
            </w:pPr>
            <w:r w:rsidRPr="0007156D">
              <w:t>Insulation Materials</w:t>
            </w:r>
          </w:p>
          <w:p w:rsidR="00000000" w:rsidRPr="0007156D" w:rsidP="0007156D">
            <w:pPr>
              <w:pStyle w:val="ListBullet"/>
            </w:pPr>
            <w:r w:rsidRPr="0007156D">
              <w:t>Vapour barriers</w:t>
            </w:r>
          </w:p>
          <w:p w:rsidR="00000000" w:rsidRPr="0007156D" w:rsidP="0007156D">
            <w:pPr>
              <w:pStyle w:val="BodyText"/>
            </w:pPr>
            <w:r w:rsidRPr="0007156D">
              <w:t>T5</w:t>
            </w:r>
            <w:r w:rsidRPr="0007156D">
              <w:tab/>
              <w:t xml:space="preserve">Coolroom and Freezer Construction          </w:t>
            </w:r>
          </w:p>
          <w:p w:rsidR="00000000" w:rsidRPr="0007156D" w:rsidP="0007156D">
            <w:pPr>
              <w:pStyle w:val="ListBullet"/>
            </w:pPr>
            <w:r w:rsidRPr="0007156D">
              <w:t>Construction Materials</w:t>
            </w:r>
          </w:p>
          <w:p w:rsidR="00000000" w:rsidRPr="0007156D" w:rsidP="0007156D">
            <w:pPr>
              <w:pStyle w:val="ListBullet"/>
            </w:pPr>
            <w:r w:rsidRPr="0007156D">
              <w:t>Construction Methods</w:t>
            </w:r>
          </w:p>
          <w:p w:rsidR="00000000" w:rsidRPr="0007156D" w:rsidP="0007156D">
            <w:pPr>
              <w:pStyle w:val="ListBullet"/>
            </w:pPr>
            <w:r w:rsidRPr="0007156D">
              <w:t>Underfloor heating</w:t>
            </w:r>
          </w:p>
          <w:p w:rsidR="00000000" w:rsidRPr="0007156D" w:rsidP="0007156D">
            <w:pPr>
              <w:pStyle w:val="ListBullet"/>
            </w:pPr>
            <w:r w:rsidRPr="0007156D">
              <w:t>Defrost Methods</w:t>
            </w:r>
          </w:p>
          <w:p w:rsidR="00000000" w:rsidRPr="0007156D" w:rsidP="0007156D">
            <w:pPr>
              <w:pStyle w:val="ListBullet"/>
            </w:pPr>
            <w:r w:rsidRPr="0007156D">
              <w:t>Commissioning Procedures</w:t>
            </w:r>
          </w:p>
          <w:p w:rsidR="00000000" w:rsidRPr="0007156D" w:rsidP="0007156D">
            <w:pPr>
              <w:pStyle w:val="BodyText"/>
            </w:pPr>
            <w:r w:rsidRPr="0007156D">
              <w:t>T6</w:t>
            </w:r>
            <w:r w:rsidRPr="0007156D">
              <w:tab/>
            </w:r>
            <w:r w:rsidRPr="0007156D">
              <w:t>Refrigeration Control System Testing and Adjustment</w:t>
            </w:r>
          </w:p>
          <w:p w:rsidR="00000000" w:rsidRPr="0007156D" w:rsidP="0007156D">
            <w:pPr>
              <w:pStyle w:val="ListBullet"/>
            </w:pPr>
            <w:r w:rsidRPr="0007156D">
              <w:t>Refrigerant Level Controls</w:t>
            </w:r>
          </w:p>
          <w:p w:rsidR="00000000" w:rsidRPr="0007156D" w:rsidP="0007156D">
            <w:pPr>
              <w:pStyle w:val="ListBullet"/>
            </w:pPr>
            <w:r w:rsidRPr="0007156D">
              <w:t>Refrigerant Pressure Controls</w:t>
            </w:r>
          </w:p>
          <w:p w:rsidR="00000000" w:rsidRPr="0007156D" w:rsidP="0007156D">
            <w:pPr>
              <w:pStyle w:val="ListBullet"/>
            </w:pPr>
            <w:r w:rsidRPr="0007156D">
              <w:t>Temperature Controls</w:t>
            </w:r>
          </w:p>
          <w:p w:rsidR="00000000" w:rsidRPr="0007156D" w:rsidP="0007156D">
            <w:pPr>
              <w:pStyle w:val="ListBullet"/>
            </w:pPr>
            <w:r w:rsidRPr="0007156D">
              <w:t>Flow Controls</w:t>
            </w:r>
          </w:p>
          <w:p w:rsidR="00000000" w:rsidRPr="0007156D" w:rsidP="0007156D">
            <w:pPr>
              <w:pStyle w:val="ListBullet"/>
            </w:pPr>
            <w:r w:rsidRPr="0007156D">
              <w:t>Defrost methods and controls</w:t>
            </w:r>
          </w:p>
          <w:p w:rsidR="00000000" w:rsidRPr="0007156D" w:rsidP="0007156D">
            <w:pPr>
              <w:pStyle w:val="ListBullet"/>
            </w:pPr>
            <w:r w:rsidRPr="0007156D">
              <w:t>Central PLC System</w:t>
            </w:r>
          </w:p>
          <w:p w:rsidR="00000000" w:rsidRPr="0007156D" w:rsidP="0007156D">
            <w:pPr>
              <w:pStyle w:val="BodyText"/>
            </w:pPr>
            <w:r w:rsidRPr="0007156D">
              <w:t>T7</w:t>
            </w:r>
            <w:r w:rsidRPr="0007156D">
              <w:tab/>
              <w:t xml:space="preserve">Testing and Commissioning           </w:t>
            </w:r>
          </w:p>
          <w:p w:rsidR="00000000" w:rsidRPr="0007156D" w:rsidP="0007156D">
            <w:pPr>
              <w:pStyle w:val="ListBullet"/>
            </w:pPr>
            <w:r w:rsidRPr="0007156D">
              <w:t>Compressors</w:t>
            </w:r>
          </w:p>
          <w:p w:rsidR="00000000" w:rsidRPr="0007156D" w:rsidP="0007156D">
            <w:pPr>
              <w:pStyle w:val="ListBullet"/>
            </w:pPr>
            <w:r w:rsidRPr="0007156D">
              <w:t>Evaporativ</w:t>
            </w:r>
            <w:r w:rsidRPr="0007156D">
              <w:t>e condensers</w:t>
            </w:r>
          </w:p>
          <w:p w:rsidR="00000000" w:rsidRPr="0007156D" w:rsidP="0007156D">
            <w:pPr>
              <w:pStyle w:val="ListBullet"/>
            </w:pPr>
            <w:r w:rsidRPr="0007156D">
              <w:t>Water cooled condensers</w:t>
            </w:r>
          </w:p>
          <w:p w:rsidR="00000000" w:rsidRPr="0007156D" w:rsidP="0007156D">
            <w:pPr>
              <w:pStyle w:val="ListBullet"/>
            </w:pPr>
            <w:r w:rsidRPr="0007156D">
              <w:t>Air cooled condensers</w:t>
            </w:r>
          </w:p>
          <w:p w:rsidR="00000000" w:rsidRPr="0007156D" w:rsidP="0007156D">
            <w:pPr>
              <w:pStyle w:val="ListBullet"/>
            </w:pPr>
            <w:r w:rsidRPr="0007156D">
              <w:t>High pressure receivers</w:t>
            </w:r>
          </w:p>
          <w:p w:rsidR="00000000" w:rsidRPr="0007156D" w:rsidP="0007156D">
            <w:pPr>
              <w:pStyle w:val="ListBullet"/>
            </w:pPr>
            <w:r w:rsidRPr="0007156D">
              <w:t>Evaporators (air / fluid cooling)</w:t>
            </w:r>
          </w:p>
          <w:p w:rsidR="00000000" w:rsidRPr="0007156D" w:rsidP="0007156D">
            <w:pPr>
              <w:pStyle w:val="ListBullet"/>
            </w:pPr>
            <w:r w:rsidRPr="0007156D">
              <w:t>Direct contact freezing</w:t>
            </w:r>
          </w:p>
          <w:p w:rsidR="00000000" w:rsidRPr="0007156D" w:rsidP="0007156D">
            <w:pPr>
              <w:pStyle w:val="ListBullet"/>
            </w:pPr>
            <w:r w:rsidRPr="0007156D">
              <w:t>Secondary refrigerants</w:t>
            </w:r>
          </w:p>
          <w:p w:rsidR="00000000" w:rsidRPr="0007156D" w:rsidP="0007156D">
            <w:pPr>
              <w:pStyle w:val="ListBullet"/>
            </w:pPr>
            <w:r w:rsidRPr="0007156D">
              <w:t>Start up and Shut Down Procedures</w:t>
            </w:r>
          </w:p>
          <w:p w:rsidR="00000000" w:rsidRPr="0007156D" w:rsidP="0007156D">
            <w:pPr>
              <w:pStyle w:val="BodyText"/>
            </w:pPr>
            <w:r w:rsidRPr="0007156D">
              <w:t>T8</w:t>
            </w:r>
            <w:r w:rsidRPr="0007156D">
              <w:tab/>
            </w:r>
            <w:r w:rsidRPr="0007156D">
              <w:t xml:space="preserve">Report on the install and commissioning of Ammonia refrigeration systems         </w:t>
            </w:r>
          </w:p>
          <w:p w:rsidR="00000000" w:rsidRPr="0007156D" w:rsidP="0007156D">
            <w:pPr>
              <w:pStyle w:val="ListBullet"/>
            </w:pPr>
            <w:r w:rsidRPr="0007156D">
              <w:t>Operating conditions are recorded</w:t>
            </w:r>
          </w:p>
          <w:p w:rsidR="00000000" w:rsidRPr="0007156D" w:rsidP="0007156D">
            <w:pPr>
              <w:pStyle w:val="ListBullet"/>
            </w:pPr>
            <w:r w:rsidRPr="0007156D">
              <w:t>Documentation marked up “As Installed”</w:t>
            </w:r>
          </w:p>
        </w:tc>
      </w:tr>
    </w:tbl>
    <w:p w:rsidR="00244C9D" w:rsidP="0007156D">
      <w:pPr>
        <w:pStyle w:val="BodyText"/>
      </w:pPr>
    </w:p>
    <w:p w:rsidR="00244C9D" w:rsidP="0007156D">
      <w:pPr>
        <w:pStyle w:val="BodyText"/>
      </w:pPr>
    </w:p>
    <w:p w:rsidR="00000000" w:rsidRPr="0007156D" w:rsidP="0007156D">
      <w:pPr>
        <w:pStyle w:val="Heading1"/>
      </w:pPr>
      <w:bookmarkStart w:id="10" w:name="O_710099"/>
      <w:bookmarkEnd w:id="10"/>
      <w:r w:rsidRPr="0007156D">
        <w:t>Evidence Guide</w:t>
      </w:r>
    </w:p>
    <w:tbl>
      <w:tblPr>
        <w:tblW w:w="0" w:type="auto"/>
        <w:tblLayout w:type="fixed"/>
        <w:tblCellMar>
          <w:left w:w="62" w:type="dxa"/>
          <w:right w:w="62" w:type="dxa"/>
        </w:tblCellMar>
        <w:tblLook w:val="0000"/>
      </w:tblPr>
      <w:tblGrid>
        <w:gridCol w:w="2160"/>
        <w:gridCol w:w="720"/>
        <w:gridCol w:w="540"/>
        <w:gridCol w:w="5040"/>
      </w:tblGrid>
      <w:tr w:rsidTr="00244C9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EVIDENCE GUIDE</w:t>
            </w:r>
          </w:p>
        </w:tc>
      </w:tr>
      <w:tr w:rsidTr="00244C9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9</w:t>
            </w:r>
            <w:r w:rsidRPr="0007156D">
              <w:t>) The evidence guide provides advice on assessment and must be read in conjunction with the Performance Criteria, Required Skills and Knowledge, the Range Statement and the Assessment Guidelines for this Training Package. .</w:t>
            </w:r>
          </w:p>
          <w:p w:rsidR="00000000" w:rsidP="0007156D">
            <w:pPr>
              <w:pStyle w:val="BodyText"/>
              <w:rPr>
                <w:lang w:val="en-NZ"/>
              </w:rPr>
            </w:pPr>
            <w:r w:rsidRPr="0007156D">
              <w:t>The Evidence Guide forms an inte</w:t>
            </w:r>
            <w:r w:rsidRPr="0007156D">
              <w:t>gral part of this unit. It must be used in conjunction with all parts of this unit and performed in accordance with the Assessment Guidelines of this Training Package.</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9</w:t>
            </w:r>
            <w:r w:rsidRPr="0007156D">
              <w:t>.</w:t>
            </w:r>
            <w:r w:rsidRPr="0007156D">
              <w:rPr>
                <w:rStyle w:val="SpecialBold"/>
              </w:rPr>
              <w:t>1</w:t>
            </w:r>
            <w:r w:rsidRPr="0007156D">
              <w:t xml:space="preserve">) </w:t>
            </w:r>
          </w:p>
          <w:p w:rsidR="00000000" w:rsidRPr="0007156D" w:rsidP="0007156D">
            <w:pPr>
              <w:pStyle w:val="BodyText"/>
            </w:pPr>
            <w:r w:rsidRPr="0007156D">
              <w:t>Longitudinal competency development approaches to asses</w:t>
            </w:r>
            <w:r w:rsidRPr="0007156D">
              <w:t>sment, such as Profiling, require data to be reliably gathered in a form that can be consistently interpreted over time. This approach is best utilised in Apprenticeship programs and reduces assessment intervention. It is the industry-preferred model for a</w:t>
            </w:r>
            <w:r w:rsidRPr="0007156D">
              <w:t>pprenticeships. However, where summative (or final) assessment is used it is to include the application of the competency in the normal work environment or, at a minimum, the application of the competency in a realistically simulated work environment. In s</w:t>
            </w:r>
            <w:r w:rsidRPr="0007156D">
              <w:t>ome circumstances, assessment in part or full can occur outside the workplace. However, it must be in accordance with industry and regulatory policy.</w:t>
            </w:r>
          </w:p>
          <w:p w:rsidR="00000000" w:rsidRPr="0007156D" w:rsidP="0007156D">
            <w:pPr>
              <w:pStyle w:val="BodyText"/>
            </w:pPr>
            <w:r w:rsidRPr="0007156D">
              <w:t>Methods chosen for a particular assessment will be influenced by various factors. These include the extent</w:t>
            </w:r>
            <w:r w:rsidRPr="0007156D">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07156D" w:rsidP="0007156D">
            <w:pPr>
              <w:pStyle w:val="BodyText"/>
            </w:pPr>
            <w:r w:rsidRPr="0007156D">
              <w:t>The critical safety issu</w:t>
            </w:r>
            <w:r w:rsidRPr="0007156D">
              <w:t>es inherent in working with electricity, electrical equipment, gas or any other hazardous substance/material present a challenge for those determining competence. Sources of evidence need to be 'rich' in nature to minimise error in judgment.</w:t>
            </w:r>
          </w:p>
          <w:p w:rsidR="00000000" w:rsidP="0007156D">
            <w:pPr>
              <w:pStyle w:val="BodyText"/>
              <w:rPr>
                <w:lang w:val="en-NZ"/>
              </w:rPr>
            </w:pPr>
            <w:r w:rsidRPr="0007156D">
              <w:t>Activities ass</w:t>
            </w:r>
            <w:r w:rsidRPr="0007156D">
              <w:t xml:space="preserve">ociated with normal everyday work have a bearing on the decision as to how much and how detailed the data gathered will contribute to its 'richness'. Some skills are more critical to safety and operational requirements while the same skills may be more or </w:t>
            </w:r>
            <w:r w:rsidRPr="0007156D">
              <w:t>less frequently practised. These points are raised for the assessors to consider when choosing an assessment method and developing assessment instruments. Sample assessment instruments are included for Assessors in the Assessment Guidelines of this Trainin</w:t>
            </w:r>
            <w:r w:rsidRPr="0007156D">
              <w:t>g Package.</w:t>
            </w:r>
          </w:p>
        </w:tc>
      </w:tr>
      <w:tr w:rsidTr="00244C9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 xml:space="preserve">Critical aspects of evidence required to demonstrate competency </w:t>
            </w:r>
            <w:r w:rsidRPr="0007156D">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9</w:t>
            </w:r>
            <w:r w:rsidRPr="0007156D">
              <w:t>.</w:t>
            </w:r>
            <w:r w:rsidRPr="0007156D">
              <w:rPr>
                <w:rStyle w:val="SpecialBold"/>
              </w:rPr>
              <w:t>2</w:t>
            </w:r>
            <w:r w:rsidRPr="0007156D">
              <w:t xml:space="preserve">) </w:t>
            </w:r>
          </w:p>
          <w:p w:rsidR="00000000" w:rsidP="0007156D">
            <w:pPr>
              <w:pStyle w:val="BodyText"/>
              <w:rPr>
                <w:lang w:val="en-NZ"/>
              </w:rPr>
            </w:pPr>
            <w:r w:rsidRPr="0007156D">
              <w:t>Before the critical aspects of evidence are considered all prerequisites must be met.</w:t>
            </w:r>
          </w:p>
        </w:tc>
      </w:tr>
      <w:tr w:rsidTr="00244C9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07156D">
            <w:pPr>
              <w:pStyle w:val="ListBullet"/>
              <w:rPr>
                <w:lang w:val="en-NZ"/>
              </w:rPr>
            </w:pPr>
            <w:r w:rsidRPr="0007156D">
              <w:t>A</w:t>
            </w:r>
            <w:r w:rsidRPr="0007156D">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ListBullet2"/>
            </w:pPr>
            <w:r w:rsidRPr="0007156D">
              <w:t>Implement Occ</w:t>
            </w:r>
            <w:r w:rsidRPr="0007156D">
              <w:t>upational Health and Safety workplace procedures and practices including the use of risk control measures as specified in the performance criteria and range statement</w:t>
            </w:r>
          </w:p>
          <w:p w:rsidR="00000000" w:rsidRPr="0007156D" w:rsidP="0007156D">
            <w:pPr>
              <w:pStyle w:val="ListBullet2"/>
            </w:pPr>
            <w:r w:rsidRPr="0007156D">
              <w:t>Apply sustainable energy principles and practices as specified in the performance criteria and range statement</w:t>
            </w:r>
          </w:p>
          <w:p w:rsidR="00000000" w:rsidRPr="0007156D" w:rsidP="0007156D">
            <w:pPr>
              <w:pStyle w:val="ListBullet2"/>
            </w:pPr>
            <w:r w:rsidRPr="0007156D">
              <w:t>Demonstrate an understanding of the essential knowledge and associated skills as described in this unit.  It may be required by some jurisdiction</w:t>
            </w:r>
            <w:r w:rsidRPr="0007156D">
              <w:t>s that RTOs provide a percentile graded result for the purpose of regulatory or licensing requirements.</w:t>
            </w:r>
          </w:p>
          <w:p w:rsidR="00000000" w:rsidRPr="0007156D" w:rsidP="0007156D">
            <w:pPr>
              <w:pStyle w:val="ListBullet2"/>
            </w:pPr>
            <w:r w:rsidRPr="0007156D">
              <w:t>Demonstrate an appropriate level of skills enabling employment</w:t>
            </w:r>
          </w:p>
          <w:p w:rsidR="00000000" w:rsidP="0007156D">
            <w:pPr>
              <w:pStyle w:val="ListBullet2"/>
              <w:rPr>
                <w:lang w:val="en-NZ"/>
              </w:rPr>
            </w:pPr>
            <w:r w:rsidRPr="0007156D">
              <w:t>Conduct work observing the relevant Anti Discrimination legislation, regulations, polices</w:t>
            </w:r>
            <w:r w:rsidRPr="0007156D">
              <w:t xml:space="preserve"> and workplace procedures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7156D">
            <w:pPr>
              <w:pStyle w:val="ListBullet"/>
              <w:rPr>
                <w:lang w:val="en-NZ"/>
              </w:rPr>
            </w:pPr>
            <w:r w:rsidRPr="0007156D">
              <w:t>Demonstrated consistent performance across a representative range of contexts from the prescribed items below:</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7156D">
            <w:pPr>
              <w:pStyle w:val="ListBullet2"/>
              <w:rPr>
                <w:lang w:val="en-NZ"/>
              </w:rPr>
            </w:pPr>
            <w:r w:rsidRPr="0007156D">
              <w:t xml:space="preserve">Pressure testing, charging/discharging refrigerant/lubricants and determining the operating </w:t>
            </w:r>
            <w:r w:rsidRPr="0007156D">
              <w:t>conditions of Ammonia vapour compression and liquid recirculation refrigeration system. as described in 8) and including:</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A</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Reading and interpreting drawings to pipe work layouts and apparatus locations.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B</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Installing, connecting , securing and aligning components and equipment and ensuring that all equipment and  pipe work is compliant with codes and regulations   </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C</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Pressure testing entire system at the appropriate design test pressures using dry nitroge</w:t>
            </w:r>
            <w:r w:rsidRPr="0007156D">
              <w:t>n</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Removing system contaminants and evacuating</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E</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Selecting and using appropriate measuring devices correctly</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F</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Recording measurements </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G</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 xml:space="preserve">Using calculation methods accurately </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H</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Discharging / charging refrigerant / lubricants and pressure testing the system without damage to components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I</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Locating and rectifying leaks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J</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Using methodical and efficient commissioning techniques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K</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Optimizing system performance and efficiency</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L</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Identifying the conditions of the refrigerant (R717) at various locations in the vapour compression and liquid recirculation system.</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M</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Documenting operating conditions correctly</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N</w:t>
            </w:r>
          </w:p>
        </w:tc>
        <w:tc>
          <w:tcPr>
            <w:tcW w:w="504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Dealing with unplanned events by drawing on essential knowledge an</w:t>
            </w:r>
            <w:r w:rsidRPr="0007156D">
              <w:t>d skills to provide appropriate solutions incorporated in a holistic assessment with the above listed items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9</w:t>
            </w:r>
            <w:r w:rsidRPr="0007156D">
              <w:t>.</w:t>
            </w:r>
            <w:r w:rsidRPr="0007156D">
              <w:rPr>
                <w:rStyle w:val="SpecialBold"/>
              </w:rPr>
              <w:t>3</w:t>
            </w:r>
            <w:r w:rsidRPr="0007156D">
              <w:t xml:space="preserve">) </w:t>
            </w:r>
          </w:p>
          <w:p w:rsidR="00000000" w:rsidRPr="0007156D" w:rsidP="0007156D">
            <w:pPr>
              <w:pStyle w:val="BodyText"/>
            </w:pPr>
            <w:r w:rsidRPr="0007156D">
              <w:t>This unit should be assessed as it relates to normal work practice using procedures, information and resources typical of a workplace. This should include:</w:t>
            </w:r>
          </w:p>
          <w:p w:rsidR="00000000" w:rsidRPr="0007156D" w:rsidP="0007156D">
            <w:pPr>
              <w:pStyle w:val="ListBullet"/>
            </w:pPr>
            <w:r w:rsidRPr="0007156D">
              <w:t>OHS policy and work procedures and instructions.</w:t>
            </w:r>
          </w:p>
          <w:p w:rsidR="00000000" w:rsidRPr="0007156D" w:rsidP="0007156D">
            <w:pPr>
              <w:pStyle w:val="ListBullet"/>
            </w:pPr>
            <w:r w:rsidRPr="0007156D">
              <w:t>Suitable work environment, facilities, equipment a</w:t>
            </w:r>
            <w:r w:rsidRPr="0007156D">
              <w:t>nd materials to undertake actual work as prescribed by this unit.</w:t>
            </w:r>
          </w:p>
          <w:p w:rsidR="00000000" w:rsidRPr="0007156D" w:rsidP="0007156D">
            <w:pPr>
              <w:pStyle w:val="BodyText"/>
            </w:pPr>
            <w:r w:rsidRPr="0007156D">
              <w:t>These should be part of the formal learning/assessment environment.</w:t>
            </w:r>
          </w:p>
          <w:p w:rsidR="00000000" w:rsidRPr="0007156D" w:rsidP="0007156D">
            <w:pPr>
              <w:pStyle w:val="BodyText"/>
            </w:pPr>
            <w:r w:rsidRPr="0007156D">
              <w:t>Note:</w:t>
            </w:r>
          </w:p>
          <w:p w:rsidR="00000000" w:rsidP="0007156D">
            <w:pPr>
              <w:pStyle w:val="BodyText"/>
              <w:rPr>
                <w:lang w:val="en-NZ"/>
              </w:rPr>
            </w:pPr>
            <w:r w:rsidRPr="0007156D">
              <w:t>Where simulation is considered a suitable strategy for assessment, conditions must be authentic and as far as possib</w:t>
            </w:r>
            <w:r w:rsidRPr="0007156D">
              <w:t>le reproduce and replicate the workplace and be consistent with the approved industry simulation policy.</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The resources used for assessment should reflect current industry practices in relation to servicing and repairing as well as determining the opera</w:t>
            </w:r>
            <w:r w:rsidRPr="0007156D">
              <w:t>ting conditions of Ammonia vapour compression and liquid recirculation systems.</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9</w:t>
            </w:r>
            <w:r w:rsidRPr="0007156D">
              <w:t>.</w:t>
            </w:r>
            <w:r w:rsidRPr="0007156D">
              <w:rPr>
                <w:rStyle w:val="SpecialBold"/>
              </w:rPr>
              <w:t>4</w:t>
            </w:r>
            <w:r w:rsidRPr="0007156D">
              <w:t xml:space="preserve">) </w:t>
            </w:r>
          </w:p>
          <w:p w:rsidR="00000000" w:rsidRPr="0007156D" w:rsidP="0007156D">
            <w:pPr>
              <w:pStyle w:val="BodyText"/>
            </w:pPr>
            <w:r w:rsidRPr="0007156D">
              <w:t>This unit shall be assessed by methods given in Volume 1, Part 3 'Assessment Guidelines'.</w:t>
            </w:r>
          </w:p>
          <w:p w:rsidR="00000000" w:rsidP="0007156D">
            <w:pPr>
              <w:pStyle w:val="BodyText"/>
              <w:rPr>
                <w:lang w:val="en-NZ"/>
              </w:rPr>
            </w:pPr>
            <w:r w:rsidRPr="0007156D">
              <w:t xml:space="preserve">Note: </w:t>
            </w:r>
            <w:r w:rsidRPr="0007156D">
              <w:br/>
            </w:r>
            <w:r w:rsidRPr="0007156D">
              <w:t>Competent performance with inherent safe working practices is expected in the Industry to which this unit applies. This requires assessment in a structured environment which is intended primarily for learning/assessment and incorporates all necessary equip</w:t>
            </w:r>
            <w:r w:rsidRPr="0007156D">
              <w:t>ment and facilities for learners to develop and demonstrate the essential knowledge and skills described in this unit.</w:t>
            </w:r>
          </w:p>
        </w:tc>
      </w:tr>
      <w:tr w:rsidTr="00244C9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9</w:t>
            </w:r>
            <w:r w:rsidRPr="0007156D">
              <w:t>.</w:t>
            </w:r>
            <w:r w:rsidRPr="0007156D">
              <w:rPr>
                <w:rStyle w:val="SpecialBold"/>
              </w:rPr>
              <w:t>5</w:t>
            </w:r>
            <w:r w:rsidRPr="0007156D">
              <w:t>)</w:t>
            </w:r>
          </w:p>
        </w:tc>
      </w:tr>
      <w:tr w:rsidTr="00244C9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There are no concurrent assessment recommendations for this unit.</w:t>
            </w:r>
          </w:p>
        </w:tc>
      </w:tr>
      <w:tr w:rsidTr="00244C9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The critical aspects of occupational health and safety covered in unit UEENEEE001B and other discipline specific occupational health and safety units shall be incorporated in relation to this unit..</w:t>
            </w:r>
          </w:p>
        </w:tc>
      </w:tr>
    </w:tbl>
    <w:p w:rsidR="00244C9D" w:rsidP="0007156D">
      <w:pPr>
        <w:pStyle w:val="BodyText"/>
      </w:pPr>
    </w:p>
    <w:p w:rsidR="00244C9D" w:rsidP="0007156D">
      <w:pPr>
        <w:pStyle w:val="BodyText"/>
      </w:pPr>
    </w:p>
    <w:p w:rsidR="00000000" w:rsidRPr="0007156D" w:rsidP="0007156D">
      <w:pPr>
        <w:pStyle w:val="Heading1"/>
      </w:pPr>
      <w:bookmarkStart w:id="11" w:name="O_710098"/>
      <w:bookmarkEnd w:id="11"/>
      <w:r w:rsidRPr="0007156D">
        <w:t>Range Statement</w:t>
      </w:r>
    </w:p>
    <w:tbl>
      <w:tblPr>
        <w:tblW w:w="0" w:type="auto"/>
        <w:tblLayout w:type="fixed"/>
        <w:tblCellMar>
          <w:left w:w="62" w:type="dxa"/>
          <w:right w:w="62" w:type="dxa"/>
        </w:tblCellMar>
        <w:tblLook w:val="0000"/>
      </w:tblPr>
      <w:tblGrid>
        <w:gridCol w:w="8460"/>
      </w:tblGrid>
      <w:tr w:rsidTr="00244C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RANGE STATEMENT</w:t>
            </w:r>
          </w:p>
        </w:tc>
      </w:tr>
      <w:tr w:rsidTr="00244C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8</w:t>
            </w:r>
            <w:r w:rsidRPr="0007156D">
              <w:t>) This relates to the unit as a whole providing the range of contexts and conditions to which the performance criteria apply. It allows for different work environments and situations that will affect performance.</w:t>
            </w:r>
          </w:p>
        </w:tc>
      </w:tr>
      <w:tr w:rsidTr="00244C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This unit must be demonstrated in relati</w:t>
            </w:r>
            <w:r w:rsidRPr="0007156D">
              <w:t>on to determining operating conditions using measurement and basic calculation methods of Ammonia refrigeration system. These conditions include suction and discharge pressures, ambient, evaporator and condensing temperatures, evaporator, and condenser tem</w:t>
            </w:r>
            <w:r w:rsidRPr="0007156D">
              <w:t>perature difference, critical point of Ammonia (R717). Further, this unit must be demonstrated in relation to charging and discharging an Ammonia (R717) system with refrigerant and lubricant in a safe and environmentally responsible manner.</w:t>
            </w:r>
          </w:p>
        </w:tc>
      </w:tr>
      <w:tr w:rsidTr="00244C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 xml:space="preserve">Generic terms </w:t>
            </w:r>
            <w:r w:rsidRPr="0007156D">
              <w:t>used throughout this Vocational Standard shall be regarded as part of the Range Statement in which competency is demonstrated. The definition of these and other terms that apply are given in Volume 2, Part 2.1.</w:t>
            </w:r>
          </w:p>
        </w:tc>
      </w:tr>
    </w:tbl>
    <w:p w:rsidR="00244C9D" w:rsidP="0007156D">
      <w:pPr>
        <w:pStyle w:val="BodyText"/>
      </w:pPr>
    </w:p>
    <w:p w:rsidR="00244C9D" w:rsidP="0007156D">
      <w:pPr>
        <w:pStyle w:val="BodyText"/>
      </w:pPr>
    </w:p>
    <w:p w:rsidR="00000000" w:rsidRPr="0007156D" w:rsidP="0007156D">
      <w:pPr>
        <w:pStyle w:val="Heading1"/>
      </w:pPr>
      <w:bookmarkStart w:id="12" w:name="O_710097"/>
      <w:bookmarkEnd w:id="12"/>
      <w:r w:rsidRPr="0007156D">
        <w:t>Unit Sector(s)</w:t>
      </w:r>
    </w:p>
    <w:p w:rsidR="00000000" w:rsidRPr="0007156D" w:rsidP="0007156D">
      <w:pPr>
        <w:pStyle w:val="BodyText"/>
      </w:pPr>
      <w:r w:rsidRPr="0007156D">
        <w:t>Not Applic</w:t>
      </w:r>
      <w:r w:rsidRPr="0007156D">
        <w:t>able</w:t>
      </w:r>
    </w:p>
    <w:p w:rsidR="00000000" w:rsidRPr="0007156D" w:rsidP="0007156D">
      <w:pPr>
        <w:pStyle w:val="AllowPageBreak"/>
      </w:pPr>
    </w:p>
    <w:p w:rsidR="00000000" w:rsidRPr="0007156D" w:rsidP="0007156D">
      <w:pPr>
        <w:pStyle w:val="Heading1"/>
      </w:pPr>
      <w:bookmarkStart w:id="13" w:name="O_710096"/>
      <w:bookmarkEnd w:id="13"/>
      <w:r w:rsidRPr="0007156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44C9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2</w:t>
            </w:r>
            <w:r w:rsidRPr="0007156D">
              <w:t>.</w:t>
            </w:r>
            <w:r w:rsidRPr="0007156D">
              <w:rPr>
                <w:rStyle w:val="SpecialBold"/>
              </w:rPr>
              <w:t>2</w:t>
            </w:r>
            <w:r w:rsidRPr="0007156D">
              <w:t xml:space="preserve">) </w:t>
            </w:r>
            <w:r w:rsidRPr="0007156D">
              <w:rPr>
                <w:rStyle w:val="SpecialBold"/>
              </w:rPr>
              <w:t>Literacy and numeracy skills</w:t>
            </w:r>
          </w:p>
          <w:p w:rsidR="00000000" w:rsidP="0007156D">
            <w:pPr>
              <w:pStyle w:val="BodyText"/>
              <w:rPr>
                <w:lang w:val="en-NZ"/>
              </w:rPr>
            </w:pPr>
            <w:r w:rsidRPr="0007156D">
              <w:t>Participants are best equipped to achieve competency in this unit if they have reading, writing and numeracy skills indicated by the following scales. Description of each scale is given in Volume 2, Part 3 'Literacy and Numeracy'</w:t>
            </w:r>
          </w:p>
        </w:tc>
      </w:tr>
      <w:tr w:rsidTr="00244C9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Reading</w:t>
            </w:r>
          </w:p>
        </w:tc>
        <w:tc>
          <w:tcPr>
            <w:tcW w:w="1182"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4</w:t>
            </w:r>
          </w:p>
        </w:tc>
        <w:tc>
          <w:tcPr>
            <w:tcW w:w="1739"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Writing</w:t>
            </w:r>
          </w:p>
        </w:tc>
        <w:tc>
          <w:tcPr>
            <w:tcW w:w="1182"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4</w:t>
            </w:r>
          </w:p>
        </w:tc>
        <w:tc>
          <w:tcPr>
            <w:tcW w:w="1721"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t>Numeracy</w:t>
            </w:r>
          </w:p>
        </w:tc>
        <w:tc>
          <w:tcPr>
            <w:tcW w:w="1182"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4</w:t>
            </w:r>
          </w:p>
        </w:tc>
      </w:tr>
    </w:tbl>
    <w:p w:rsidR="00244C9D" w:rsidP="0007156D">
      <w:pPr>
        <w:pStyle w:val="BodyText"/>
      </w:pPr>
    </w:p>
    <w:p w:rsidR="00244C9D" w:rsidP="0007156D">
      <w:pPr>
        <w:pStyle w:val="BodyText"/>
      </w:pPr>
    </w:p>
    <w:p w:rsidR="00000000" w:rsidRPr="0007156D" w:rsidP="0007156D">
      <w:pPr>
        <w:pStyle w:val="Heading1"/>
      </w:pPr>
      <w:bookmarkStart w:id="14" w:name="O_710095"/>
      <w:bookmarkEnd w:id="14"/>
      <w:r w:rsidRPr="0007156D">
        <w:t>2.2) Literacy and numeracy skills</w:t>
      </w:r>
    </w:p>
    <w:tbl>
      <w:tblPr>
        <w:tblW w:w="0" w:type="auto"/>
        <w:tblLayout w:type="fixed"/>
        <w:tblCellMar>
          <w:left w:w="62" w:type="dxa"/>
          <w:right w:w="62" w:type="dxa"/>
        </w:tblCellMar>
        <w:tblLook w:val="0000"/>
      </w:tblPr>
      <w:tblGrid>
        <w:gridCol w:w="2700"/>
        <w:gridCol w:w="5760"/>
      </w:tblGrid>
      <w:tr w:rsidTr="00244C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156D">
            <w:pPr>
              <w:pStyle w:val="BodyText"/>
              <w:rPr>
                <w:lang w:val="en-NZ"/>
              </w:rPr>
            </w:pPr>
            <w:r w:rsidRPr="0007156D">
              <w:rPr>
                <w:rStyle w:val="SpecialBold"/>
              </w:rPr>
              <w:t>5</w:t>
            </w:r>
            <w:r w:rsidRPr="0007156D">
              <w:t>)</w:t>
            </w:r>
          </w:p>
        </w:tc>
      </w:tr>
      <w:tr w:rsidTr="00244C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156D" w:rsidP="0007156D">
            <w:pPr>
              <w:pStyle w:val="BodyText"/>
            </w:pPr>
            <w:r w:rsidRPr="0007156D">
              <w:t>Refrigeration and Air Conditioning</w:t>
            </w:r>
          </w:p>
        </w:tc>
      </w:tr>
    </w:tbl>
    <w:p w:rsidR="00244C9D" w:rsidP="0007156D">
      <w:pPr>
        <w:pStyle w:val="BodyText"/>
      </w:pPr>
    </w:p>
    <w:p w:rsidR="00244C9D" w:rsidP="0007156D">
      <w:pPr>
        <w:pStyle w:val="BodyText"/>
      </w:pPr>
    </w:p>
    <w:p w:rsidR="00000000" w:rsidRPr="0007156D" w:rsidP="0007156D"/>
    <w:sectPr w:rsidSect="00071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6D" w:rsidRPr="00244C9D" w:rsidP="00244C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9D" w:rsidP="00071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244C9D" w:rsidP="0007156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44C9D" w:rsidP="00071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6D" w:rsidRPr="00244C9D" w:rsidP="00244C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9D" w:rsidRPr="002D2AF8" w:rsidP="0007156D">
    <w:pPr>
      <w:pStyle w:val="Header"/>
      <w:framePr w:wrap="around"/>
    </w:pPr>
    <w:r>
      <w:fldChar w:fldCharType="begin"/>
    </w:r>
    <w:r>
      <w:instrText xml:space="preserve"> TITLE   \* MERGEFORMAT </w:instrText>
    </w:r>
    <w:r>
      <w:fldChar w:fldCharType="separate"/>
    </w:r>
    <w:r>
      <w:t>UEENEEJ180A Install and commission ammonia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244C9D" w:rsidP="00071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2D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05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48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56D"/>
    <w:pPr>
      <w:spacing w:before="360" w:after="60"/>
      <w:outlineLvl w:val="0"/>
    </w:pPr>
    <w:rPr>
      <w:sz w:val="32"/>
    </w:rPr>
  </w:style>
  <w:style w:type="paragraph" w:styleId="Heading2">
    <w:name w:val="heading 2"/>
    <w:basedOn w:val="HeadingBase"/>
    <w:next w:val="BodyText"/>
    <w:link w:val="Heading2Char"/>
    <w:qFormat/>
    <w:rsid w:val="0007156D"/>
    <w:pPr>
      <w:keepLines/>
      <w:spacing w:before="240" w:after="120"/>
      <w:outlineLvl w:val="1"/>
    </w:pPr>
    <w:rPr>
      <w:sz w:val="28"/>
      <w:szCs w:val="40"/>
    </w:rPr>
  </w:style>
  <w:style w:type="paragraph" w:styleId="Heading3">
    <w:name w:val="heading 3"/>
    <w:basedOn w:val="HeadingBase"/>
    <w:next w:val="BodyText"/>
    <w:link w:val="Heading3Char"/>
    <w:qFormat/>
    <w:rsid w:val="0007156D"/>
    <w:pPr>
      <w:spacing w:before="180" w:after="120"/>
      <w:outlineLvl w:val="2"/>
    </w:pPr>
    <w:rPr>
      <w:spacing w:val="-10"/>
      <w:kern w:val="32"/>
    </w:rPr>
  </w:style>
  <w:style w:type="paragraph" w:styleId="Heading4">
    <w:name w:val="heading 4"/>
    <w:basedOn w:val="HeadingBase"/>
    <w:next w:val="BodyText"/>
    <w:link w:val="Heading4Char"/>
    <w:qFormat/>
    <w:rsid w:val="0007156D"/>
    <w:pPr>
      <w:spacing w:before="160" w:after="120"/>
      <w:outlineLvl w:val="3"/>
    </w:pPr>
    <w:rPr>
      <w:sz w:val="22"/>
    </w:rPr>
  </w:style>
  <w:style w:type="paragraph" w:styleId="Heading5">
    <w:name w:val="heading 5"/>
    <w:basedOn w:val="HeadingBase"/>
    <w:next w:val="Normal"/>
    <w:link w:val="Heading5Char"/>
    <w:qFormat/>
    <w:rsid w:val="0007156D"/>
    <w:pPr>
      <w:spacing w:before="80"/>
      <w:outlineLvl w:val="4"/>
    </w:pPr>
    <w:rPr>
      <w:color w:val="918585"/>
      <w:sz w:val="20"/>
    </w:rPr>
  </w:style>
  <w:style w:type="paragraph" w:styleId="Heading6">
    <w:name w:val="heading 6"/>
    <w:basedOn w:val="HeadingBase"/>
    <w:next w:val="Normal"/>
    <w:link w:val="Heading6Char"/>
    <w:qFormat/>
    <w:rsid w:val="0007156D"/>
    <w:pPr>
      <w:spacing w:before="60"/>
      <w:outlineLvl w:val="5"/>
    </w:pPr>
    <w:rPr>
      <w:color w:val="918585"/>
      <w:sz w:val="20"/>
    </w:rPr>
  </w:style>
  <w:style w:type="paragraph" w:styleId="Heading7">
    <w:name w:val="heading 7"/>
    <w:basedOn w:val="Normal"/>
    <w:next w:val="Normal"/>
    <w:link w:val="Heading7Char"/>
    <w:qFormat/>
    <w:rsid w:val="0007156D"/>
    <w:pPr>
      <w:ind w:left="720"/>
      <w:outlineLvl w:val="6"/>
    </w:pPr>
    <w:rPr>
      <w:i/>
    </w:rPr>
  </w:style>
  <w:style w:type="paragraph" w:styleId="Heading8">
    <w:name w:val="heading 8"/>
    <w:basedOn w:val="Normal"/>
    <w:next w:val="Normal"/>
    <w:link w:val="Heading8Char"/>
    <w:qFormat/>
    <w:rsid w:val="0007156D"/>
    <w:pPr>
      <w:ind w:left="720"/>
      <w:outlineLvl w:val="7"/>
    </w:pPr>
    <w:rPr>
      <w:i/>
    </w:rPr>
  </w:style>
  <w:style w:type="paragraph" w:styleId="Heading9">
    <w:name w:val="heading 9"/>
    <w:basedOn w:val="Normal"/>
    <w:next w:val="Normal"/>
    <w:link w:val="Heading9Char"/>
    <w:qFormat/>
    <w:rsid w:val="0007156D"/>
    <w:pPr>
      <w:ind w:left="720"/>
      <w:outlineLvl w:val="8"/>
    </w:pPr>
    <w:rPr>
      <w:i/>
    </w:rPr>
  </w:style>
  <w:style w:type="character" w:default="1" w:styleId="DefaultParagraphFont">
    <w:name w:val="Default Paragraph Font"/>
    <w:uiPriority w:val="1"/>
    <w:unhideWhenUsed/>
    <w:rsid w:val="00071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56D"/>
  </w:style>
  <w:style w:type="character" w:customStyle="1" w:styleId="Heading1Char">
    <w:name w:val="Heading 1 Char"/>
    <w:basedOn w:val="DefaultParagraphFont"/>
    <w:link w:val="Heading1"/>
    <w:rsid w:val="0007156D"/>
    <w:rPr>
      <w:rFonts w:ascii="Times New Roman" w:eastAsia="Times New Roman" w:hAnsi="Times New Roman" w:cs="Times New Roman"/>
      <w:b/>
      <w:sz w:val="32"/>
      <w:szCs w:val="20"/>
      <w:lang w:eastAsia="en-US"/>
    </w:rPr>
  </w:style>
  <w:style w:type="paragraph" w:styleId="BodyText">
    <w:name w:val="Body Text"/>
    <w:basedOn w:val="Normal"/>
    <w:link w:val="BodyTextChar"/>
    <w:rsid w:val="000715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56D"/>
    <w:rPr>
      <w:rFonts w:ascii="Times New Roman" w:eastAsia="Times New Roman" w:hAnsi="Times New Roman" w:cs="Times New Roman"/>
      <w:sz w:val="24"/>
      <w:lang w:eastAsia="en-US"/>
    </w:rPr>
  </w:style>
  <w:style w:type="paragraph" w:styleId="ListBullet">
    <w:name w:val="List Bullet"/>
    <w:basedOn w:val="List"/>
    <w:rsid w:val="0007156D"/>
    <w:pPr>
      <w:numPr>
        <w:numId w:val="13"/>
      </w:numPr>
      <w:tabs>
        <w:tab w:val="clear" w:pos="340"/>
      </w:tabs>
      <w:spacing w:before="40" w:after="40"/>
    </w:pPr>
  </w:style>
  <w:style w:type="character" w:customStyle="1" w:styleId="SpecialBold">
    <w:name w:val="Special Bold"/>
    <w:basedOn w:val="DefaultParagraphFont"/>
    <w:rsid w:val="0007156D"/>
    <w:rPr>
      <w:b/>
      <w:spacing w:val="0"/>
    </w:rPr>
  </w:style>
  <w:style w:type="paragraph" w:styleId="ListBullet2">
    <w:name w:val="List Bullet 2"/>
    <w:basedOn w:val="List2"/>
    <w:rsid w:val="0007156D"/>
    <w:pPr>
      <w:numPr>
        <w:numId w:val="14"/>
      </w:numPr>
      <w:tabs>
        <w:tab w:val="clear" w:pos="680"/>
      </w:tabs>
    </w:pPr>
  </w:style>
  <w:style w:type="paragraph" w:customStyle="1" w:styleId="SuperHeading">
    <w:name w:val="SuperHeading"/>
    <w:basedOn w:val="Normal"/>
    <w:rsid w:val="0007156D"/>
    <w:pPr>
      <w:spacing w:before="240" w:after="120"/>
      <w:outlineLvl w:val="0"/>
    </w:pPr>
    <w:rPr>
      <w:rFonts w:ascii="Times New Roman" w:hAnsi="Times New Roman"/>
      <w:b/>
      <w:sz w:val="32"/>
    </w:rPr>
  </w:style>
  <w:style w:type="paragraph" w:customStyle="1" w:styleId="AllowPageBreak">
    <w:name w:val="AllowPageBreak"/>
    <w:rsid w:val="00071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56D"/>
    <w:rPr>
      <w:rFonts w:ascii="Courier New" w:eastAsia="Times New Roman" w:hAnsi="Courier New" w:cs="Times New Roman"/>
      <w:i/>
      <w:szCs w:val="20"/>
      <w:lang w:eastAsia="en-US"/>
    </w:rPr>
  </w:style>
  <w:style w:type="paragraph" w:customStyle="1" w:styleId="HeadingBase">
    <w:name w:val="Heading Base"/>
    <w:rsid w:val="00071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56D"/>
    <w:pPr>
      <w:tabs>
        <w:tab w:val="right" w:leader="dot" w:pos="9072"/>
      </w:tabs>
      <w:ind w:left="567"/>
    </w:pPr>
    <w:rPr>
      <w:szCs w:val="22"/>
    </w:rPr>
  </w:style>
  <w:style w:type="paragraph" w:customStyle="1" w:styleId="TOCBase">
    <w:name w:val="TOC Base"/>
    <w:rsid w:val="00071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56D"/>
    <w:pPr>
      <w:tabs>
        <w:tab w:val="right" w:leader="dot" w:pos="9072"/>
      </w:tabs>
      <w:spacing w:before="40" w:after="40"/>
      <w:ind w:left="284"/>
    </w:pPr>
    <w:rPr>
      <w:rFonts w:ascii="Times New Roman" w:hAnsi="Times New Roman"/>
    </w:rPr>
  </w:style>
  <w:style w:type="paragraph" w:styleId="TOC1">
    <w:name w:val="toc 1"/>
    <w:basedOn w:val="TOCBase"/>
    <w:next w:val="Normal"/>
    <w:rsid w:val="00071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56D"/>
    <w:rPr>
      <w:rFonts w:ascii="Times New Roman" w:eastAsia="Times New Roman" w:hAnsi="Times New Roman" w:cs="Times New Roman"/>
      <w:sz w:val="16"/>
      <w:lang w:eastAsia="en-US"/>
    </w:rPr>
  </w:style>
  <w:style w:type="paragraph" w:styleId="Title">
    <w:name w:val="Title"/>
    <w:basedOn w:val="HeadingBase"/>
    <w:link w:val="TitleChar"/>
    <w:qFormat/>
    <w:rsid w:val="0007156D"/>
    <w:pPr>
      <w:spacing w:before="5040"/>
      <w:jc w:val="center"/>
    </w:pPr>
    <w:rPr>
      <w:sz w:val="48"/>
      <w:szCs w:val="72"/>
      <w:lang w:val="en-US"/>
    </w:rPr>
  </w:style>
  <w:style w:type="character" w:customStyle="1" w:styleId="TitleChar">
    <w:name w:val="Title Char"/>
    <w:basedOn w:val="DefaultParagraphFont"/>
    <w:link w:val="Title"/>
    <w:rsid w:val="00071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56D"/>
    <w:pPr>
      <w:tabs>
        <w:tab w:val="left" w:pos="3600"/>
        <w:tab w:val="left" w:pos="3958"/>
      </w:tabs>
    </w:pPr>
  </w:style>
  <w:style w:type="paragraph" w:styleId="List">
    <w:name w:val="List"/>
    <w:basedOn w:val="BodyText"/>
    <w:next w:val="BodyText"/>
    <w:rsid w:val="0007156D"/>
    <w:pPr>
      <w:tabs>
        <w:tab w:val="left" w:pos="340"/>
      </w:tabs>
      <w:spacing w:before="60" w:after="60"/>
      <w:ind w:left="340" w:hanging="340"/>
    </w:pPr>
  </w:style>
  <w:style w:type="paragraph" w:customStyle="1" w:styleId="Note">
    <w:name w:val="Note"/>
    <w:basedOn w:val="BodyText"/>
    <w:rsid w:val="00071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56D"/>
    <w:pPr>
      <w:framePr w:wrap="auto" w:hAnchor="text" w:y="6049"/>
    </w:pPr>
    <w:rPr>
      <w:color w:val="000000"/>
      <w:sz w:val="40"/>
    </w:rPr>
  </w:style>
  <w:style w:type="paragraph" w:customStyle="1" w:styleId="TOCTitle">
    <w:name w:val="TOCTitle"/>
    <w:basedOn w:val="Heading1"/>
    <w:rsid w:val="0007156D"/>
    <w:pPr>
      <w:spacing w:after="240"/>
      <w:jc w:val="center"/>
      <w:outlineLvl w:val="9"/>
    </w:pPr>
    <w:rPr>
      <w:caps/>
    </w:rPr>
  </w:style>
  <w:style w:type="paragraph" w:customStyle="1" w:styleId="Version">
    <w:name w:val="Version"/>
    <w:rsid w:val="00071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56D"/>
    <w:pPr>
      <w:keepNext w:val="0"/>
      <w:tabs>
        <w:tab w:val="right" w:pos="4176"/>
      </w:tabs>
      <w:ind w:left="198" w:hanging="198"/>
    </w:pPr>
    <w:rPr>
      <w:rFonts w:ascii="Garamond" w:hAnsi="Garamond"/>
    </w:rPr>
  </w:style>
  <w:style w:type="paragraph" w:styleId="IndexHeading">
    <w:name w:val="index heading"/>
    <w:basedOn w:val="Normal"/>
    <w:next w:val="Index1"/>
    <w:semiHidden/>
    <w:rsid w:val="0007156D"/>
    <w:pPr>
      <w:spacing w:before="120" w:after="120"/>
    </w:pPr>
    <w:rPr>
      <w:rFonts w:ascii="Arial" w:hAnsi="Arial"/>
      <w:b/>
      <w:color w:val="918585"/>
      <w:sz w:val="24"/>
    </w:rPr>
  </w:style>
  <w:style w:type="paragraph" w:styleId="Header">
    <w:name w:val="header"/>
    <w:basedOn w:val="Normal"/>
    <w:link w:val="HeaderChar"/>
    <w:rsid w:val="00071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56D"/>
    <w:rPr>
      <w:rFonts w:ascii="Times New Roman" w:eastAsia="Times New Roman" w:hAnsi="Times New Roman" w:cs="Times New Roman"/>
      <w:sz w:val="16"/>
      <w:szCs w:val="20"/>
      <w:lang w:val="en-GB" w:eastAsia="en-US"/>
    </w:rPr>
  </w:style>
  <w:style w:type="paragraph" w:customStyle="1" w:styleId="Chapter">
    <w:name w:val="Chapter"/>
    <w:basedOn w:val="Normal"/>
    <w:rsid w:val="0007156D"/>
    <w:pPr>
      <w:spacing w:before="240"/>
    </w:pPr>
    <w:rPr>
      <w:rFonts w:ascii="Times New Roman" w:hAnsi="Times New Roman"/>
      <w:smallCaps/>
      <w:spacing w:val="80"/>
      <w:sz w:val="28"/>
    </w:rPr>
  </w:style>
  <w:style w:type="paragraph" w:customStyle="1" w:styleId="InChapter">
    <w:name w:val="InChapter"/>
    <w:basedOn w:val="Heading3"/>
    <w:rsid w:val="0007156D"/>
    <w:pPr>
      <w:spacing w:after="240"/>
      <w:outlineLvl w:val="9"/>
    </w:pPr>
    <w:rPr>
      <w:noProof/>
    </w:rPr>
  </w:style>
  <w:style w:type="paragraph" w:styleId="Index2">
    <w:name w:val="index 2"/>
    <w:basedOn w:val="Normal"/>
    <w:next w:val="Normal"/>
    <w:semiHidden/>
    <w:rsid w:val="0007156D"/>
    <w:pPr>
      <w:tabs>
        <w:tab w:val="right" w:pos="4176"/>
      </w:tabs>
      <w:ind w:left="568" w:hanging="284"/>
    </w:pPr>
    <w:rPr>
      <w:rFonts w:ascii="Garamond" w:hAnsi="Garamond"/>
    </w:rPr>
  </w:style>
  <w:style w:type="paragraph" w:customStyle="1" w:styleId="Byline">
    <w:name w:val="Byline"/>
    <w:rsid w:val="00071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56D"/>
    <w:pPr>
      <w:tabs>
        <w:tab w:val="clear" w:pos="3600"/>
        <w:tab w:val="clear" w:pos="3958"/>
      </w:tabs>
      <w:jc w:val="right"/>
    </w:pPr>
  </w:style>
  <w:style w:type="character" w:styleId="Emphasis">
    <w:name w:val="Emphasis"/>
    <w:basedOn w:val="DefaultParagraphFont"/>
    <w:qFormat/>
    <w:rsid w:val="0007156D"/>
    <w:rPr>
      <w:i/>
    </w:rPr>
  </w:style>
  <w:style w:type="paragraph" w:styleId="Caption">
    <w:name w:val="caption"/>
    <w:basedOn w:val="BodyText"/>
    <w:next w:val="Normal"/>
    <w:qFormat/>
    <w:rsid w:val="0007156D"/>
    <w:pPr>
      <w:framePr w:w="2268" w:hSpace="181" w:vSpace="181" w:wrap="around" w:vAnchor="text" w:hAnchor="page" w:x="1135" w:y="285" w:anchorLock="1"/>
    </w:pPr>
    <w:rPr>
      <w:i/>
    </w:rPr>
  </w:style>
  <w:style w:type="paragraph" w:customStyle="1" w:styleId="MiniTOCTitle">
    <w:name w:val="MiniTOCTitle"/>
    <w:basedOn w:val="Heading4"/>
    <w:rsid w:val="0007156D"/>
    <w:pPr>
      <w:spacing w:before="240"/>
      <w:outlineLvl w:val="9"/>
    </w:pPr>
    <w:rPr>
      <w:noProof/>
      <w:sz w:val="24"/>
    </w:rPr>
  </w:style>
  <w:style w:type="paragraph" w:customStyle="1" w:styleId="MiniTOCItem">
    <w:name w:val="MiniTOCItem"/>
    <w:basedOn w:val="ListBullet"/>
    <w:rsid w:val="0007156D"/>
    <w:pPr>
      <w:numPr>
        <w:numId w:val="0"/>
      </w:numPr>
      <w:tabs>
        <w:tab w:val="right" w:leader="dot" w:pos="6521"/>
      </w:tabs>
      <w:spacing w:before="0" w:after="0"/>
    </w:pPr>
  </w:style>
  <w:style w:type="paragraph" w:customStyle="1" w:styleId="TOFTitle">
    <w:name w:val="TOFTitle"/>
    <w:basedOn w:val="TOCTitle"/>
    <w:rsid w:val="0007156D"/>
  </w:style>
  <w:style w:type="paragraph" w:styleId="TableofFigures">
    <w:name w:val="table of figures"/>
    <w:basedOn w:val="Normal"/>
    <w:next w:val="Normal"/>
    <w:semiHidden/>
    <w:rsid w:val="0007156D"/>
    <w:pPr>
      <w:tabs>
        <w:tab w:val="right" w:leader="dot" w:pos="9072"/>
      </w:tabs>
      <w:ind w:left="970" w:hanging="403"/>
    </w:pPr>
    <w:rPr>
      <w:rFonts w:ascii="Times New Roman" w:hAnsi="Times New Roman"/>
      <w:b/>
    </w:rPr>
  </w:style>
  <w:style w:type="paragraph" w:styleId="ListNumber">
    <w:name w:val="List Number"/>
    <w:basedOn w:val="List"/>
    <w:rsid w:val="0007156D"/>
    <w:pPr>
      <w:numPr>
        <w:numId w:val="11"/>
      </w:numPr>
    </w:pPr>
  </w:style>
  <w:style w:type="character" w:customStyle="1" w:styleId="WingdingSymbols">
    <w:name w:val="Wingding Symbols"/>
    <w:rsid w:val="0007156D"/>
    <w:rPr>
      <w:rFonts w:ascii="Wingdings" w:hAnsi="Wingdings"/>
    </w:rPr>
  </w:style>
  <w:style w:type="paragraph" w:customStyle="1" w:styleId="TableHeading">
    <w:name w:val="Table Heading"/>
    <w:basedOn w:val="HeadingBase"/>
    <w:rsid w:val="0007156D"/>
    <w:pPr>
      <w:keepLines/>
      <w:pBdr>
        <w:bottom w:val="single" w:sz="6" w:space="1" w:color="918585"/>
      </w:pBdr>
      <w:spacing w:before="240"/>
    </w:pPr>
  </w:style>
  <w:style w:type="character" w:customStyle="1" w:styleId="HotSpot">
    <w:name w:val="HotSpot"/>
    <w:rsid w:val="0007156D"/>
    <w:rPr>
      <w:color w:val="0033CC"/>
      <w:u w:val="none"/>
    </w:rPr>
  </w:style>
  <w:style w:type="paragraph" w:customStyle="1" w:styleId="BodyTextRight">
    <w:name w:val="Body Text Right"/>
    <w:basedOn w:val="BodyText"/>
    <w:rsid w:val="0007156D"/>
    <w:pPr>
      <w:spacing w:before="0" w:after="0"/>
      <w:jc w:val="right"/>
    </w:pPr>
  </w:style>
  <w:style w:type="paragraph" w:styleId="Index3">
    <w:name w:val="index 3"/>
    <w:basedOn w:val="ListNumber2"/>
    <w:next w:val="Normal"/>
    <w:semiHidden/>
    <w:rsid w:val="0007156D"/>
    <w:pPr>
      <w:numPr>
        <w:numId w:val="0"/>
      </w:numPr>
      <w:tabs>
        <w:tab w:val="right" w:leader="dot" w:pos="4176"/>
      </w:tabs>
    </w:pPr>
  </w:style>
  <w:style w:type="paragraph" w:styleId="ListNumber2">
    <w:name w:val="List Number 2"/>
    <w:basedOn w:val="List2"/>
    <w:rsid w:val="0007156D"/>
    <w:pPr>
      <w:numPr>
        <w:numId w:val="10"/>
      </w:numPr>
      <w:tabs>
        <w:tab w:val="clear" w:pos="1060"/>
      </w:tabs>
    </w:pPr>
  </w:style>
  <w:style w:type="paragraph" w:customStyle="1" w:styleId="MarginNote">
    <w:name w:val="Margin Note"/>
    <w:basedOn w:val="BodyText"/>
    <w:rsid w:val="00071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56D"/>
    <w:rPr>
      <w:sz w:val="32"/>
    </w:rPr>
  </w:style>
  <w:style w:type="paragraph" w:customStyle="1" w:styleId="HeadingProcedure">
    <w:name w:val="Heading Procedure"/>
    <w:basedOn w:val="HeadingBase"/>
    <w:next w:val="Normal"/>
    <w:rsid w:val="0007156D"/>
    <w:pPr>
      <w:tabs>
        <w:tab w:val="left" w:pos="0"/>
      </w:tabs>
      <w:spacing w:before="120" w:after="60"/>
    </w:pPr>
    <w:rPr>
      <w:i/>
      <w:color w:val="918585"/>
      <w:sz w:val="22"/>
    </w:rPr>
  </w:style>
  <w:style w:type="paragraph" w:customStyle="1" w:styleId="TableBodyText">
    <w:name w:val="Table Body Text"/>
    <w:basedOn w:val="BodyText"/>
    <w:rsid w:val="0007156D"/>
    <w:pPr>
      <w:spacing w:before="60" w:after="60"/>
    </w:pPr>
  </w:style>
  <w:style w:type="paragraph" w:styleId="ListContinue">
    <w:name w:val="List Continue"/>
    <w:basedOn w:val="List"/>
    <w:rsid w:val="0007156D"/>
    <w:pPr>
      <w:ind w:firstLine="0"/>
    </w:pPr>
  </w:style>
  <w:style w:type="paragraph" w:customStyle="1" w:styleId="ListNote">
    <w:name w:val="List Note"/>
    <w:basedOn w:val="List"/>
    <w:rsid w:val="0007156D"/>
    <w:pPr>
      <w:pBdr>
        <w:top w:val="single" w:sz="6" w:space="2" w:color="918585"/>
        <w:bottom w:val="single" w:sz="6" w:space="2" w:color="918585"/>
      </w:pBdr>
      <w:tabs>
        <w:tab w:val="left" w:pos="1021"/>
      </w:tabs>
      <w:ind w:firstLine="0"/>
    </w:pPr>
  </w:style>
  <w:style w:type="paragraph" w:customStyle="1" w:styleId="Warning">
    <w:name w:val="Warning"/>
    <w:basedOn w:val="BodyText"/>
    <w:rsid w:val="0007156D"/>
    <w:pPr>
      <w:shd w:val="clear" w:color="auto" w:fill="D9D9D9"/>
      <w:tabs>
        <w:tab w:val="left" w:pos="992"/>
      </w:tabs>
      <w:ind w:left="119" w:right="119"/>
    </w:pPr>
    <w:rPr>
      <w:sz w:val="20"/>
    </w:rPr>
  </w:style>
  <w:style w:type="paragraph" w:customStyle="1" w:styleId="MarginIcons">
    <w:name w:val="Margin Icons"/>
    <w:basedOn w:val="BodyText"/>
    <w:rsid w:val="00071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56D"/>
    <w:rPr>
      <w:rFonts w:ascii="Courier New" w:hAnsi="Courier New"/>
    </w:rPr>
  </w:style>
  <w:style w:type="paragraph" w:customStyle="1" w:styleId="NoteBullet">
    <w:name w:val="Note Bullet"/>
    <w:basedOn w:val="Note"/>
    <w:rsid w:val="0007156D"/>
    <w:pPr>
      <w:tabs>
        <w:tab w:val="clear" w:pos="680"/>
      </w:tabs>
      <w:spacing w:before="60" w:after="60"/>
    </w:pPr>
  </w:style>
  <w:style w:type="paragraph" w:customStyle="1" w:styleId="SubHeading2">
    <w:name w:val="SubHeading2"/>
    <w:basedOn w:val="HeadingBase"/>
    <w:rsid w:val="0007156D"/>
    <w:pPr>
      <w:spacing w:before="240" w:after="60"/>
    </w:pPr>
    <w:rPr>
      <w:sz w:val="20"/>
    </w:rPr>
  </w:style>
  <w:style w:type="paragraph" w:customStyle="1" w:styleId="SubHeading1">
    <w:name w:val="SubHeading1"/>
    <w:basedOn w:val="HeadingBase"/>
    <w:rsid w:val="0007156D"/>
    <w:pPr>
      <w:spacing w:before="240" w:after="60"/>
    </w:pPr>
    <w:rPr>
      <w:color w:val="918585"/>
      <w:sz w:val="22"/>
    </w:rPr>
  </w:style>
  <w:style w:type="paragraph" w:customStyle="1" w:styleId="SideHeading">
    <w:name w:val="Side Heading"/>
    <w:basedOn w:val="HeadingBase"/>
    <w:rsid w:val="00071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56D"/>
    <w:pPr>
      <w:numPr>
        <w:numId w:val="12"/>
      </w:numPr>
    </w:pPr>
  </w:style>
  <w:style w:type="paragraph" w:styleId="PlainText">
    <w:name w:val="Plain Text"/>
    <w:basedOn w:val="Normal"/>
    <w:link w:val="PlainTextChar"/>
    <w:rsid w:val="0007156D"/>
    <w:rPr>
      <w:sz w:val="20"/>
    </w:rPr>
  </w:style>
  <w:style w:type="character" w:customStyle="1" w:styleId="PlainTextChar">
    <w:name w:val="Plain Text Char"/>
    <w:basedOn w:val="DefaultParagraphFont"/>
    <w:link w:val="PlainText"/>
    <w:rsid w:val="0007156D"/>
    <w:rPr>
      <w:rFonts w:ascii="Courier New" w:eastAsia="Times New Roman" w:hAnsi="Courier New" w:cs="Times New Roman"/>
      <w:sz w:val="20"/>
      <w:szCs w:val="20"/>
      <w:lang w:eastAsia="en-US"/>
    </w:rPr>
  </w:style>
  <w:style w:type="character" w:customStyle="1" w:styleId="MenuOption">
    <w:name w:val="Menu Option"/>
    <w:basedOn w:val="DefaultParagraphFont"/>
    <w:rsid w:val="0007156D"/>
    <w:rPr>
      <w:b/>
      <w:smallCaps/>
    </w:rPr>
  </w:style>
  <w:style w:type="paragraph" w:customStyle="1" w:styleId="TableListNumber">
    <w:name w:val="Table List Number"/>
    <w:basedOn w:val="ListNumber"/>
    <w:rsid w:val="0007156D"/>
    <w:pPr>
      <w:numPr>
        <w:numId w:val="0"/>
      </w:numPr>
    </w:pPr>
  </w:style>
  <w:style w:type="paragraph" w:styleId="TOC4">
    <w:name w:val="toc 4"/>
    <w:basedOn w:val="TOCBase"/>
    <w:next w:val="Normal"/>
    <w:semiHidden/>
    <w:rsid w:val="0007156D"/>
    <w:pPr>
      <w:tabs>
        <w:tab w:val="right" w:leader="dot" w:pos="9071"/>
      </w:tabs>
      <w:ind w:left="1701"/>
    </w:pPr>
  </w:style>
  <w:style w:type="paragraph" w:customStyle="1" w:styleId="ListAlpha">
    <w:name w:val="List Alpha"/>
    <w:basedOn w:val="List"/>
    <w:rsid w:val="0007156D"/>
    <w:pPr>
      <w:numPr>
        <w:numId w:val="9"/>
      </w:numPr>
    </w:pPr>
  </w:style>
  <w:style w:type="paragraph" w:customStyle="1" w:styleId="ListAlpha2">
    <w:name w:val="List Alpha 2"/>
    <w:basedOn w:val="List2"/>
    <w:rsid w:val="0007156D"/>
    <w:pPr>
      <w:numPr>
        <w:numId w:val="8"/>
      </w:numPr>
    </w:pPr>
  </w:style>
  <w:style w:type="paragraph" w:styleId="List2">
    <w:name w:val="List 2"/>
    <w:basedOn w:val="BodyText"/>
    <w:rsid w:val="0007156D"/>
    <w:pPr>
      <w:tabs>
        <w:tab w:val="left" w:pos="680"/>
      </w:tabs>
      <w:spacing w:before="60" w:after="60"/>
      <w:ind w:left="680" w:hanging="340"/>
    </w:pPr>
  </w:style>
  <w:style w:type="paragraph" w:styleId="List3">
    <w:name w:val="List 3"/>
    <w:basedOn w:val="BodyText"/>
    <w:rsid w:val="0007156D"/>
    <w:pPr>
      <w:tabs>
        <w:tab w:val="left" w:pos="1021"/>
      </w:tabs>
      <w:spacing w:before="60" w:after="60"/>
      <w:ind w:left="1020" w:hanging="340"/>
    </w:pPr>
  </w:style>
  <w:style w:type="paragraph" w:styleId="List4">
    <w:name w:val="List 4"/>
    <w:basedOn w:val="BodyText"/>
    <w:rsid w:val="0007156D"/>
    <w:pPr>
      <w:tabs>
        <w:tab w:val="left" w:pos="1361"/>
      </w:tabs>
      <w:spacing w:before="60" w:after="60"/>
      <w:ind w:left="1361" w:hanging="340"/>
    </w:pPr>
  </w:style>
  <w:style w:type="paragraph" w:styleId="List5">
    <w:name w:val="List 5"/>
    <w:basedOn w:val="BodyText"/>
    <w:rsid w:val="0007156D"/>
    <w:pPr>
      <w:tabs>
        <w:tab w:val="left" w:pos="1701"/>
      </w:tabs>
      <w:spacing w:before="60" w:after="60"/>
      <w:ind w:left="1701" w:hanging="340"/>
    </w:pPr>
  </w:style>
  <w:style w:type="paragraph" w:styleId="ListBullet3">
    <w:name w:val="List Bullet 3"/>
    <w:basedOn w:val="List3"/>
    <w:rsid w:val="0007156D"/>
    <w:pPr>
      <w:numPr>
        <w:numId w:val="15"/>
      </w:numPr>
      <w:tabs>
        <w:tab w:val="clear" w:pos="1021"/>
      </w:tabs>
      <w:ind w:left="1037" w:hanging="357"/>
    </w:pPr>
  </w:style>
  <w:style w:type="paragraph" w:styleId="ListBullet4">
    <w:name w:val="List Bullet 4"/>
    <w:basedOn w:val="List4"/>
    <w:rsid w:val="0007156D"/>
    <w:pPr>
      <w:numPr>
        <w:numId w:val="3"/>
      </w:numPr>
      <w:tabs>
        <w:tab w:val="clear" w:pos="1361"/>
      </w:tabs>
    </w:pPr>
  </w:style>
  <w:style w:type="paragraph" w:styleId="ListBullet5">
    <w:name w:val="List Bullet 5"/>
    <w:basedOn w:val="List5"/>
    <w:rsid w:val="0007156D"/>
    <w:pPr>
      <w:numPr>
        <w:numId w:val="4"/>
      </w:numPr>
    </w:pPr>
  </w:style>
  <w:style w:type="paragraph" w:styleId="ListContinue2">
    <w:name w:val="List Continue 2"/>
    <w:basedOn w:val="List2"/>
    <w:rsid w:val="0007156D"/>
    <w:pPr>
      <w:ind w:firstLine="0"/>
    </w:pPr>
  </w:style>
  <w:style w:type="paragraph" w:styleId="ListContinue3">
    <w:name w:val="List Continue 3"/>
    <w:basedOn w:val="List3"/>
    <w:rsid w:val="0007156D"/>
    <w:pPr>
      <w:ind w:left="1021" w:firstLine="0"/>
    </w:pPr>
  </w:style>
  <w:style w:type="paragraph" w:styleId="ListContinue4">
    <w:name w:val="List Continue 4"/>
    <w:basedOn w:val="List4"/>
    <w:rsid w:val="0007156D"/>
    <w:pPr>
      <w:ind w:firstLine="0"/>
    </w:pPr>
  </w:style>
  <w:style w:type="paragraph" w:styleId="ListContinue5">
    <w:name w:val="List Continue 5"/>
    <w:basedOn w:val="List5"/>
    <w:rsid w:val="0007156D"/>
    <w:pPr>
      <w:ind w:firstLine="0"/>
    </w:pPr>
  </w:style>
  <w:style w:type="paragraph" w:styleId="ListNumber3">
    <w:name w:val="List Number 3"/>
    <w:basedOn w:val="List3"/>
    <w:rsid w:val="0007156D"/>
    <w:pPr>
      <w:numPr>
        <w:numId w:val="5"/>
      </w:numPr>
    </w:pPr>
  </w:style>
  <w:style w:type="paragraph" w:styleId="ListNumber4">
    <w:name w:val="List Number 4"/>
    <w:basedOn w:val="List4"/>
    <w:rsid w:val="0007156D"/>
    <w:pPr>
      <w:numPr>
        <w:numId w:val="6"/>
      </w:numPr>
    </w:pPr>
  </w:style>
  <w:style w:type="paragraph" w:styleId="ListNumber5">
    <w:name w:val="List Number 5"/>
    <w:basedOn w:val="List5"/>
    <w:rsid w:val="0007156D"/>
    <w:pPr>
      <w:numPr>
        <w:numId w:val="7"/>
      </w:numPr>
    </w:pPr>
  </w:style>
  <w:style w:type="paragraph" w:styleId="BlockText">
    <w:name w:val="Block Text"/>
    <w:basedOn w:val="Normal"/>
    <w:rsid w:val="0007156D"/>
    <w:pPr>
      <w:spacing w:after="120"/>
      <w:ind w:left="1440" w:right="1440"/>
    </w:pPr>
  </w:style>
  <w:style w:type="character" w:customStyle="1" w:styleId="Subscript">
    <w:name w:val="Subscript"/>
    <w:basedOn w:val="DefaultParagraphFont"/>
    <w:rsid w:val="0007156D"/>
    <w:rPr>
      <w:sz w:val="16"/>
      <w:vertAlign w:val="subscript"/>
    </w:rPr>
  </w:style>
  <w:style w:type="character" w:customStyle="1" w:styleId="Superscript">
    <w:name w:val="Superscript"/>
    <w:basedOn w:val="DefaultParagraphFont"/>
    <w:rsid w:val="0007156D"/>
    <w:rPr>
      <w:sz w:val="16"/>
      <w:vertAlign w:val="superscript"/>
    </w:rPr>
  </w:style>
  <w:style w:type="character" w:customStyle="1" w:styleId="Symbols">
    <w:name w:val="Symbols"/>
    <w:basedOn w:val="DefaultParagraphFont"/>
    <w:rsid w:val="0007156D"/>
    <w:rPr>
      <w:rFonts w:ascii="Symbol" w:hAnsi="Symbol"/>
    </w:rPr>
  </w:style>
  <w:style w:type="character" w:customStyle="1" w:styleId="MenuOptions">
    <w:name w:val="Menu Options"/>
    <w:basedOn w:val="DefaultParagraphFont"/>
    <w:rsid w:val="0007156D"/>
    <w:rPr>
      <w:rFonts w:ascii="Arial Narrow" w:hAnsi="Arial Narrow"/>
      <w:smallCaps/>
    </w:rPr>
  </w:style>
  <w:style w:type="character" w:customStyle="1" w:styleId="Buttons">
    <w:name w:val="Buttons"/>
    <w:basedOn w:val="DefaultParagraphFont"/>
    <w:rsid w:val="0007156D"/>
    <w:rPr>
      <w:b/>
    </w:rPr>
  </w:style>
  <w:style w:type="character" w:customStyle="1" w:styleId="Underlined">
    <w:name w:val="Underlined"/>
    <w:basedOn w:val="DefaultParagraphFont"/>
    <w:rsid w:val="0007156D"/>
    <w:rPr>
      <w:u w:val="single"/>
    </w:rPr>
  </w:style>
  <w:style w:type="paragraph" w:customStyle="1" w:styleId="TableBodyTextRight">
    <w:name w:val="Table Body Text Right"/>
    <w:basedOn w:val="TableBodyText"/>
    <w:rsid w:val="0007156D"/>
    <w:pPr>
      <w:widowControl w:val="0"/>
      <w:autoSpaceDE w:val="0"/>
      <w:autoSpaceDN w:val="0"/>
      <w:adjustRightInd w:val="0"/>
      <w:jc w:val="right"/>
    </w:pPr>
    <w:rPr>
      <w:rFonts w:cs="Arial"/>
      <w:szCs w:val="18"/>
    </w:rPr>
  </w:style>
  <w:style w:type="paragraph" w:customStyle="1" w:styleId="CopyrightText">
    <w:name w:val="Copyright Text"/>
    <w:basedOn w:val="BodyText"/>
    <w:rsid w:val="0007156D"/>
    <w:rPr>
      <w:sz w:val="18"/>
    </w:rPr>
  </w:style>
  <w:style w:type="paragraph" w:customStyle="1" w:styleId="BodySmallRight">
    <w:name w:val="Body Small Right"/>
    <w:basedOn w:val="BodyTextRight"/>
    <w:rsid w:val="0007156D"/>
    <w:rPr>
      <w:sz w:val="18"/>
      <w:szCs w:val="18"/>
    </w:rPr>
  </w:style>
  <w:style w:type="paragraph" w:customStyle="1" w:styleId="MarginEdition">
    <w:name w:val="Margin Edition"/>
    <w:basedOn w:val="MarginNote"/>
    <w:rsid w:val="0007156D"/>
    <w:pPr>
      <w:spacing w:before="0" w:after="0"/>
    </w:pPr>
    <w:rPr>
      <w:rFonts w:ascii="Times New Roman" w:hAnsi="Times New Roman"/>
      <w:color w:val="999999"/>
    </w:rPr>
  </w:style>
  <w:style w:type="paragraph" w:customStyle="1" w:styleId="Spacer">
    <w:name w:val="Spacer"/>
    <w:basedOn w:val="Normal"/>
    <w:rsid w:val="0007156D"/>
    <w:rPr>
      <w:sz w:val="2"/>
      <w:szCs w:val="2"/>
    </w:rPr>
  </w:style>
  <w:style w:type="character" w:customStyle="1" w:styleId="Small">
    <w:name w:val="Small"/>
    <w:basedOn w:val="DefaultParagraphFont"/>
    <w:rsid w:val="0007156D"/>
    <w:rPr>
      <w:sz w:val="16"/>
    </w:rPr>
  </w:style>
  <w:style w:type="paragraph" w:customStyle="1" w:styleId="WideTable">
    <w:name w:val="Wide Table"/>
    <w:basedOn w:val="Normal"/>
    <w:rsid w:val="0007156D"/>
    <w:pPr>
      <w:ind w:left="-1418"/>
    </w:pPr>
    <w:rPr>
      <w:sz w:val="2"/>
      <w:szCs w:val="2"/>
    </w:rPr>
  </w:style>
  <w:style w:type="character" w:styleId="PageNumber">
    <w:name w:val="page number"/>
    <w:basedOn w:val="DefaultParagraphFont"/>
    <w:rsid w:val="0007156D"/>
  </w:style>
  <w:style w:type="paragraph" w:styleId="Quote">
    <w:name w:val="Quote"/>
    <w:basedOn w:val="Heading1"/>
    <w:link w:val="QuoteChar"/>
    <w:qFormat/>
    <w:rsid w:val="0007156D"/>
    <w:rPr>
      <w:b w:val="0"/>
      <w:sz w:val="72"/>
      <w:szCs w:val="72"/>
      <w:lang w:val="en-NZ"/>
    </w:rPr>
  </w:style>
  <w:style w:type="character" w:customStyle="1" w:styleId="QuoteChar">
    <w:name w:val="Quote Char"/>
    <w:basedOn w:val="DefaultParagraphFont"/>
    <w:link w:val="Quote"/>
    <w:rsid w:val="00071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56D"/>
    <w:pPr>
      <w:pageBreakBefore/>
    </w:pPr>
  </w:style>
  <w:style w:type="paragraph" w:customStyle="1" w:styleId="Border">
    <w:name w:val="Border"/>
    <w:basedOn w:val="Normal"/>
    <w:qFormat/>
    <w:rsid w:val="00071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56D"/>
    <w:rPr>
      <w:b/>
      <w:bCs/>
      <w:i/>
      <w:iCs/>
      <w:color w:val="auto"/>
    </w:rPr>
  </w:style>
  <w:style w:type="paragraph" w:styleId="IntenseQuote">
    <w:name w:val="Intense Quote"/>
    <w:basedOn w:val="Normal"/>
    <w:next w:val="Normal"/>
    <w:link w:val="IntenseQuoteChar"/>
    <w:uiPriority w:val="30"/>
    <w:qFormat/>
    <w:rsid w:val="00071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56D"/>
    <w:rPr>
      <w:smallCaps/>
      <w:color w:val="auto"/>
      <w:u w:val="single"/>
    </w:rPr>
  </w:style>
  <w:style w:type="character" w:styleId="IntenseReference">
    <w:name w:val="Intense Reference"/>
    <w:basedOn w:val="DefaultParagraphFont"/>
    <w:uiPriority w:val="32"/>
    <w:qFormat/>
    <w:rsid w:val="0007156D"/>
    <w:rPr>
      <w:b/>
      <w:bCs/>
      <w:smallCaps/>
      <w:color w:val="auto"/>
      <w:spacing w:val="5"/>
      <w:u w:val="single"/>
    </w:rPr>
  </w:style>
  <w:style w:type="paragraph" w:customStyle="1" w:styleId="2ColumnHeading">
    <w:name w:val="2Column Heading"/>
    <w:basedOn w:val="BodyText"/>
    <w:qFormat/>
    <w:rsid w:val="0007156D"/>
    <w:pPr>
      <w:spacing w:after="60"/>
      <w:ind w:left="-2268"/>
    </w:pPr>
    <w:rPr>
      <w:b/>
    </w:rPr>
  </w:style>
  <w:style w:type="paragraph" w:customStyle="1" w:styleId="Heading1TOC">
    <w:name w:val="Heading1 TOC"/>
    <w:basedOn w:val="Normal"/>
    <w:qFormat/>
    <w:rsid w:val="0007156D"/>
    <w:pPr>
      <w:spacing w:before="240" w:after="120"/>
    </w:pPr>
    <w:rPr>
      <w:rFonts w:ascii="Times New Roman" w:hAnsi="Times New Roman"/>
      <w:b/>
      <w:sz w:val="32"/>
    </w:rPr>
  </w:style>
  <w:style w:type="paragraph" w:customStyle="1" w:styleId="Heading2TOC">
    <w:name w:val="Heading2 TOC"/>
    <w:basedOn w:val="Normal"/>
    <w:qFormat/>
    <w:rsid w:val="0007156D"/>
    <w:pPr>
      <w:spacing w:before="240" w:after="60"/>
    </w:pPr>
    <w:rPr>
      <w:rFonts w:ascii="Times New Roman" w:hAnsi="Times New Roman"/>
      <w:b/>
      <w:sz w:val="28"/>
    </w:rPr>
  </w:style>
  <w:style w:type="character" w:customStyle="1" w:styleId="Underline">
    <w:name w:val="Underline"/>
    <w:basedOn w:val="DefaultParagraphFont"/>
    <w:qFormat/>
    <w:rsid w:val="0007156D"/>
    <w:rPr>
      <w:u w:val="single"/>
    </w:rPr>
  </w:style>
  <w:style w:type="character" w:customStyle="1" w:styleId="BoldandItalics">
    <w:name w:val="Bold and Italics"/>
    <w:qFormat/>
    <w:rsid w:val="0007156D"/>
    <w:rPr>
      <w:b/>
      <w:i/>
      <w:u w:val="none"/>
    </w:rPr>
  </w:style>
  <w:style w:type="paragraph" w:styleId="BalloonText">
    <w:name w:val="Balloon Text"/>
    <w:basedOn w:val="Normal"/>
    <w:link w:val="BalloonTextChar"/>
    <w:rsid w:val="0007156D"/>
    <w:rPr>
      <w:rFonts w:ascii="Tahoma" w:hAnsi="Tahoma" w:cs="Tahoma"/>
      <w:sz w:val="16"/>
      <w:szCs w:val="16"/>
    </w:rPr>
  </w:style>
  <w:style w:type="character" w:customStyle="1" w:styleId="BalloonTextChar">
    <w:name w:val="Balloon Text Char"/>
    <w:basedOn w:val="DefaultParagraphFont"/>
    <w:link w:val="BalloonText"/>
    <w:rsid w:val="00071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5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56D"/>
    <w:rPr>
      <w:b/>
      <w:color w:val="660033"/>
      <w:spacing w:val="0"/>
    </w:rPr>
  </w:style>
  <w:style w:type="paragraph" w:customStyle="1" w:styleId="Nameditemlist">
    <w:name w:val="Named item list"/>
    <w:basedOn w:val="BodyText"/>
    <w:qFormat/>
    <w:rsid w:val="000715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2740</Words>
  <Characters>16996</Characters>
  <Application>Microsoft Office Word</Application>
  <DocSecurity>0</DocSecurity>
  <Lines>700</Lines>
  <Paragraphs>287</Paragraphs>
  <ScaleCrop>false</ScaleCrop>
  <Company>Author-it Software Corporation Ltd.</Company>
  <LinksUpToDate>false</LinksUpToDate>
  <CharactersWithSpaces>19619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UEENEEJ180A Install and commission ammonia refrigeration systems, components and associated equipment</dc:title>
  <dc:subject>Approved</dc:subject>
  <dc:creator>E-OZ Training Standards</dc:creator>
  <cp:keywords>Release 4</cp:keywords>
  <dc:description>Review Date: 12 April 2008</dc:description>
  <cp:lastModifiedBy>HSD_TPCMSd.prod</cp:lastModifiedBy>
  <cp:revision>3</cp:revision>
  <dcterms:created xsi:type="dcterms:W3CDTF">2014-12-16T11:52:45Z</dcterms:created>
  <dcterms:modified xsi:type="dcterms:W3CDTF">2014-12-16T00:21:00Z</dcterms:modified>
</cp:coreProperties>
</file>