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BA4" w:rsidP="00D22BA4">
      <w:pPr>
        <w:pStyle w:val="Title"/>
      </w:pPr>
      <w:r>
        <w:fldChar w:fldCharType="begin"/>
      </w:r>
      <w:r>
        <w:instrText xml:space="preserve"> TITLE   \* MERGEFORMAT </w:instrText>
      </w:r>
      <w:r>
        <w:fldChar w:fldCharType="separate"/>
      </w:r>
      <w:r>
        <w:t>UEENEEJ175A Service and repair self contained hydrocarbon air conditioning and refrigeration systems</w:t>
      </w:r>
      <w:r>
        <w:fldChar w:fldCharType="end"/>
      </w:r>
    </w:p>
    <w:p w:rsidR="00D22BA4" w:rsidP="00D22BA4">
      <w:pPr>
        <w:pStyle w:val="Version"/>
        <w:sectPr w:rsidSect="00A31E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31EC2" w:rsidP="00A31EC2">
      <w:pPr>
        <w:pStyle w:val="SuperHeading"/>
      </w:pPr>
      <w:r w:rsidRPr="00A31EC2">
        <w:t>UEENEEJ175A Service and repair self contained hydrocarbon air conditioning and refrigeration systems</w:t>
      </w:r>
    </w:p>
    <w:p w:rsidR="00000000" w:rsidRPr="00A31EC2" w:rsidP="00A31EC2">
      <w:pPr>
        <w:pStyle w:val="Heading1"/>
      </w:pPr>
      <w:bookmarkStart w:id="1" w:name="O_709934"/>
      <w:bookmarkEnd w:id="1"/>
      <w:r w:rsidRPr="00A31EC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22B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Points</w:t>
            </w:r>
          </w:p>
        </w:tc>
      </w:tr>
      <w:tr w:rsidTr="00D22B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EC2">
            <w:pPr>
              <w:pStyle w:val="BodyText"/>
              <w:rPr>
                <w:lang w:val="en-NZ"/>
              </w:rPr>
            </w:pPr>
            <w:r w:rsidRPr="00A31EC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EC2" w:rsidP="00A31EC2">
            <w:pPr>
              <w:pStyle w:val="BodyText"/>
            </w:pPr>
            <w:r w:rsidRPr="00A31EC2">
              <w:t>Update pre-requisite</w:t>
            </w:r>
          </w:p>
          <w:p w:rsidR="00000000" w:rsidP="00A31EC2">
            <w:pPr>
              <w:pStyle w:val="BodyText"/>
              <w:rPr>
                <w:lang w:val="en-NZ"/>
              </w:rPr>
            </w:pPr>
            <w:r w:rsidRPr="00A31EC2">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EC2" w:rsidP="00A31EC2">
            <w:pPr>
              <w:pStyle w:val="BodyText"/>
            </w:pPr>
          </w:p>
        </w:tc>
      </w:tr>
    </w:tbl>
    <w:p w:rsidR="00000000" w:rsidRPr="00A31EC2" w:rsidP="00A31EC2">
      <w:pPr>
        <w:pStyle w:val="BodyText"/>
      </w:pPr>
    </w:p>
    <w:p w:rsidR="00000000" w:rsidRPr="00A31EC2" w:rsidP="00A31EC2">
      <w:pPr>
        <w:pStyle w:val="AllowPageBreak"/>
      </w:pPr>
    </w:p>
    <w:p w:rsidR="00000000" w:rsidRPr="00A31EC2" w:rsidP="00A31EC2">
      <w:pPr>
        <w:pStyle w:val="Heading1"/>
      </w:pPr>
      <w:bookmarkStart w:id="2" w:name="O_709933"/>
      <w:bookmarkEnd w:id="2"/>
      <w:r w:rsidRPr="00A31EC2">
        <w:t>Unit Descriptor</w:t>
      </w:r>
    </w:p>
    <w:tbl>
      <w:tblPr>
        <w:tblW w:w="0" w:type="auto"/>
        <w:tblLayout w:type="fixed"/>
        <w:tblCellMar>
          <w:left w:w="62" w:type="dxa"/>
          <w:right w:w="62" w:type="dxa"/>
        </w:tblCellMar>
        <w:tblLook w:val="0000"/>
      </w:tblPr>
      <w:tblGrid>
        <w:gridCol w:w="2700"/>
        <w:gridCol w:w="5760"/>
      </w:tblGrid>
      <w:tr w:rsidTr="00D22B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1</w:t>
            </w:r>
            <w:r w:rsidRPr="00A31EC2">
              <w:t xml:space="preserve">) </w:t>
            </w:r>
          </w:p>
          <w:p w:rsidR="00000000" w:rsidP="00A31EC2">
            <w:pPr>
              <w:pStyle w:val="BodyText"/>
              <w:rPr>
                <w:lang w:val="en-NZ"/>
              </w:rPr>
            </w:pPr>
            <w:r w:rsidRPr="00A31EC2">
              <w:rPr>
                <w:rStyle w:val="SpecialBold"/>
              </w:rPr>
              <w:t>1</w:t>
            </w:r>
            <w:r w:rsidRPr="00A31EC2">
              <w:t>.</w:t>
            </w:r>
            <w:r w:rsidRPr="00A31EC2">
              <w:rPr>
                <w:rStyle w:val="SpecialBold"/>
              </w:rPr>
              <w:t>1</w:t>
            </w:r>
            <w:r w:rsidRPr="00A31EC2">
              <w:t xml:space="preserve">) </w:t>
            </w:r>
            <w:r w:rsidRPr="00A31EC2">
              <w:rPr>
                <w:rStyle w:val="SpecialBold"/>
              </w:rPr>
              <w:t>Descriptor</w:t>
            </w:r>
          </w:p>
        </w:tc>
      </w:tr>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This unit covers specialised procedures for servicing and repairs to achieve the effective and efficient operation of primarily self contained air conditioning and refrigeration equipment using Hydrocarbon as the refrigerant.  It reinforces safe working pr</w:t>
            </w:r>
            <w:r w:rsidRPr="00A31EC2">
              <w:t xml:space="preserve">actice and encompasses applying specialised knowledge of refrigeration principles that apply to Hydrocarbon, following service manuals, testing, locating and rectifying faults and defective components and completing the necessary service documentation.   </w:t>
            </w:r>
          </w:p>
        </w:tc>
      </w:tr>
    </w:tbl>
    <w:p w:rsidR="00D22BA4" w:rsidP="00A31EC2">
      <w:pPr>
        <w:pStyle w:val="BodyText"/>
      </w:pPr>
    </w:p>
    <w:p w:rsidR="00D22BA4" w:rsidP="00A31EC2">
      <w:pPr>
        <w:pStyle w:val="BodyText"/>
      </w:pPr>
    </w:p>
    <w:p w:rsidR="00000000" w:rsidRPr="00A31EC2" w:rsidP="00A31EC2">
      <w:pPr>
        <w:pStyle w:val="Heading1"/>
      </w:pPr>
      <w:bookmarkStart w:id="3" w:name="O_709932"/>
      <w:bookmarkEnd w:id="3"/>
      <w:r w:rsidRPr="00A31EC2">
        <w:t>Application of the Unit</w:t>
      </w:r>
    </w:p>
    <w:tbl>
      <w:tblPr>
        <w:tblW w:w="0" w:type="auto"/>
        <w:tblLayout w:type="fixed"/>
        <w:tblCellMar>
          <w:left w:w="62" w:type="dxa"/>
          <w:right w:w="62" w:type="dxa"/>
        </w:tblCellMar>
        <w:tblLook w:val="0000"/>
      </w:tblPr>
      <w:tblGrid>
        <w:gridCol w:w="2700"/>
        <w:gridCol w:w="5760"/>
      </w:tblGrid>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4</w:t>
            </w:r>
            <w:r w:rsidRPr="00A31EC2">
              <w:t>)</w:t>
            </w:r>
          </w:p>
          <w:p w:rsidR="00000000" w:rsidRPr="00A31EC2" w:rsidP="00A31EC2">
            <w:pPr>
              <w:pStyle w:val="BodyText"/>
            </w:pPr>
            <w:r w:rsidRPr="00A31EC2">
              <w:t>This competency standard is suitable for employment-based programs under an approved contract of training at the AQF level of the qualification in which the unit is first packaged or hi</w:t>
            </w:r>
            <w:r w:rsidRPr="00A31EC2">
              <w:t>gher.</w:t>
            </w:r>
          </w:p>
          <w:p w:rsidR="00000000" w:rsidRPr="00A31EC2" w:rsidP="00A31EC2">
            <w:pPr>
              <w:pStyle w:val="BodyText"/>
            </w:pPr>
          </w:p>
          <w:p w:rsidR="00000000" w:rsidRPr="00A31EC2" w:rsidP="00A31EC2">
            <w:pPr>
              <w:pStyle w:val="BodyText"/>
            </w:pPr>
            <w:r w:rsidRPr="00A31EC2">
              <w:t>The unit may be selected as an elective from the relevant schedule (see qualification packaging rules) provided that all prerequisite units are undertaken or addressed through recognition processes.</w:t>
            </w:r>
          </w:p>
          <w:p w:rsidR="00000000" w:rsidRPr="00A31EC2" w:rsidP="00A31EC2">
            <w:pPr>
              <w:pStyle w:val="BodyText"/>
            </w:pPr>
          </w:p>
          <w:p w:rsidR="00000000" w:rsidRPr="00A31EC2" w:rsidP="00A31EC2">
            <w:pPr>
              <w:pStyle w:val="BodyText"/>
            </w:pPr>
            <w:r w:rsidRPr="00A31EC2">
              <w:t>This unit may be included in a skill set provided that it is listed in the schedule of electives (see Qualification Framework) and all prerequisite units are undertaken or addressed through recognition processes.</w:t>
            </w:r>
          </w:p>
          <w:p w:rsidR="00000000" w:rsidRPr="00A31EC2" w:rsidP="00A31EC2">
            <w:pPr>
              <w:pStyle w:val="BodyText"/>
            </w:pPr>
          </w:p>
          <w:p w:rsidR="00000000" w:rsidRPr="00A31EC2" w:rsidP="00A31EC2">
            <w:pPr>
              <w:pStyle w:val="BodyText"/>
            </w:pPr>
            <w:r w:rsidRPr="00A31EC2">
              <w:t>Delivery and assessment of this unit shoul</w:t>
            </w:r>
            <w:r w:rsidRPr="00A31EC2">
              <w:t>d be undertaken within regard to the requirements of License to Practice (1.2 above), Prerequisite Competencies and Literacy and Numeracy skills (2 above) and the  recommendations for concurrent assessment and relationship with other units (9.5 below).</w:t>
            </w:r>
          </w:p>
          <w:p w:rsidR="00000000" w:rsidRPr="00A31EC2" w:rsidP="00A31EC2">
            <w:pPr>
              <w:pStyle w:val="BodyText"/>
            </w:pPr>
          </w:p>
          <w:p w:rsidR="00000000" w:rsidRPr="00A31EC2" w:rsidP="00A31EC2">
            <w:pPr>
              <w:pStyle w:val="BodyText"/>
            </w:pPr>
            <w:r w:rsidRPr="00A31EC2">
              <w:t>Pr</w:t>
            </w:r>
            <w:r w:rsidRPr="00A31EC2">
              <w:t>actice in the workplace and during training is also subject to regulations directly related to occupational health and safety and where applicable contracts of training such as apprenticeships.</w:t>
            </w:r>
          </w:p>
          <w:p w:rsidR="00000000" w:rsidP="00A31EC2">
            <w:pPr>
              <w:pStyle w:val="BodyText"/>
              <w:rPr>
                <w:lang w:val="en-NZ"/>
              </w:rPr>
            </w:pPr>
            <w:r w:rsidRPr="00A31EC2">
              <w:rPr>
                <w:rStyle w:val="Underline"/>
              </w:rPr>
              <w:t>Note</w:t>
            </w:r>
            <w:r w:rsidRPr="00A31EC2">
              <w:t xml:space="preserve">: </w:t>
            </w:r>
            <w:r w:rsidRPr="00A31EC2">
              <w:br/>
              <w:t>1. Compliance with permits may be required in various j</w:t>
            </w:r>
            <w:r w:rsidRPr="00A31EC2">
              <w:t>urisdictions and typically relates to the operation of plant, machinery and equipment such as elevating work platforms, powder operated fixing tools, power operated tools, vehicles, road signage and traffic control and lifting equipment. Permits may also b</w:t>
            </w:r>
            <w:r w:rsidRPr="00A31EC2">
              <w:t>e required for some work environments such as confined spaces, working aloft, near live electrical apparatus and site rehabilitation.</w:t>
            </w:r>
            <w:r w:rsidRPr="00A31EC2">
              <w:br/>
              <w:t xml:space="preserve">2. Compliance may be required in various jurisdictions relating to currency in First Aid, confined space, lifting, </w:t>
            </w:r>
            <w:r w:rsidRPr="00A31EC2">
              <w:t>risk sa</w:t>
            </w:r>
            <w:r w:rsidRPr="00A31EC2">
              <w:t>fety measures etc.</w:t>
            </w:r>
          </w:p>
        </w:tc>
      </w:tr>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EC2" w:rsidP="00A31EC2">
            <w:pPr>
              <w:pStyle w:val="BodyText"/>
            </w:pPr>
          </w:p>
        </w:tc>
      </w:tr>
    </w:tbl>
    <w:p w:rsidR="00D22BA4" w:rsidP="00A31EC2">
      <w:pPr>
        <w:pStyle w:val="BodyText"/>
      </w:pPr>
    </w:p>
    <w:p w:rsidR="00D22BA4" w:rsidP="00A31EC2">
      <w:pPr>
        <w:pStyle w:val="BodyText"/>
      </w:pPr>
    </w:p>
    <w:p w:rsidR="00000000" w:rsidRPr="00A31EC2" w:rsidP="00A31EC2">
      <w:pPr>
        <w:pStyle w:val="Heading1"/>
      </w:pPr>
      <w:bookmarkStart w:id="4" w:name="O_709931"/>
      <w:bookmarkEnd w:id="4"/>
      <w:r w:rsidRPr="00A31EC2">
        <w:t>Licensing/Regulatory Information</w:t>
      </w:r>
    </w:p>
    <w:tbl>
      <w:tblPr>
        <w:tblW w:w="0" w:type="auto"/>
        <w:tblLayout w:type="fixed"/>
        <w:tblCellMar>
          <w:left w:w="62" w:type="dxa"/>
          <w:right w:w="62" w:type="dxa"/>
        </w:tblCellMar>
        <w:tblLook w:val="0000"/>
      </w:tblPr>
      <w:tblGrid>
        <w:gridCol w:w="8460"/>
      </w:tblGrid>
      <w:tr w:rsidTr="00D22BA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1</w:t>
            </w:r>
            <w:r w:rsidRPr="00A31EC2">
              <w:t>.</w:t>
            </w:r>
            <w:r w:rsidRPr="00A31EC2">
              <w:rPr>
                <w:rStyle w:val="SpecialBold"/>
              </w:rPr>
              <w:t>2</w:t>
            </w:r>
            <w:r w:rsidRPr="00A31EC2">
              <w:t xml:space="preserve">) </w:t>
            </w:r>
            <w:r w:rsidRPr="00A31EC2">
              <w:rPr>
                <w:rStyle w:val="SpecialBold"/>
              </w:rPr>
              <w:t>License to practice</w:t>
            </w:r>
          </w:p>
        </w:tc>
      </w:tr>
      <w:tr w:rsidTr="00D22B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 xml:space="preserve">The skills and knowledge described in this unit may, in some jurisdictions, require a licence to practise in the workplace subject to regulations </w:t>
            </w:r>
            <w:r w:rsidRPr="00A31EC2">
              <w:t>for undertaking refrigeration and air conditioning work. Practice in workplace and during training is also subject to regulations directly related to occupational health and safety and where applicable contracts of training such as apprenticeships.</w:t>
            </w:r>
          </w:p>
          <w:p w:rsidR="00000000" w:rsidRPr="00A31EC2" w:rsidP="00A31EC2">
            <w:pPr>
              <w:pStyle w:val="BodyText"/>
            </w:pPr>
            <w:r w:rsidRPr="00A31EC2">
              <w:t>Note.</w:t>
            </w:r>
            <w:r w:rsidRPr="00A31EC2">
              <w:br/>
              <w:t>1</w:t>
            </w:r>
            <w:r w:rsidRPr="00A31EC2">
              <w:t>. Compliance with permits may be required in various jurisdictions and typically relates to the operation of plant, machinery and equipment such as elevating work platforms, powder operated fixing tools, power operated tools, vehicles, road signage and tra</w:t>
            </w:r>
            <w:r w:rsidRPr="00A31EC2">
              <w:t>ffic control, lifting equipment. Permits may also be required for some work environments such as confined spaces, working aloft, near live electrical apparatus and site rehabilitation.</w:t>
            </w:r>
            <w:r w:rsidRPr="00A31EC2">
              <w:br/>
              <w:t>2. Compliance may be required in various jurisdictions relating to curr</w:t>
            </w:r>
            <w:r w:rsidRPr="00A31EC2">
              <w:t>ency in First Aid, confined space, lifting and risk safety measures.</w:t>
            </w:r>
          </w:p>
        </w:tc>
      </w:tr>
    </w:tbl>
    <w:p w:rsidR="00D22BA4" w:rsidP="00A31EC2">
      <w:pPr>
        <w:pStyle w:val="BodyText"/>
      </w:pPr>
    </w:p>
    <w:p w:rsidR="00D22BA4" w:rsidP="00A31EC2">
      <w:pPr>
        <w:pStyle w:val="BodyText"/>
      </w:pPr>
    </w:p>
    <w:p w:rsidR="00000000" w:rsidRPr="00A31EC2" w:rsidP="00A31EC2">
      <w:pPr>
        <w:pStyle w:val="Heading1"/>
      </w:pPr>
      <w:bookmarkStart w:id="5" w:name="O_709930"/>
      <w:bookmarkEnd w:id="5"/>
      <w:r w:rsidRPr="00A31EC2">
        <w:t>Pre-Requisites</w:t>
      </w:r>
    </w:p>
    <w:tbl>
      <w:tblPr>
        <w:tblW w:w="0" w:type="auto"/>
        <w:tblLayout w:type="fixed"/>
        <w:tblCellMar>
          <w:left w:w="62" w:type="dxa"/>
          <w:right w:w="62" w:type="dxa"/>
        </w:tblCellMar>
        <w:tblLook w:val="0000"/>
      </w:tblPr>
      <w:tblGrid>
        <w:gridCol w:w="2700"/>
        <w:gridCol w:w="5760"/>
      </w:tblGrid>
      <w:tr w:rsidTr="00D22B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Prerequisite Unit</w:t>
            </w:r>
            <w:r w:rsidRPr="00A31EC2">
              <w:t>(</w:t>
            </w:r>
            <w:r w:rsidRPr="00A31EC2">
              <w:rPr>
                <w:rStyle w:val="SpecialBold"/>
              </w:rPr>
              <w:t>s</w:t>
            </w:r>
            <w:r w:rsidRPr="00A31EC2">
              <w:t>)</w:t>
            </w:r>
          </w:p>
        </w:tc>
        <w:tc>
          <w:tcPr>
            <w:tcW w:w="57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2</w:t>
            </w:r>
            <w:r w:rsidRPr="00A31EC2">
              <w:t xml:space="preserve">) </w:t>
            </w:r>
          </w:p>
        </w:tc>
      </w:tr>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1E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2</w:t>
            </w:r>
            <w:r w:rsidRPr="00A31EC2">
              <w:t>.</w:t>
            </w:r>
            <w:r w:rsidRPr="00A31EC2">
              <w:rPr>
                <w:rStyle w:val="SpecialBold"/>
              </w:rPr>
              <w:t>1</w:t>
            </w:r>
            <w:r w:rsidRPr="00A31EC2">
              <w:t xml:space="preserve">) </w:t>
            </w:r>
            <w:r w:rsidRPr="00A31EC2">
              <w:rPr>
                <w:rStyle w:val="SpecialBold"/>
              </w:rPr>
              <w:t>Competencies</w:t>
            </w:r>
          </w:p>
        </w:tc>
      </w:tr>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w:t>
            </w:r>
          </w:p>
        </w:tc>
        <w:tc>
          <w:tcPr>
            <w:tcW w:w="57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 xml:space="preserve">Granting competency in this unit shall be made only after competency in the following unit(s) has/have been confirmed </w:t>
            </w:r>
          </w:p>
          <w:p w:rsidR="00000000" w:rsidRPr="00A31EC2" w:rsidP="00A31EC2">
            <w:pPr>
              <w:pStyle w:val="BodyText"/>
            </w:pPr>
            <w:r w:rsidRPr="00A31EC2">
              <w:t>UEENEEJ174A Apply safety awareness and legal requirements for hydrocarbon refrigerants</w:t>
            </w:r>
          </w:p>
          <w:p w:rsidR="00000000" w:rsidRPr="00A31EC2" w:rsidP="00A31EC2">
            <w:pPr>
              <w:pStyle w:val="BodyText"/>
            </w:pPr>
            <w:r w:rsidRPr="00A31EC2">
              <w:t xml:space="preserve">and </w:t>
            </w:r>
          </w:p>
          <w:p w:rsidR="00000000" w:rsidRPr="00A31EC2" w:rsidP="00A31EC2">
            <w:pPr>
              <w:pStyle w:val="BodyText"/>
            </w:pPr>
            <w:r w:rsidRPr="00A31EC2">
              <w:t>UEENEEJ155A Service refrigeration appliances</w:t>
            </w:r>
          </w:p>
          <w:p w:rsidR="00000000" w:rsidRPr="00A31EC2" w:rsidP="00A31EC2">
            <w:pPr>
              <w:pStyle w:val="BodyText"/>
            </w:pPr>
            <w:r w:rsidRPr="00A31EC2">
              <w:t>UEENEEJ054B Find and rectify faults in appliance motors and associated controls</w:t>
            </w:r>
          </w:p>
          <w:p w:rsidR="00000000" w:rsidRPr="00A31EC2" w:rsidP="00A31EC2">
            <w:pPr>
              <w:pStyle w:val="BodyText"/>
            </w:pPr>
            <w:r w:rsidRPr="00A31EC2">
              <w:t>UEENEEJ062B Find and rectify faults in appliance motors and associated controls</w:t>
            </w:r>
          </w:p>
          <w:p w:rsidR="00000000" w:rsidRPr="00A31EC2" w:rsidP="00A31EC2">
            <w:pPr>
              <w:pStyle w:val="BodyText"/>
            </w:pPr>
            <w:r w:rsidRPr="00A31EC2">
              <w:t>UEENEEJ102A Prepare and connect refrigerant tubing and fittings</w:t>
            </w:r>
          </w:p>
          <w:p w:rsidR="00000000" w:rsidRPr="00A31EC2" w:rsidP="00A31EC2">
            <w:pPr>
              <w:pStyle w:val="BodyText"/>
            </w:pPr>
            <w:r w:rsidRPr="00A31EC2">
              <w:t>UEENEEJ195A  Establish the basic</w:t>
            </w:r>
            <w:r w:rsidRPr="00A31EC2">
              <w:t xml:space="preserve"> operating conditions of vapour compression systems - appliances</w:t>
            </w:r>
          </w:p>
          <w:p w:rsidR="00000000" w:rsidRPr="00A31EC2" w:rsidP="00A31EC2">
            <w:pPr>
              <w:pStyle w:val="BodyText"/>
            </w:pPr>
            <w:r w:rsidRPr="00A31EC2">
              <w:t xml:space="preserve">and </w:t>
            </w:r>
          </w:p>
          <w:p w:rsidR="00000000" w:rsidRPr="00A31EC2" w:rsidP="00A31EC2">
            <w:pPr>
              <w:pStyle w:val="BodyText"/>
            </w:pPr>
            <w:r w:rsidRPr="00A31EC2">
              <w:t>UEENEEG006A Solve problems in single and three phase low voltage machines</w:t>
            </w:r>
          </w:p>
          <w:p w:rsidR="00000000" w:rsidRPr="00A31EC2" w:rsidP="00A31EC2">
            <w:pPr>
              <w:pStyle w:val="BodyText"/>
            </w:pPr>
            <w:r w:rsidRPr="00A31EC2">
              <w:t>UEENEEE101A Apply Occupational Health and Safety regulations, codes and practices in the workplace</w:t>
            </w:r>
          </w:p>
          <w:p w:rsidR="00000000" w:rsidRPr="00A31EC2" w:rsidP="00A31EC2">
            <w:pPr>
              <w:pStyle w:val="BodyText"/>
            </w:pPr>
            <w:r w:rsidRPr="00A31EC2">
              <w:t>UEENEEE102A F</w:t>
            </w:r>
            <w:r w:rsidRPr="00A31EC2">
              <w:t>abricate, assemble and dismantle utilities industry components</w:t>
            </w:r>
          </w:p>
          <w:p w:rsidR="00000000" w:rsidRPr="00A31EC2" w:rsidP="00A31EC2">
            <w:pPr>
              <w:pStyle w:val="BodyText"/>
            </w:pPr>
            <w:r w:rsidRPr="00A31EC2">
              <w:t>UEENEEE104A Solve problems in d.c. circuits</w:t>
            </w:r>
          </w:p>
          <w:p w:rsidR="00000000" w:rsidRPr="00A31EC2" w:rsidP="00A31EC2">
            <w:pPr>
              <w:pStyle w:val="BodyText"/>
            </w:pPr>
            <w:r w:rsidRPr="00A31EC2">
              <w:t>UEENEEE105A Fix and secure electrotechnology equipment</w:t>
            </w:r>
          </w:p>
          <w:p w:rsidR="00000000" w:rsidRPr="00A31EC2" w:rsidP="00A31EC2">
            <w:pPr>
              <w:pStyle w:val="BodyText"/>
            </w:pPr>
            <w:r w:rsidRPr="00A31EC2">
              <w:t>UEENEEE107A Use drawings, diagrams, schedules, standards, codes and specifications</w:t>
            </w:r>
          </w:p>
          <w:p w:rsidR="00000000" w:rsidRPr="00A31EC2" w:rsidP="00A31EC2">
            <w:pPr>
              <w:pStyle w:val="BodyText"/>
            </w:pPr>
            <w:r w:rsidRPr="00A31EC2">
              <w:t>UEENEEG101A Solve problems in electromagnetic devices and related circuits</w:t>
            </w:r>
          </w:p>
          <w:p w:rsidR="00000000" w:rsidRPr="00A31EC2" w:rsidP="00A31EC2">
            <w:pPr>
              <w:pStyle w:val="BodyText"/>
            </w:pPr>
            <w:r w:rsidRPr="00A31EC2">
              <w:t>UEENEEG102A Solve problems in low voltage a.c. circuits</w:t>
            </w:r>
          </w:p>
          <w:p w:rsidR="00000000" w:rsidRPr="00A31EC2" w:rsidP="00A31EC2">
            <w:pPr>
              <w:pStyle w:val="BodyText"/>
            </w:pPr>
            <w:r w:rsidRPr="00A31EC2">
              <w:t>UEENEEG106A Terminate cables, cords and accessories for low voltage circuits</w:t>
            </w:r>
          </w:p>
          <w:p w:rsidR="00000000" w:rsidRPr="00A31EC2" w:rsidP="00A31EC2">
            <w:pPr>
              <w:pStyle w:val="BodyText"/>
            </w:pPr>
            <w:r w:rsidRPr="00A31EC2">
              <w:t xml:space="preserve">or </w:t>
            </w:r>
          </w:p>
          <w:p w:rsidR="00000000" w:rsidRPr="00A31EC2" w:rsidP="00A31EC2">
            <w:pPr>
              <w:pStyle w:val="BodyText"/>
            </w:pPr>
            <w:r w:rsidRPr="00A31EC2">
              <w:t>UEENEEJ153A Find and rectify faults motors a</w:t>
            </w:r>
            <w:r w:rsidRPr="00A31EC2">
              <w:t>nd associated controls in refrigeration and air conditioning systems</w:t>
            </w:r>
          </w:p>
          <w:p w:rsidR="00000000" w:rsidRPr="00A31EC2" w:rsidP="00A31EC2">
            <w:pPr>
              <w:pStyle w:val="BodyText"/>
            </w:pPr>
            <w:r w:rsidRPr="00A31EC2">
              <w:t>UEENEEE107A Use drawings, diagrams, schedules, standards, codes and specifications</w:t>
            </w:r>
          </w:p>
          <w:p w:rsidR="00000000" w:rsidRPr="00A31EC2" w:rsidP="00A31EC2">
            <w:pPr>
              <w:pStyle w:val="BodyText"/>
            </w:pPr>
            <w:r w:rsidRPr="00A31EC2">
              <w:t>UEENEEJ108A Recover, pressure test, evacuate, charge and leak test refrigerants</w:t>
            </w:r>
          </w:p>
          <w:p w:rsidR="00000000" w:rsidRPr="00A31EC2" w:rsidP="00A31EC2">
            <w:pPr>
              <w:pStyle w:val="BodyText"/>
            </w:pPr>
            <w:r w:rsidRPr="00A31EC2">
              <w:t>UEENEEJ194A Solve proble</w:t>
            </w:r>
            <w:r w:rsidRPr="00A31EC2">
              <w:t>ms in low voltage refrigeration circuits</w:t>
            </w:r>
          </w:p>
          <w:p w:rsidR="00000000" w:rsidRPr="00A31EC2" w:rsidP="00A31EC2">
            <w:pPr>
              <w:pStyle w:val="BodyText"/>
            </w:pPr>
            <w:r w:rsidRPr="00A31EC2">
              <w:t>UEENEEE101A Apply Occupational Health and Safety regulations, codes and practices in the workplace</w:t>
            </w:r>
          </w:p>
          <w:p w:rsidR="00000000" w:rsidRPr="00A31EC2" w:rsidP="00A31EC2">
            <w:pPr>
              <w:pStyle w:val="BodyText"/>
            </w:pPr>
            <w:r w:rsidRPr="00A31EC2">
              <w:t>UEENEEE103A Solve problems in ELV single path circuits</w:t>
            </w:r>
          </w:p>
          <w:p w:rsidR="00000000" w:rsidRPr="00A31EC2" w:rsidP="00A31EC2">
            <w:pPr>
              <w:pStyle w:val="BodyText"/>
            </w:pPr>
            <w:r w:rsidRPr="00A31EC2">
              <w:t xml:space="preserve">or </w:t>
            </w:r>
          </w:p>
          <w:p w:rsidR="00000000" w:rsidRPr="00A31EC2" w:rsidP="00A31EC2">
            <w:pPr>
              <w:pStyle w:val="BodyText"/>
            </w:pPr>
            <w:r w:rsidRPr="00A31EC2">
              <w:t>UEENEEJ111A Diagnose and rectify faults in air conditioni</w:t>
            </w:r>
            <w:r w:rsidRPr="00A31EC2">
              <w:t>ng and refrigeration systems and components</w:t>
            </w:r>
          </w:p>
          <w:p w:rsidR="00000000" w:rsidRPr="00A31EC2" w:rsidP="00A31EC2">
            <w:pPr>
              <w:pStyle w:val="BodyText"/>
            </w:pPr>
            <w:r w:rsidRPr="00A31EC2">
              <w:t>UEENEEJ107A Install air conditioning and refrigeration systems, major components and associated equipment</w:t>
            </w:r>
          </w:p>
          <w:p w:rsidR="00000000" w:rsidRPr="00A31EC2" w:rsidP="00A31EC2">
            <w:pPr>
              <w:pStyle w:val="BodyText"/>
            </w:pPr>
            <w:r w:rsidRPr="00A31EC2">
              <w:t>UEENEEP017A Locate and rectify faults in low voltage composite appliances using set procedures</w:t>
            </w:r>
          </w:p>
          <w:p w:rsidR="00000000" w:rsidRPr="00A31EC2" w:rsidP="00A31EC2">
            <w:pPr>
              <w:pStyle w:val="BodyText"/>
            </w:pPr>
            <w:r w:rsidRPr="00A31EC2">
              <w:t>UEENEEE101A</w:t>
            </w:r>
            <w:r w:rsidRPr="00A31EC2">
              <w:t xml:space="preserve"> Apply Occupational Health and Safety regulations, codes and practices in the workplace</w:t>
            </w:r>
          </w:p>
          <w:p w:rsidR="00000000" w:rsidRPr="00A31EC2" w:rsidP="00A31EC2">
            <w:pPr>
              <w:pStyle w:val="BodyText"/>
            </w:pPr>
            <w:r w:rsidRPr="00A31EC2">
              <w:t>UEENEEE102A Fabricate, assemble and dismantle utilities industry components</w:t>
            </w:r>
          </w:p>
          <w:p w:rsidR="00000000" w:rsidRPr="00A31EC2" w:rsidP="00A31EC2">
            <w:pPr>
              <w:pStyle w:val="BodyText"/>
            </w:pPr>
            <w:r w:rsidRPr="00A31EC2">
              <w:t>UEENEEE103A Solve problems in ELV single path circuits</w:t>
            </w:r>
          </w:p>
          <w:p w:rsidR="00000000" w:rsidRPr="00A31EC2" w:rsidP="00A31EC2">
            <w:pPr>
              <w:pStyle w:val="BodyText"/>
            </w:pPr>
            <w:r w:rsidRPr="00A31EC2">
              <w:t>UEENEEE105A Fix and secure electrotec</w:t>
            </w:r>
            <w:r w:rsidRPr="00A31EC2">
              <w:t>hnology equipment</w:t>
            </w:r>
          </w:p>
          <w:p w:rsidR="00000000" w:rsidRPr="00A31EC2" w:rsidP="00A31EC2">
            <w:pPr>
              <w:pStyle w:val="BodyText"/>
            </w:pPr>
            <w:r w:rsidRPr="00A31EC2">
              <w:t>UEENEEE107A Use drawings, diagrams, schedules, standards, codes and specifications</w:t>
            </w:r>
          </w:p>
          <w:p w:rsidR="00000000" w:rsidRPr="00A31EC2" w:rsidP="00A31EC2">
            <w:pPr>
              <w:pStyle w:val="BodyText"/>
            </w:pPr>
            <w:r w:rsidRPr="00A31EC2">
              <w:t>UEENEEE137A Document and apply measures to control OHS risks associated with electrotechnology work</w:t>
            </w:r>
          </w:p>
          <w:p w:rsidR="00000000" w:rsidRPr="00A31EC2" w:rsidP="00A31EC2">
            <w:pPr>
              <w:pStyle w:val="BodyText"/>
            </w:pPr>
            <w:r w:rsidRPr="00A31EC2">
              <w:t xml:space="preserve">UEENEEJ102A Prepare and connect refrigerant tubing and </w:t>
            </w:r>
            <w:r w:rsidRPr="00A31EC2">
              <w:t>fittings</w:t>
            </w:r>
          </w:p>
          <w:p w:rsidR="00000000" w:rsidRPr="00A31EC2" w:rsidP="00A31EC2">
            <w:pPr>
              <w:pStyle w:val="BodyText"/>
            </w:pPr>
            <w:r w:rsidRPr="00A31EC2">
              <w:t>UEENEEJ103A Establish the basic operating conditions of vapour compression systems</w:t>
            </w:r>
          </w:p>
          <w:p w:rsidR="00000000" w:rsidRPr="00A31EC2" w:rsidP="00A31EC2">
            <w:pPr>
              <w:pStyle w:val="BodyText"/>
            </w:pPr>
            <w:r w:rsidRPr="00A31EC2">
              <w:t>UEENEEJ104A Establish the basic operating conditions of air conditioning systems</w:t>
            </w:r>
          </w:p>
          <w:p w:rsidR="00000000" w:rsidRPr="00A31EC2" w:rsidP="00A31EC2">
            <w:pPr>
              <w:pStyle w:val="BodyText"/>
            </w:pPr>
            <w:r w:rsidRPr="00A31EC2">
              <w:t>UEENEEJ106A Install refrigerant pipe work, flow controls and accessories</w:t>
            </w:r>
          </w:p>
          <w:p w:rsidR="00000000" w:rsidRPr="00A31EC2" w:rsidP="00A31EC2">
            <w:pPr>
              <w:pStyle w:val="BodyText"/>
            </w:pPr>
            <w:r w:rsidRPr="00A31EC2">
              <w:t>UEENEEJ107</w:t>
            </w:r>
            <w:r w:rsidRPr="00A31EC2">
              <w:t>A Install air conditioning and refrigeration systems, major components and associated equipment</w:t>
            </w:r>
          </w:p>
          <w:p w:rsidR="00000000" w:rsidRPr="00A31EC2" w:rsidP="00A31EC2">
            <w:pPr>
              <w:pStyle w:val="BodyText"/>
            </w:pPr>
            <w:r w:rsidRPr="00A31EC2">
              <w:t>UEENEEJ108A Recover, pressure test, evacuate, charge and leak test refrigerants</w:t>
            </w:r>
          </w:p>
          <w:p w:rsidR="00000000" w:rsidRPr="00A31EC2" w:rsidP="00A31EC2">
            <w:pPr>
              <w:pStyle w:val="BodyText"/>
            </w:pPr>
            <w:r w:rsidRPr="00A31EC2">
              <w:t>UEENEEJ110A Select refrigerant piping, accessories and associated controls</w:t>
            </w:r>
          </w:p>
          <w:p w:rsidR="00000000" w:rsidRPr="00A31EC2" w:rsidP="00A31EC2">
            <w:pPr>
              <w:pStyle w:val="BodyText"/>
            </w:pPr>
            <w:r w:rsidRPr="00A31EC2">
              <w:t>UEENEEJ170A Diagnose and rectify faults in air conditioning and refrigeration control systems</w:t>
            </w:r>
          </w:p>
          <w:p w:rsidR="00000000" w:rsidRPr="00A31EC2" w:rsidP="00A31EC2">
            <w:pPr>
              <w:pStyle w:val="BodyText"/>
            </w:pPr>
            <w:r w:rsidRPr="00A31EC2">
              <w:t>UEENEEJ194A Solve problems in low voltage refrigeration circuits</w:t>
            </w:r>
          </w:p>
          <w:p w:rsidR="00000000" w:rsidRPr="00A31EC2" w:rsidP="00A31EC2">
            <w:pPr>
              <w:pStyle w:val="BodyText"/>
            </w:pPr>
            <w:r w:rsidRPr="00A31EC2">
              <w:t>UEENEEP012A Disconnect / reconnect composite appliances connected to low voltage installation wir</w:t>
            </w:r>
            <w:r w:rsidRPr="00A31EC2">
              <w:t xml:space="preserve">ing </w:t>
            </w:r>
          </w:p>
          <w:p w:rsidR="00000000" w:rsidRPr="00A31EC2" w:rsidP="00A31EC2">
            <w:pPr>
              <w:pStyle w:val="BodyText"/>
            </w:pPr>
            <w:r w:rsidRPr="00A31EC2">
              <w:t>Note:</w:t>
            </w:r>
          </w:p>
          <w:p w:rsidR="00000000" w:rsidRPr="00A31EC2" w:rsidP="00A31EC2">
            <w:pPr>
              <w:pStyle w:val="BodyText"/>
            </w:pPr>
          </w:p>
          <w:p w:rsidR="00000000" w:rsidRPr="00A31EC2" w:rsidP="00A31EC2">
            <w:pPr>
              <w:pStyle w:val="BodyText"/>
            </w:pPr>
            <w:r w:rsidRPr="00A31EC2">
              <w:t>UEENEEJ111A - Those holding a 'Certificate III in Refrigeration and Air Conditioning trade qualification or equivalent" meet the requirements of this unit and its pre-requisite requirements.</w:t>
            </w:r>
          </w:p>
          <w:p w:rsidR="00000000" w:rsidRPr="00A31EC2" w:rsidP="00A31EC2">
            <w:pPr>
              <w:pStyle w:val="BodyText"/>
            </w:pPr>
          </w:p>
          <w:p w:rsidR="00000000" w:rsidRPr="00A31EC2" w:rsidP="00A31EC2">
            <w:pPr>
              <w:pStyle w:val="BodyText"/>
            </w:pPr>
            <w:r w:rsidRPr="00A31EC2">
              <w:t>UEENEEJ155A - Those holding a 'Certificate III in Ap</w:t>
            </w:r>
            <w:r w:rsidRPr="00A31EC2">
              <w:t>pliance Servicing trade qualification or equivalent" meet the requirements of this unit and its pre-requisite requirements.</w:t>
            </w:r>
          </w:p>
        </w:tc>
      </w:tr>
    </w:tbl>
    <w:p w:rsidR="00D22BA4" w:rsidP="00A31EC2">
      <w:pPr>
        <w:pStyle w:val="BodyText"/>
      </w:pPr>
    </w:p>
    <w:p w:rsidR="00D22BA4" w:rsidP="00A31EC2">
      <w:pPr>
        <w:pStyle w:val="BodyText"/>
      </w:pPr>
    </w:p>
    <w:p w:rsidR="00000000" w:rsidRPr="00A31EC2" w:rsidP="00A31EC2">
      <w:pPr>
        <w:pStyle w:val="Heading1"/>
      </w:pPr>
      <w:bookmarkStart w:id="6" w:name="O_709929"/>
      <w:bookmarkEnd w:id="6"/>
      <w:r w:rsidRPr="00A31EC2">
        <w:t>Employability Skills Information</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Employability Skills</w:t>
            </w:r>
          </w:p>
        </w:tc>
        <w:tc>
          <w:tcPr>
            <w:tcW w:w="5760" w:type="dxa"/>
            <w:gridSpan w:val="6"/>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3</w:t>
            </w:r>
            <w:r w:rsidRPr="00A31EC2">
              <w:t>)</w:t>
            </w:r>
          </w:p>
          <w:p w:rsidR="00000000" w:rsidRPr="00A31EC2" w:rsidP="00A31EC2">
            <w:pPr>
              <w:pStyle w:val="BodyText"/>
            </w:pPr>
            <w:r w:rsidRPr="00A31EC2">
              <w:t>This unit contains Employability Skills</w:t>
            </w:r>
          </w:p>
          <w:p w:rsidR="00000000" w:rsidP="00A31EC2">
            <w:pPr>
              <w:pStyle w:val="BodyText"/>
              <w:rPr>
                <w:lang w:val="en-NZ"/>
              </w:rPr>
            </w:pPr>
            <w:r w:rsidRPr="00A31EC2">
              <w:t>The required ou</w:t>
            </w:r>
            <w:r w:rsidRPr="00A31EC2">
              <w:t>tcomes described in this unit of competency contain applicable facets of Employability Skills. The Employability Skills Summary of the qualification in which this unit of competency is packaged will assist in identifying Employability Skill requirements.</w:t>
            </w:r>
          </w:p>
        </w:tc>
      </w:tr>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RPr="00A31EC2" w:rsidP="00A31EC2">
            <w:pPr>
              <w:pStyle w:val="BodyText"/>
            </w:pPr>
          </w:p>
        </w:tc>
      </w:tr>
    </w:tbl>
    <w:p w:rsidR="00D22BA4" w:rsidP="00A31EC2">
      <w:pPr>
        <w:pStyle w:val="BodyText"/>
      </w:pPr>
    </w:p>
    <w:p w:rsidR="00D22BA4" w:rsidP="00A31EC2">
      <w:pPr>
        <w:pStyle w:val="BodyText"/>
      </w:pPr>
    </w:p>
    <w:p w:rsidR="00000000" w:rsidRPr="00A31EC2" w:rsidP="00A31EC2">
      <w:pPr>
        <w:pStyle w:val="Heading1"/>
      </w:pPr>
      <w:bookmarkStart w:id="7" w:name="O_709928"/>
      <w:bookmarkEnd w:id="7"/>
      <w:r w:rsidRPr="00A31EC2">
        <w:t>Elements and Performance Criteria Pre-Content</w:t>
      </w:r>
    </w:p>
    <w:tbl>
      <w:tblPr>
        <w:tblW w:w="0" w:type="auto"/>
        <w:tblLayout w:type="fixed"/>
        <w:tblCellMar>
          <w:left w:w="62" w:type="dxa"/>
          <w:right w:w="62" w:type="dxa"/>
        </w:tblCellMar>
        <w:tblLook w:val="0000"/>
      </w:tblPr>
      <w:tblGrid>
        <w:gridCol w:w="2700"/>
        <w:gridCol w:w="5949"/>
      </w:tblGrid>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6</w:t>
            </w:r>
            <w:r w:rsidRPr="00A31EC2">
              <w:t>) Elements describe the essential outcomes of a unit</w:t>
            </w:r>
          </w:p>
        </w:tc>
        <w:tc>
          <w:tcPr>
            <w:tcW w:w="5949"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Performance criteria describe the required performance needed to demonstrate achievement of the element. Assessment of per</w:t>
            </w:r>
            <w:r w:rsidRPr="00A31EC2">
              <w:t>formance is to be consistent with the evidence guide.</w:t>
            </w:r>
          </w:p>
        </w:tc>
      </w:tr>
    </w:tbl>
    <w:p w:rsidR="00000000" w:rsidRPr="00A31EC2" w:rsidP="00A31EC2">
      <w:pPr>
        <w:pStyle w:val="BodyText"/>
      </w:pPr>
    </w:p>
    <w:p w:rsidR="00000000" w:rsidRPr="00A31EC2" w:rsidP="00A31EC2">
      <w:pPr>
        <w:pStyle w:val="AllowPageBreak"/>
      </w:pPr>
    </w:p>
    <w:p w:rsidR="00000000" w:rsidRPr="00A31EC2" w:rsidP="00A31EC2">
      <w:pPr>
        <w:pStyle w:val="Heading1"/>
      </w:pPr>
      <w:bookmarkStart w:id="8" w:name="O_709927"/>
      <w:bookmarkEnd w:id="8"/>
      <w:r w:rsidRPr="00A31EC2">
        <w:t>Elements and Performance Criteria</w:t>
      </w:r>
    </w:p>
    <w:tbl>
      <w:tblPr>
        <w:tblW w:w="0" w:type="auto"/>
        <w:tblLayout w:type="fixed"/>
        <w:tblCellMar>
          <w:left w:w="62" w:type="dxa"/>
          <w:right w:w="62" w:type="dxa"/>
        </w:tblCellMar>
        <w:tblLook w:val="0000"/>
      </w:tblPr>
      <w:tblGrid>
        <w:gridCol w:w="404"/>
        <w:gridCol w:w="2296"/>
        <w:gridCol w:w="900"/>
        <w:gridCol w:w="5049"/>
      </w:tblGrid>
      <w:tr w:rsidTr="00D22BA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ELEMENT</w:t>
            </w:r>
          </w:p>
        </w:tc>
        <w:tc>
          <w:tcPr>
            <w:tcW w:w="5949" w:type="dxa"/>
            <w:gridSpan w:val="2"/>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PERFORMANCE CRITERIA</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w:t>
            </w:r>
          </w:p>
        </w:tc>
        <w:tc>
          <w:tcPr>
            <w:tcW w:w="2296" w:type="dxa"/>
            <w:vMerge w:val="restart"/>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Prepare to service  and repair Hydrocarbon refrigeration and air conditioning systems</w:t>
            </w: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1.1</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OHS procedures for a given work area are identified, obtained and understood  through established routines and procedures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1.2</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Established OHS risk control measures and procedures are followed in preparation for the work.</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1.3</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Safety hazards which have</w:t>
            </w:r>
            <w:r w:rsidRPr="00A31EC2">
              <w:t xml:space="preserve"> not previously been identified are reported and advice on risk control measures is sought from the work supervisor.</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1.4</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The nature of work is obtained from documentation or from work supervisor to establish the scope of work to be undertaken.</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1.5</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Advice is sought from the work supervisor to ensure the work is coordinated effectively with others.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1.6</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Sources of materials that may be required for the work are accessed in accordance with established routines and procedures.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1.7</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 xml:space="preserve">Tools, equipment </w:t>
            </w:r>
            <w:r w:rsidRPr="00A31EC2">
              <w:t>and testing devices needed to carry out the work are obtained and checked for correct operation and safety</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w:t>
            </w:r>
          </w:p>
        </w:tc>
        <w:tc>
          <w:tcPr>
            <w:tcW w:w="2296" w:type="dxa"/>
            <w:vMerge w:val="restart"/>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Service and repair Hydrocarbon refrigeration and air conditioning systems.</w:t>
            </w: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2.1</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Established OHS risk control measures and procedures for carrying out the work are followed.</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2.2</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Measuring system operating parameters is conducted in strict accordance with OHS requirements and established safety procedures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2.3</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Checks are carried ou</w:t>
            </w:r>
            <w:r w:rsidRPr="00A31EC2">
              <w:t>t to ensure the system or component parts are isolated, when necessary in strict accordance OHS requirements and procedures.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2.4</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Refrigerant is removed from a system safely in accordance with regulatory requirements and industry practices.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2.5</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Precautions are taken to prevent damage to components while pressure testing the system</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2.6</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Pressure testing is conducted at a pressure compatible with Hydrocarbon and in accordance with standards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2.7</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Leaks are located and rectified using testing met</w:t>
            </w:r>
            <w:r w:rsidRPr="00A31EC2">
              <w:t>hods appropriate to the system and in accordance with industry practices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2.8</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Oil is removed from an operational Hydrocarbon system in accordance with industry practices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2.9</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 xml:space="preserve">System is charged </w:t>
            </w:r>
            <w:r w:rsidRPr="00A31EC2">
              <w:t>safely with Hydrocarbon and compatible lubricants in accordance with industry practices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2.10</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Established procedures are used to determine actual and specified range of operating conditions from measured and calculated values as they apply to Hydrocarbon</w:t>
            </w:r>
            <w:r w:rsidRPr="00A31EC2">
              <w:t xml:space="preserve"> vapour compression systems.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2.11</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Established methods for dealing with unexpected situations are discussed with appropriate person or persons and documented.</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2.12</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Unexpected situations are dealt with safely and with the approval of an authorised pers</w:t>
            </w:r>
            <w:r w:rsidRPr="00A31EC2">
              <w:t>on.</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2.13</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Operating conditions are determined without damage to apparatus, circuits, the surrounding environment or services and using sustainable energy practices.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w:t>
            </w:r>
          </w:p>
        </w:tc>
        <w:tc>
          <w:tcPr>
            <w:tcW w:w="2296" w:type="dxa"/>
            <w:vMerge w:val="restart"/>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 xml:space="preserve">Complete work and report on servicing and repairing Hydrocarbon refrigeration and air </w:t>
            </w:r>
            <w:r w:rsidRPr="00A31EC2">
              <w:t xml:space="preserve">conditioning systems </w:t>
            </w: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3.1</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OHS work completion risk control measures and procedures are followed.</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3.2</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 xml:space="preserve">Work site is cleaned and made safe in accordance with established </w:t>
            </w:r>
            <w:r w:rsidRPr="00A31EC2">
              <w:t>procedures.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3.3</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Contaminated refrigerant and lubricant is dealt with in accordance with legislative/regulatory requirements</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3.4</w:t>
            </w:r>
          </w:p>
        </w:tc>
        <w:tc>
          <w:tcPr>
            <w:tcW w:w="50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Operation conditions are documented, including identification of any parameter that is not within the specified range for the system.</w:t>
            </w:r>
          </w:p>
        </w:tc>
      </w:tr>
      <w:tr w:rsidTr="00D22B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3.5</w:t>
            </w:r>
          </w:p>
        </w:tc>
        <w:tc>
          <w:tcPr>
            <w:tcW w:w="5049"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Work supervisor is notified of the completion of the work in accordance with established procedures.</w:t>
            </w:r>
          </w:p>
        </w:tc>
      </w:tr>
    </w:tbl>
    <w:p w:rsidR="00D22BA4" w:rsidP="00A31EC2">
      <w:pPr>
        <w:pStyle w:val="BodyText"/>
      </w:pPr>
    </w:p>
    <w:p w:rsidR="00D22BA4" w:rsidP="00A31EC2">
      <w:pPr>
        <w:pStyle w:val="BodyText"/>
      </w:pPr>
    </w:p>
    <w:p w:rsidR="00000000" w:rsidRPr="00A31EC2" w:rsidP="00A31EC2">
      <w:pPr>
        <w:pStyle w:val="Heading1"/>
      </w:pPr>
      <w:bookmarkStart w:id="9" w:name="O_709926"/>
      <w:bookmarkEnd w:id="9"/>
      <w:r w:rsidRPr="00A31EC2">
        <w:t>Required Skills and Knowledge</w:t>
      </w:r>
    </w:p>
    <w:tbl>
      <w:tblPr>
        <w:tblW w:w="0" w:type="auto"/>
        <w:tblLayout w:type="fixed"/>
        <w:tblCellMar>
          <w:left w:w="62" w:type="dxa"/>
          <w:right w:w="62" w:type="dxa"/>
        </w:tblCellMar>
        <w:tblLook w:val="0000"/>
      </w:tblPr>
      <w:tblGrid>
        <w:gridCol w:w="8649"/>
      </w:tblGrid>
      <w:tr w:rsidTr="00D22BA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REQUIRED SKILLS AND KNOWLEDGE</w:t>
            </w:r>
          </w:p>
        </w:tc>
      </w:tr>
      <w:tr w:rsidTr="00D22BA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7)</w:t>
            </w:r>
            <w:r w:rsidRPr="00A31EC2">
              <w:t xml:space="preserve"> This describes the essential skills and knowledge and their level, required for this unit.</w:t>
            </w:r>
          </w:p>
        </w:tc>
      </w:tr>
      <w:tr w:rsidTr="00D22BA4">
        <w:tblPrEx>
          <w:tblW w:w="0" w:type="auto"/>
          <w:tblLayout w:type="fixed"/>
          <w:tblCellMar>
            <w:left w:w="62" w:type="dxa"/>
            <w:right w:w="62" w:type="dxa"/>
          </w:tblCellMar>
          <w:tblLook w:val="0000"/>
        </w:tblPrEx>
        <w:trPr>
          <w:trHeight w:val="949"/>
        </w:trPr>
        <w:tc>
          <w:tcPr>
            <w:tcW w:w="8649"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Evidence shall show that knowledge has been acquired of safe working practices and determini</w:t>
            </w:r>
            <w:r w:rsidRPr="00A31EC2">
              <w:t>ng the operating conditions of Hydrocarbon refrigerating systems.</w:t>
            </w:r>
          </w:p>
          <w:p w:rsidR="00000000" w:rsidRPr="00A31EC2" w:rsidP="00A31EC2">
            <w:pPr>
              <w:pStyle w:val="BodyText"/>
            </w:pPr>
            <w:r w:rsidRPr="00A31EC2">
              <w:t>All knowledge and skills detailed in this unit should be contextualised to current industry practices and technologies.</w:t>
            </w:r>
          </w:p>
          <w:p w:rsidR="00000000" w:rsidRPr="00A31EC2" w:rsidP="00A31EC2">
            <w:pPr>
              <w:pStyle w:val="BodyText"/>
            </w:pPr>
            <w:r w:rsidRPr="00A31EC2">
              <w:rPr>
                <w:rStyle w:val="SpecialBold"/>
              </w:rPr>
              <w:t>KS01-EJ175A                      Self contained  Hydrocarbon refrigeration and air   conditioning systems</w:t>
            </w:r>
          </w:p>
          <w:p w:rsidR="00000000" w:rsidRPr="00A31EC2" w:rsidP="00A31EC2">
            <w:pPr>
              <w:pStyle w:val="BodyText"/>
            </w:pPr>
            <w:r w:rsidRPr="00A31EC2">
              <w:t>Evidence shall show an understanding of servicing and repair techniques, applying safe working practices and relevant Standards, Codes and Regulations</w:t>
            </w:r>
            <w:r w:rsidRPr="00A31EC2">
              <w:t xml:space="preserve"> for Hydrocarbon refrigeration systems to an extent indicated by the following aspects:</w:t>
            </w:r>
          </w:p>
          <w:p w:rsidR="00000000" w:rsidRPr="00A31EC2" w:rsidP="00A31EC2">
            <w:pPr>
              <w:pStyle w:val="BodyText"/>
            </w:pPr>
            <w:r w:rsidRPr="00A31EC2">
              <w:t>T1</w:t>
            </w:r>
            <w:r w:rsidRPr="00A31EC2">
              <w:tab/>
              <w:t>Hydrocarbon refrigeration systems</w:t>
            </w:r>
          </w:p>
          <w:p w:rsidR="00000000" w:rsidRPr="00A31EC2" w:rsidP="00A31EC2">
            <w:pPr>
              <w:pStyle w:val="ListBullet"/>
            </w:pPr>
            <w:r w:rsidRPr="00A31EC2">
              <w:t>Basic operation system types, applications and design operating conditions</w:t>
            </w:r>
          </w:p>
          <w:p w:rsidR="00000000" w:rsidRPr="00A31EC2" w:rsidP="00A31EC2">
            <w:pPr>
              <w:pStyle w:val="ListBullet2"/>
            </w:pPr>
            <w:r w:rsidRPr="00A31EC2">
              <w:t>Domestic refrigerators</w:t>
            </w:r>
          </w:p>
          <w:p w:rsidR="00000000" w:rsidRPr="00A31EC2" w:rsidP="00A31EC2">
            <w:pPr>
              <w:pStyle w:val="ListBullet2"/>
            </w:pPr>
            <w:r w:rsidRPr="00A31EC2">
              <w:t>Self contained refrigeration ca</w:t>
            </w:r>
            <w:r w:rsidRPr="00A31EC2">
              <w:t>binets</w:t>
            </w:r>
          </w:p>
          <w:p w:rsidR="00000000" w:rsidRPr="00A31EC2" w:rsidP="00A31EC2">
            <w:pPr>
              <w:pStyle w:val="ListBullet2"/>
            </w:pPr>
            <w:r w:rsidRPr="00A31EC2">
              <w:t>Self contained air conditioners</w:t>
            </w:r>
          </w:p>
          <w:p w:rsidR="00000000" w:rsidRPr="00A31EC2" w:rsidP="00A31EC2">
            <w:pPr>
              <w:pStyle w:val="ListBullet2"/>
            </w:pPr>
            <w:r w:rsidRPr="00A31EC2">
              <w:t>Single head split air conditioners</w:t>
            </w:r>
          </w:p>
          <w:p w:rsidR="00000000" w:rsidRPr="00A31EC2" w:rsidP="00A31EC2">
            <w:pPr>
              <w:pStyle w:val="ListBullet2"/>
            </w:pPr>
            <w:r w:rsidRPr="00A31EC2">
              <w:t>Heat pump water heaters</w:t>
            </w:r>
          </w:p>
          <w:p w:rsidR="00000000" w:rsidRPr="00A31EC2" w:rsidP="00A31EC2">
            <w:pPr>
              <w:pStyle w:val="BodyText"/>
            </w:pPr>
            <w:r w:rsidRPr="00A31EC2">
              <w:t>T2</w:t>
            </w:r>
            <w:r w:rsidRPr="00A31EC2">
              <w:tab/>
              <w:t>Operating conditions for hydrocarbon refrigeration systems</w:t>
            </w:r>
          </w:p>
          <w:p w:rsidR="00000000" w:rsidRPr="00A31EC2" w:rsidP="00A31EC2">
            <w:pPr>
              <w:pStyle w:val="ListBullet"/>
            </w:pPr>
            <w:r w:rsidRPr="00A31EC2">
              <w:t>Compressors</w:t>
            </w:r>
          </w:p>
          <w:p w:rsidR="00000000" w:rsidRPr="00A31EC2" w:rsidP="00A31EC2">
            <w:pPr>
              <w:pStyle w:val="ListBullet2"/>
            </w:pPr>
            <w:r w:rsidRPr="00A31EC2">
              <w:t>Functions of the compressor</w:t>
            </w:r>
          </w:p>
          <w:p w:rsidR="00000000" w:rsidRPr="00A31EC2" w:rsidP="00A31EC2">
            <w:pPr>
              <w:pStyle w:val="ListBullet2"/>
            </w:pPr>
            <w:r w:rsidRPr="00A31EC2">
              <w:t>Types, construction and their applications</w:t>
            </w:r>
          </w:p>
          <w:p w:rsidR="00000000" w:rsidRPr="00A31EC2" w:rsidP="00A31EC2">
            <w:pPr>
              <w:pStyle w:val="ListBullet"/>
            </w:pPr>
            <w:r w:rsidRPr="00A31EC2">
              <w:t>Lubrication and lubricators</w:t>
            </w:r>
          </w:p>
          <w:p w:rsidR="00000000" w:rsidRPr="00A31EC2" w:rsidP="00A31EC2">
            <w:pPr>
              <w:pStyle w:val="ListBullet2"/>
            </w:pPr>
            <w:r w:rsidRPr="00A31EC2">
              <w:t>Lubrication methods</w:t>
            </w:r>
          </w:p>
          <w:p w:rsidR="00000000" w:rsidRPr="00A31EC2" w:rsidP="00A31EC2">
            <w:pPr>
              <w:pStyle w:val="ListBullet2"/>
            </w:pPr>
            <w:r w:rsidRPr="00A31EC2">
              <w:t>Safe handling of lubricants</w:t>
            </w:r>
          </w:p>
          <w:p w:rsidR="00000000" w:rsidRPr="00A31EC2" w:rsidP="00A31EC2">
            <w:pPr>
              <w:pStyle w:val="ListBullet2"/>
            </w:pPr>
            <w:r w:rsidRPr="00A31EC2">
              <w:t>Selection of Lubricants</w:t>
            </w:r>
          </w:p>
          <w:p w:rsidR="00000000" w:rsidRPr="00A31EC2" w:rsidP="00A31EC2">
            <w:pPr>
              <w:pStyle w:val="ListBullet2"/>
            </w:pPr>
            <w:r w:rsidRPr="00A31EC2">
              <w:t>Adding and removing oil from Hydrocarbon systems</w:t>
            </w:r>
          </w:p>
          <w:p w:rsidR="00000000" w:rsidRPr="00A31EC2" w:rsidP="00A31EC2">
            <w:pPr>
              <w:pStyle w:val="ListBullet"/>
            </w:pPr>
            <w:r w:rsidRPr="00A31EC2">
              <w:t>Evaporators / Cooling Units</w:t>
            </w:r>
          </w:p>
          <w:p w:rsidR="00000000" w:rsidRPr="00A31EC2" w:rsidP="00A31EC2">
            <w:pPr>
              <w:pStyle w:val="ListBullet2"/>
            </w:pPr>
            <w:r w:rsidRPr="00A31EC2">
              <w:t>Types, construction and applications</w:t>
            </w:r>
          </w:p>
          <w:p w:rsidR="00000000" w:rsidRPr="00A31EC2" w:rsidP="00A31EC2">
            <w:pPr>
              <w:pStyle w:val="ListBullet2"/>
            </w:pPr>
            <w:r w:rsidRPr="00A31EC2">
              <w:t>Evaporator defrost methods and controls</w:t>
            </w:r>
          </w:p>
          <w:p w:rsidR="00000000" w:rsidRPr="00A31EC2" w:rsidP="00A31EC2">
            <w:pPr>
              <w:pStyle w:val="ListBullet2"/>
            </w:pPr>
            <w:r w:rsidRPr="00A31EC2">
              <w:t>Operation and maintenance</w:t>
            </w:r>
          </w:p>
          <w:p w:rsidR="00000000" w:rsidRPr="00A31EC2" w:rsidP="00A31EC2">
            <w:pPr>
              <w:pStyle w:val="ListBullet"/>
            </w:pPr>
            <w:r w:rsidRPr="00A31EC2">
              <w:t>Refrigerant Flow Devices</w:t>
            </w:r>
          </w:p>
          <w:p w:rsidR="00000000" w:rsidRPr="00A31EC2" w:rsidP="00A31EC2">
            <w:pPr>
              <w:pStyle w:val="ListBullet2"/>
            </w:pPr>
            <w:r w:rsidRPr="00A31EC2">
              <w:t>Types, construction and applications</w:t>
            </w:r>
          </w:p>
          <w:p w:rsidR="00000000" w:rsidRPr="00A31EC2" w:rsidP="00A31EC2">
            <w:pPr>
              <w:pStyle w:val="ListBullet2"/>
            </w:pPr>
            <w:r w:rsidRPr="00A31EC2">
              <w:t>Operation and maintenance</w:t>
            </w:r>
          </w:p>
          <w:p w:rsidR="00000000" w:rsidRPr="00A31EC2" w:rsidP="00A31EC2">
            <w:pPr>
              <w:pStyle w:val="ListBullet"/>
            </w:pPr>
            <w:r w:rsidRPr="00A31EC2">
              <w:t>Ancillary Components</w:t>
            </w:r>
          </w:p>
          <w:p w:rsidR="00000000" w:rsidRPr="00A31EC2" w:rsidP="00A31EC2">
            <w:pPr>
              <w:pStyle w:val="ListBullet2"/>
            </w:pPr>
            <w:r w:rsidRPr="00A31EC2">
              <w:t>Leak detectors</w:t>
            </w:r>
          </w:p>
          <w:p w:rsidR="00000000" w:rsidRPr="00A31EC2" w:rsidP="00A31EC2">
            <w:pPr>
              <w:pStyle w:val="ListBullet2"/>
            </w:pPr>
            <w:r w:rsidRPr="00A31EC2">
              <w:t>Safety controls</w:t>
            </w:r>
          </w:p>
          <w:p w:rsidR="00000000" w:rsidRPr="00A31EC2" w:rsidP="00A31EC2">
            <w:pPr>
              <w:pStyle w:val="ListBullet2"/>
            </w:pPr>
            <w:r w:rsidRPr="00A31EC2">
              <w:t>Operation and maintenance</w:t>
            </w:r>
          </w:p>
          <w:p w:rsidR="00000000" w:rsidRPr="00A31EC2" w:rsidP="00A31EC2">
            <w:pPr>
              <w:pStyle w:val="BodyText"/>
            </w:pPr>
            <w:r w:rsidRPr="00A31EC2">
              <w:t>T3</w:t>
            </w:r>
            <w:r w:rsidRPr="00A31EC2">
              <w:tab/>
              <w:t>Applicable Standards and Codes</w:t>
            </w:r>
          </w:p>
          <w:p w:rsidR="00000000" w:rsidRPr="00A31EC2" w:rsidP="00A31EC2">
            <w:pPr>
              <w:pStyle w:val="ListBullet"/>
            </w:pPr>
            <w:r w:rsidRPr="00A31EC2">
              <w:t>Hazards associated with Hydrocarbons</w:t>
            </w:r>
          </w:p>
          <w:p w:rsidR="00000000" w:rsidRPr="00A31EC2" w:rsidP="00A31EC2">
            <w:pPr>
              <w:pStyle w:val="ListBullet"/>
            </w:pPr>
            <w:r w:rsidRPr="00A31EC2">
              <w:t>AS/NZS 1677</w:t>
            </w:r>
          </w:p>
          <w:p w:rsidR="00000000" w:rsidRPr="00A31EC2" w:rsidP="00A31EC2">
            <w:pPr>
              <w:pStyle w:val="ListBullet"/>
            </w:pPr>
            <w:r w:rsidRPr="00A31EC2">
              <w:t>AS/NZS 1571</w:t>
            </w:r>
          </w:p>
          <w:p w:rsidR="00000000" w:rsidRPr="00A31EC2" w:rsidP="00A31EC2">
            <w:pPr>
              <w:pStyle w:val="ListBullet"/>
            </w:pPr>
            <w:r w:rsidRPr="00A31EC2">
              <w:t>IIAR Bulletins</w:t>
            </w:r>
          </w:p>
          <w:p w:rsidR="00000000" w:rsidRPr="00A31EC2" w:rsidP="00A31EC2">
            <w:pPr>
              <w:pStyle w:val="ListBullet"/>
            </w:pPr>
            <w:r w:rsidRPr="00A31EC2">
              <w:t>ANSI/ASHRAE Standards</w:t>
            </w:r>
          </w:p>
          <w:p w:rsidR="00000000" w:rsidRPr="00A31EC2" w:rsidP="00A31EC2">
            <w:pPr>
              <w:pStyle w:val="ListBullet"/>
            </w:pPr>
            <w:r w:rsidRPr="00A31EC2">
              <w:t>International Standards EN378</w:t>
            </w:r>
          </w:p>
          <w:p w:rsidR="00000000" w:rsidRPr="00A31EC2" w:rsidP="00A31EC2">
            <w:pPr>
              <w:pStyle w:val="BodyText"/>
            </w:pPr>
            <w:r w:rsidRPr="00A31EC2">
              <w:t>T4</w:t>
            </w:r>
            <w:r w:rsidRPr="00A31EC2">
              <w:tab/>
              <w:t>System access tools</w:t>
            </w:r>
          </w:p>
          <w:p w:rsidR="00000000" w:rsidRPr="00A31EC2" w:rsidP="00A31EC2">
            <w:pPr>
              <w:pStyle w:val="ListBullet"/>
            </w:pPr>
            <w:r w:rsidRPr="00A31EC2">
              <w:t>Schraeder valves</w:t>
            </w:r>
          </w:p>
          <w:p w:rsidR="00000000" w:rsidRPr="00A31EC2" w:rsidP="00A31EC2">
            <w:pPr>
              <w:pStyle w:val="ListBullet"/>
            </w:pPr>
            <w:r w:rsidRPr="00A31EC2">
              <w:t>Piercing valves</w:t>
            </w:r>
          </w:p>
          <w:p w:rsidR="00000000" w:rsidRPr="00A31EC2" w:rsidP="00A31EC2">
            <w:pPr>
              <w:pStyle w:val="ListBullet"/>
            </w:pPr>
            <w:r w:rsidRPr="00A31EC2">
              <w:t>Process tube adaptors</w:t>
            </w:r>
          </w:p>
          <w:p w:rsidR="00000000" w:rsidRPr="00A31EC2" w:rsidP="00A31EC2">
            <w:pPr>
              <w:pStyle w:val="ListBullet"/>
            </w:pPr>
            <w:r w:rsidRPr="00A31EC2">
              <w:t>Gauge manifold sets</w:t>
            </w:r>
          </w:p>
          <w:p w:rsidR="00000000" w:rsidRPr="00A31EC2" w:rsidP="00A31EC2">
            <w:pPr>
              <w:pStyle w:val="ListBullet"/>
            </w:pPr>
            <w:r w:rsidRPr="00A31EC2">
              <w:t>Maintenance</w:t>
            </w:r>
          </w:p>
          <w:p w:rsidR="00000000" w:rsidRPr="00A31EC2" w:rsidP="00A31EC2">
            <w:pPr>
              <w:pStyle w:val="BodyText"/>
            </w:pPr>
            <w:r w:rsidRPr="00A31EC2">
              <w:t>T5</w:t>
            </w:r>
            <w:r w:rsidRPr="00A31EC2">
              <w:tab/>
            </w:r>
            <w:r w:rsidRPr="00A31EC2">
              <w:t>Access procedures</w:t>
            </w:r>
            <w:r w:rsidRPr="00A31EC2">
              <w:tab/>
            </w:r>
          </w:p>
          <w:p w:rsidR="00000000" w:rsidRPr="00A31EC2" w:rsidP="00A31EC2">
            <w:pPr>
              <w:pStyle w:val="ListBullet"/>
            </w:pPr>
            <w:r w:rsidRPr="00A31EC2">
              <w:t>Ignition sources</w:t>
            </w:r>
          </w:p>
          <w:p w:rsidR="00000000" w:rsidRPr="00A31EC2" w:rsidP="00A31EC2">
            <w:pPr>
              <w:pStyle w:val="ListBullet"/>
            </w:pPr>
            <w:r w:rsidRPr="00A31EC2">
              <w:t>Ventilation</w:t>
            </w:r>
          </w:p>
          <w:p w:rsidR="00000000" w:rsidRPr="00A31EC2" w:rsidP="00A31EC2">
            <w:pPr>
              <w:pStyle w:val="ListBullet"/>
            </w:pPr>
            <w:r w:rsidRPr="00A31EC2">
              <w:t>Gauge manifold hoses</w:t>
            </w:r>
          </w:p>
          <w:p w:rsidR="00000000" w:rsidRPr="00A31EC2" w:rsidP="00A31EC2">
            <w:pPr>
              <w:pStyle w:val="ListBullet"/>
            </w:pPr>
            <w:r w:rsidRPr="00A31EC2">
              <w:t>System operating values</w:t>
            </w:r>
          </w:p>
          <w:p w:rsidR="00000000" w:rsidRPr="00A31EC2" w:rsidP="00A31EC2">
            <w:pPr>
              <w:pStyle w:val="BodyText"/>
            </w:pPr>
            <w:r w:rsidRPr="00A31EC2">
              <w:t>T6</w:t>
            </w:r>
            <w:r w:rsidRPr="00A31EC2">
              <w:tab/>
              <w:t>Refrigerant removal/recovery and flushing</w:t>
            </w:r>
          </w:p>
          <w:p w:rsidR="00000000" w:rsidRPr="00A31EC2" w:rsidP="00A31EC2">
            <w:pPr>
              <w:pStyle w:val="ListBullet"/>
            </w:pPr>
            <w:r w:rsidRPr="00A31EC2">
              <w:t>Bleed to atmosphere</w:t>
            </w:r>
          </w:p>
          <w:p w:rsidR="00000000" w:rsidRPr="00A31EC2" w:rsidP="00A31EC2">
            <w:pPr>
              <w:pStyle w:val="ListBullet"/>
            </w:pPr>
            <w:r w:rsidRPr="00A31EC2">
              <w:t>Recovery to a cylinder</w:t>
            </w:r>
          </w:p>
          <w:p w:rsidR="00000000" w:rsidRPr="00A31EC2" w:rsidP="00A31EC2">
            <w:pPr>
              <w:pStyle w:val="ListBullet"/>
            </w:pPr>
            <w:r w:rsidRPr="00A31EC2">
              <w:t>Burning</w:t>
            </w:r>
          </w:p>
          <w:p w:rsidR="00000000" w:rsidRPr="00A31EC2" w:rsidP="00A31EC2">
            <w:pPr>
              <w:pStyle w:val="ListBullet"/>
            </w:pPr>
            <w:r w:rsidRPr="00A31EC2">
              <w:t>Flush with inert gas</w:t>
            </w:r>
          </w:p>
          <w:p w:rsidR="00000000" w:rsidRPr="00A31EC2" w:rsidP="00A31EC2">
            <w:pPr>
              <w:pStyle w:val="BodyText"/>
            </w:pPr>
            <w:r w:rsidRPr="00A31EC2">
              <w:t>T7</w:t>
            </w:r>
            <w:r w:rsidRPr="00A31EC2">
              <w:tab/>
              <w:t>Tube joining methods</w:t>
            </w:r>
            <w:r w:rsidRPr="00A31EC2">
              <w:tab/>
            </w:r>
          </w:p>
          <w:p w:rsidR="00000000" w:rsidRPr="00A31EC2" w:rsidP="00A31EC2">
            <w:pPr>
              <w:pStyle w:val="ListBullet"/>
            </w:pPr>
            <w:r w:rsidRPr="00A31EC2">
              <w:t>Lok-ring</w:t>
            </w:r>
          </w:p>
          <w:p w:rsidR="00000000" w:rsidRPr="00A31EC2" w:rsidP="00A31EC2">
            <w:pPr>
              <w:pStyle w:val="ListBullet"/>
            </w:pPr>
            <w:r w:rsidRPr="00A31EC2">
              <w:t>Flare joi</w:t>
            </w:r>
            <w:r w:rsidRPr="00A31EC2">
              <w:t>nts</w:t>
            </w:r>
          </w:p>
          <w:p w:rsidR="00000000" w:rsidRPr="00A31EC2" w:rsidP="00A31EC2">
            <w:pPr>
              <w:pStyle w:val="ListBullet"/>
            </w:pPr>
            <w:r w:rsidRPr="00A31EC2">
              <w:t>Silver brazed joints</w:t>
            </w:r>
          </w:p>
          <w:p w:rsidR="00000000" w:rsidRPr="00A31EC2" w:rsidP="00A31EC2">
            <w:pPr>
              <w:pStyle w:val="ListBullet"/>
            </w:pPr>
            <w:r w:rsidRPr="00A31EC2">
              <w:t>Flux</w:t>
            </w:r>
          </w:p>
          <w:p w:rsidR="00000000" w:rsidRPr="00A31EC2" w:rsidP="00A31EC2">
            <w:pPr>
              <w:pStyle w:val="BodyText"/>
            </w:pPr>
            <w:r w:rsidRPr="00A31EC2">
              <w:t>T8</w:t>
            </w:r>
            <w:r w:rsidRPr="00A31EC2">
              <w:tab/>
              <w:t>Compressor lubricants</w:t>
            </w:r>
          </w:p>
          <w:p w:rsidR="00000000" w:rsidRPr="00A31EC2" w:rsidP="00A31EC2">
            <w:pPr>
              <w:pStyle w:val="ListBullet"/>
            </w:pPr>
            <w:r w:rsidRPr="00A31EC2">
              <w:t>Types</w:t>
            </w:r>
          </w:p>
          <w:p w:rsidR="00000000" w:rsidRPr="00A31EC2" w:rsidP="00A31EC2">
            <w:pPr>
              <w:pStyle w:val="ListBullet"/>
            </w:pPr>
            <w:r w:rsidRPr="00A31EC2">
              <w:t>Properties</w:t>
            </w:r>
          </w:p>
          <w:p w:rsidR="00000000" w:rsidRPr="00A31EC2" w:rsidP="00A31EC2">
            <w:pPr>
              <w:pStyle w:val="ListBullet"/>
            </w:pPr>
            <w:r w:rsidRPr="00A31EC2">
              <w:t>Replacing</w:t>
            </w:r>
          </w:p>
          <w:p w:rsidR="00000000" w:rsidRPr="00A31EC2" w:rsidP="00A31EC2">
            <w:pPr>
              <w:pStyle w:val="ListBullet"/>
            </w:pPr>
            <w:r w:rsidRPr="00A31EC2">
              <w:t>Disposing</w:t>
            </w:r>
          </w:p>
          <w:p w:rsidR="00000000" w:rsidRPr="00A31EC2" w:rsidP="00A31EC2">
            <w:pPr>
              <w:pStyle w:val="BodyText"/>
            </w:pPr>
            <w:r w:rsidRPr="00A31EC2">
              <w:t>T9</w:t>
            </w:r>
            <w:r w:rsidRPr="00A31EC2">
              <w:tab/>
              <w:t>Pressure testing</w:t>
            </w:r>
            <w:r w:rsidRPr="00A31EC2">
              <w:tab/>
            </w:r>
          </w:p>
          <w:p w:rsidR="00000000" w:rsidRPr="00A31EC2" w:rsidP="00A31EC2">
            <w:pPr>
              <w:pStyle w:val="ListBullet"/>
            </w:pPr>
            <w:r w:rsidRPr="00A31EC2">
              <w:t>Requirements</w:t>
            </w:r>
          </w:p>
          <w:p w:rsidR="00000000" w:rsidRPr="00A31EC2" w:rsidP="00A31EC2">
            <w:pPr>
              <w:pStyle w:val="ListBullet"/>
            </w:pPr>
            <w:r w:rsidRPr="00A31EC2">
              <w:t>Recommended pressures</w:t>
            </w:r>
          </w:p>
          <w:p w:rsidR="00000000" w:rsidRPr="00A31EC2" w:rsidP="00A31EC2">
            <w:pPr>
              <w:pStyle w:val="BodyText"/>
            </w:pPr>
            <w:r w:rsidRPr="00A31EC2">
              <w:t>T10</w:t>
            </w:r>
            <w:r w:rsidRPr="00A31EC2">
              <w:tab/>
              <w:t>Evacuation</w:t>
            </w:r>
            <w:r w:rsidRPr="00A31EC2">
              <w:tab/>
            </w:r>
          </w:p>
          <w:p w:rsidR="00000000" w:rsidRPr="00A31EC2" w:rsidP="00A31EC2">
            <w:pPr>
              <w:pStyle w:val="ListBullet"/>
            </w:pPr>
            <w:r w:rsidRPr="00A31EC2">
              <w:t>Vacuum pumps</w:t>
            </w:r>
          </w:p>
          <w:p w:rsidR="00000000" w:rsidRPr="00A31EC2" w:rsidP="00A31EC2">
            <w:pPr>
              <w:pStyle w:val="ListBullet"/>
            </w:pPr>
            <w:r w:rsidRPr="00A31EC2">
              <w:t>Vacuum measuring devices</w:t>
            </w:r>
          </w:p>
          <w:p w:rsidR="00000000" w:rsidRPr="00A31EC2" w:rsidP="00A31EC2">
            <w:pPr>
              <w:pStyle w:val="ListBullet"/>
            </w:pPr>
            <w:r w:rsidRPr="00A31EC2">
              <w:t>Maintenance</w:t>
            </w:r>
          </w:p>
          <w:p w:rsidR="00000000" w:rsidRPr="00A31EC2" w:rsidP="00A31EC2">
            <w:pPr>
              <w:pStyle w:val="ListBullet"/>
            </w:pPr>
            <w:r w:rsidRPr="00A31EC2">
              <w:t>Recommended depth of vacuum</w:t>
            </w:r>
          </w:p>
          <w:p w:rsidR="00000000" w:rsidRPr="00A31EC2" w:rsidP="00A31EC2">
            <w:pPr>
              <w:pStyle w:val="ListBullet"/>
            </w:pPr>
            <w:r w:rsidRPr="00A31EC2">
              <w:t>Procedure</w:t>
            </w:r>
          </w:p>
          <w:p w:rsidR="00000000" w:rsidRPr="00A31EC2" w:rsidP="00A31EC2">
            <w:pPr>
              <w:pStyle w:val="BodyText"/>
            </w:pPr>
            <w:r w:rsidRPr="00A31EC2">
              <w:t>T11</w:t>
            </w:r>
            <w:r w:rsidRPr="00A31EC2">
              <w:tab/>
              <w:t>Charging</w:t>
            </w:r>
            <w:r w:rsidRPr="00A31EC2">
              <w:tab/>
            </w:r>
          </w:p>
          <w:p w:rsidR="00000000" w:rsidRPr="00A31EC2" w:rsidP="00A31EC2">
            <w:pPr>
              <w:pStyle w:val="ListBullet"/>
            </w:pPr>
            <w:r w:rsidRPr="00A31EC2">
              <w:t>Precautions</w:t>
            </w:r>
          </w:p>
          <w:p w:rsidR="00000000" w:rsidRPr="00A31EC2" w:rsidP="00A31EC2">
            <w:pPr>
              <w:pStyle w:val="ListBullet"/>
            </w:pPr>
            <w:r w:rsidRPr="00A31EC2">
              <w:t>Liquid or vapour charging</w:t>
            </w:r>
          </w:p>
          <w:p w:rsidR="00000000" w:rsidRPr="00A31EC2" w:rsidP="00A31EC2">
            <w:pPr>
              <w:pStyle w:val="ListBullet"/>
            </w:pPr>
            <w:r w:rsidRPr="00A31EC2">
              <w:t>Suitable methods</w:t>
            </w:r>
          </w:p>
          <w:p w:rsidR="00000000" w:rsidRPr="00A31EC2" w:rsidP="00A31EC2">
            <w:pPr>
              <w:pStyle w:val="ListBullet"/>
            </w:pPr>
            <w:r w:rsidRPr="00A31EC2">
              <w:t>Disposing of contaminated refrigerant and oil</w:t>
            </w:r>
          </w:p>
          <w:p w:rsidR="00000000" w:rsidRPr="00A31EC2" w:rsidP="00A31EC2">
            <w:pPr>
              <w:pStyle w:val="BodyText"/>
            </w:pPr>
            <w:r w:rsidRPr="00A31EC2">
              <w:t>T12</w:t>
            </w:r>
            <w:r w:rsidRPr="00A31EC2">
              <w:tab/>
              <w:t>Leak detection</w:t>
            </w:r>
            <w:r w:rsidRPr="00A31EC2">
              <w:tab/>
            </w:r>
          </w:p>
          <w:p w:rsidR="00000000" w:rsidRPr="00A31EC2" w:rsidP="00A31EC2">
            <w:pPr>
              <w:pStyle w:val="ListBullet"/>
            </w:pPr>
            <w:r w:rsidRPr="00A31EC2">
              <w:t>Methods</w:t>
            </w:r>
          </w:p>
          <w:p w:rsidR="00000000" w:rsidRPr="00A31EC2" w:rsidP="00A31EC2">
            <w:pPr>
              <w:pStyle w:val="ListBullet"/>
            </w:pPr>
            <w:r w:rsidRPr="00A31EC2">
              <w:t>Procedure</w:t>
            </w:r>
          </w:p>
          <w:p w:rsidR="00000000" w:rsidRPr="00A31EC2" w:rsidP="00A31EC2">
            <w:pPr>
              <w:pStyle w:val="ListBullet"/>
            </w:pPr>
            <w:r w:rsidRPr="00A31EC2">
              <w:t>Maintenance</w:t>
            </w:r>
          </w:p>
        </w:tc>
      </w:tr>
    </w:tbl>
    <w:p w:rsidR="00D22BA4" w:rsidP="00A31EC2">
      <w:pPr>
        <w:pStyle w:val="BodyText"/>
      </w:pPr>
    </w:p>
    <w:p w:rsidR="00D22BA4" w:rsidP="00A31EC2">
      <w:pPr>
        <w:pStyle w:val="BodyText"/>
      </w:pPr>
    </w:p>
    <w:p w:rsidR="00000000" w:rsidRPr="00A31EC2" w:rsidP="00A31EC2">
      <w:pPr>
        <w:pStyle w:val="Heading1"/>
      </w:pPr>
      <w:bookmarkStart w:id="10" w:name="O_709925"/>
      <w:bookmarkEnd w:id="10"/>
      <w:r w:rsidRPr="00A31EC2">
        <w:t>Evidence Guide</w:t>
      </w:r>
    </w:p>
    <w:tbl>
      <w:tblPr>
        <w:tblW w:w="0" w:type="auto"/>
        <w:tblLayout w:type="fixed"/>
        <w:tblCellMar>
          <w:left w:w="62" w:type="dxa"/>
          <w:right w:w="62" w:type="dxa"/>
        </w:tblCellMar>
        <w:tblLook w:val="0000"/>
      </w:tblPr>
      <w:tblGrid>
        <w:gridCol w:w="2160"/>
        <w:gridCol w:w="6300"/>
      </w:tblGrid>
      <w:tr w:rsidTr="00D22BA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EVIDENCE GUIDE</w:t>
            </w:r>
          </w:p>
        </w:tc>
      </w:tr>
      <w:tr w:rsidTr="00D22B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9</w:t>
            </w:r>
            <w:r w:rsidRPr="00A31EC2">
              <w:t>) The evidence guide provides advice on assessment and must be read in conjunction with the Performance Criteria, Required Skills and Knowledge, the Range Statement and the Assessment Guidelines for this Training Package.</w:t>
            </w:r>
          </w:p>
          <w:p w:rsidR="00000000" w:rsidP="00A31EC2">
            <w:pPr>
              <w:pStyle w:val="BodyText"/>
              <w:rPr>
                <w:lang w:val="en-NZ"/>
              </w:rPr>
            </w:pPr>
            <w:r w:rsidRPr="00A31EC2">
              <w:t>The Evidence Guide forms an integr</w:t>
            </w:r>
            <w:r w:rsidRPr="00A31EC2">
              <w:t>al part of this unit. It must be used in conjunction with all parts of this unit and performed in accordance with the Assessment Guidelines of this Training Package.</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9</w:t>
            </w:r>
            <w:r w:rsidRPr="00A31EC2">
              <w:t>.</w:t>
            </w:r>
            <w:r w:rsidRPr="00A31EC2">
              <w:rPr>
                <w:rStyle w:val="SpecialBold"/>
              </w:rPr>
              <w:t>1</w:t>
            </w:r>
            <w:r w:rsidRPr="00A31EC2">
              <w:t xml:space="preserve">) </w:t>
            </w:r>
          </w:p>
          <w:p w:rsidR="00000000" w:rsidRPr="00A31EC2" w:rsidP="00A31EC2">
            <w:pPr>
              <w:pStyle w:val="BodyText"/>
            </w:pPr>
            <w:r w:rsidRPr="00A31EC2">
              <w:t>Longitudinal competency development approaches to assessmen</w:t>
            </w:r>
            <w:r w:rsidRPr="00A31EC2">
              <w:t>t, such as Profiling, require data to be reliably gathered in a form that can be consistently interpreted over time. This approach is best utilised in Apprenticeship programs and reduces assessment intervention. It is the industry-preferred model for appre</w:t>
            </w:r>
            <w:r w:rsidRPr="00A31EC2">
              <w:t xml:space="preserve">nticeships. However, where summative (or final) assessment is used it is to include the application of the competency in the normal work environment or, at a minimum, the application of the competency in a realistically simulated work environment. In some </w:t>
            </w:r>
            <w:r w:rsidRPr="00A31EC2">
              <w:t>circumstances, assessment in part or full can occur outside the workplace. However, it must be in accordance with industry and regulatory policy.</w:t>
            </w:r>
          </w:p>
          <w:p w:rsidR="00000000" w:rsidRPr="00A31EC2" w:rsidP="00A31EC2">
            <w:pPr>
              <w:pStyle w:val="BodyText"/>
            </w:pPr>
            <w:r w:rsidRPr="00A31EC2">
              <w:t xml:space="preserve">Methods chosen for a particular assessment will be influenced by various factors. These include the extent of </w:t>
            </w:r>
            <w:r w:rsidRPr="00A31EC2">
              <w:t>the assessment, the most effective locations for the assessment activities to take place, access to physical resources, additional safety measures that may be required and the critical nature of the competencies being assessed.</w:t>
            </w:r>
          </w:p>
          <w:p w:rsidR="00000000" w:rsidRPr="00A31EC2" w:rsidP="00A31EC2">
            <w:pPr>
              <w:pStyle w:val="BodyText"/>
            </w:pPr>
            <w:r w:rsidRPr="00A31EC2">
              <w:t>The critical safety nature o</w:t>
            </w:r>
            <w:r w:rsidRPr="00A31EC2">
              <w:t>f working with electricity, electrical equipment, gas or any other hazardous substance/material carries risk in deeming a person competent. Sources of evidence need to be 'rich' in nature to minimise error in judgment.</w:t>
            </w:r>
          </w:p>
          <w:p w:rsidR="00000000" w:rsidRPr="00A31EC2" w:rsidP="00A31EC2">
            <w:pPr>
              <w:pStyle w:val="BodyText"/>
            </w:pPr>
            <w:r w:rsidRPr="00A31EC2">
              <w:t>Activities associated with normal eve</w:t>
            </w:r>
            <w:r w:rsidRPr="00A31EC2">
              <w:t>ryday work influence decisions about how/how much the data gathered will contribute to its 'richness'. Some skills are more critical to safety and operational requirements while the same skills may be more or less frequently practised. These points are rai</w:t>
            </w:r>
            <w:r w:rsidRPr="00A31EC2">
              <w:t>sed for the assessors to consider when choosing an assessment method and developing assessment instruments. Sample assessment instruments are included for Assessors in the Assessment Guidelines of this Training Package.</w:t>
            </w:r>
          </w:p>
        </w:tc>
      </w:tr>
    </w:tbl>
    <w:p w:rsidR="00000000" w:rsidRPr="00A31EC2" w:rsidP="00A31EC2">
      <w:pPr>
        <w:pStyle w:val="BodyText"/>
      </w:pPr>
    </w:p>
    <w:tbl>
      <w:tblPr>
        <w:tblW w:w="0" w:type="auto"/>
        <w:tblLayout w:type="fixed"/>
        <w:tblCellMar>
          <w:left w:w="62" w:type="dxa"/>
          <w:right w:w="62" w:type="dxa"/>
        </w:tblCellMar>
        <w:tblLook w:val="0000"/>
      </w:tblPr>
      <w:tblGrid>
        <w:gridCol w:w="2160"/>
        <w:gridCol w:w="720"/>
        <w:gridCol w:w="540"/>
        <w:gridCol w:w="5040"/>
      </w:tblGrid>
      <w:tr w:rsidTr="00D22BA4">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 xml:space="preserve">Critical aspects of evidence required to demonstrate competency </w:t>
            </w:r>
            <w:r w:rsidRPr="00A31EC2">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9</w:t>
            </w:r>
            <w:r w:rsidRPr="00A31EC2">
              <w:t>.</w:t>
            </w:r>
            <w:r w:rsidRPr="00A31EC2">
              <w:rPr>
                <w:rStyle w:val="SpecialBold"/>
              </w:rPr>
              <w:t>2</w:t>
            </w:r>
            <w:r w:rsidRPr="00A31EC2">
              <w:t xml:space="preserve">) </w:t>
            </w:r>
          </w:p>
          <w:p w:rsidR="00000000" w:rsidP="00A31EC2">
            <w:pPr>
              <w:pStyle w:val="BodyText"/>
              <w:rPr>
                <w:lang w:val="en-NZ"/>
              </w:rPr>
            </w:pPr>
            <w:r w:rsidRPr="00A31EC2">
              <w:t>Before the critical aspects of evidence are considered all prerequisites shall be met.</w:t>
            </w:r>
          </w:p>
        </w:tc>
      </w:tr>
      <w:tr w:rsidTr="00D22B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Evidence for competence in this unit shall be considered holistically.  Each eleme</w:t>
            </w:r>
            <w:r w:rsidRPr="00A31EC2">
              <w:t>nt and associated performance criteria shall be demonstrated on at least two occasions in accordance with the 'Assessment Guidelines - UEE07'.  Evidence shall also comprise:</w:t>
            </w:r>
          </w:p>
          <w:p w:rsidR="00000000" w:rsidP="00A31EC2">
            <w:pPr>
              <w:pStyle w:val="ListBullet"/>
              <w:rPr>
                <w:lang w:val="en-NZ"/>
              </w:rPr>
            </w:pPr>
            <w:r w:rsidRPr="00A31EC2">
              <w:t>A representative body of work performance demonstrated within the timeframes typi</w:t>
            </w:r>
            <w:r w:rsidRPr="00A31EC2">
              <w:t>cally expected of the discipline, work function and industrial environment. In particular this shall incorporate evidence that shows a candidate is able to:</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EC2" w:rsidP="00A31EC2">
            <w:pPr>
              <w:pStyle w:val="ListBullet2"/>
            </w:pPr>
            <w:r w:rsidRPr="00A31EC2">
              <w:t xml:space="preserve">Implement Occupational Health and Safety workplace procedures and practices including </w:t>
            </w:r>
            <w:r w:rsidRPr="00A31EC2">
              <w:t>the use of risk control measures as specified in the performance criteria and range statement</w:t>
            </w:r>
          </w:p>
          <w:p w:rsidR="00000000" w:rsidRPr="00A31EC2" w:rsidP="00A31EC2">
            <w:pPr>
              <w:pStyle w:val="ListBullet2"/>
            </w:pPr>
            <w:r w:rsidRPr="00A31EC2">
              <w:t>Apply sustainable energy principles and practices as specified in the performance criteria and range statement</w:t>
            </w:r>
          </w:p>
          <w:p w:rsidR="00000000" w:rsidRPr="00A31EC2" w:rsidP="00A31EC2">
            <w:pPr>
              <w:pStyle w:val="ListBullet2"/>
            </w:pPr>
            <w:r w:rsidRPr="00A31EC2">
              <w:t>Demonstrate an understanding of the essential knowledge and associated skills as described in this unit to such an extent that the learner's performance outcome is reported in accordance with the preferred approach; namely a percentile graded result, where</w:t>
            </w:r>
            <w:r w:rsidRPr="00A31EC2">
              <w:t xml:space="preserve"> required by the regulated environment</w:t>
            </w:r>
          </w:p>
          <w:p w:rsidR="00000000" w:rsidRPr="00A31EC2" w:rsidP="00A31EC2">
            <w:pPr>
              <w:pStyle w:val="ListBullet2"/>
            </w:pPr>
            <w:r w:rsidRPr="00A31EC2">
              <w:t>Demonstrate an appropriate level of skills enabling employment</w:t>
            </w:r>
          </w:p>
          <w:p w:rsidR="00000000" w:rsidP="00A31EC2">
            <w:pPr>
              <w:pStyle w:val="ListBullet2"/>
              <w:rPr>
                <w:lang w:val="en-NZ"/>
              </w:rPr>
            </w:pPr>
            <w:r w:rsidRPr="00A31EC2">
              <w:t>Conduct work observing the relevant Anti Discrimination legislation, regulations, polices and workplace procedures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EC2">
            <w:pPr>
              <w:pStyle w:val="ListBullet"/>
              <w:rPr>
                <w:lang w:val="en-NZ"/>
              </w:rPr>
            </w:pPr>
            <w:r w:rsidRPr="00A31EC2">
              <w:t>Demonstrated consistent performanc</w:t>
            </w:r>
            <w:r w:rsidRPr="00A31EC2">
              <w:t>e across a representative range of contexts from the prescribed items below:</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EC2">
            <w:pPr>
              <w:pStyle w:val="ListBullet2"/>
              <w:rPr>
                <w:lang w:val="en-NZ"/>
              </w:rPr>
            </w:pPr>
            <w:r w:rsidRPr="00A31EC2">
              <w:t>Pressure testing, charging/discharging refrigerant/lubricants and determining the operating conditions of self contained Hydrocarbon vapour compression systems.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A</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Selecting appropriate materials and equipment</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B</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Obtaining and recording measurements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C</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Removing and storing refrigerant correctly</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D</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Conducting pressure testing at the appropriate pressure level and without damaging components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Locating and rectifying leaks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F</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Evacuating the system to the required standard and using appropriate vacuum measuring instruments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G</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Charging the system with the appropriate type and quantity of hydrocarbon refrigerant</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H</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Completing the necessary documentation</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I</w:t>
            </w:r>
          </w:p>
        </w:tc>
        <w:tc>
          <w:tcPr>
            <w:tcW w:w="504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Dealing with unplanned events by drawing on essential knowledge and skills to provide appropriate solutions incorporated in the holistic assessment with the above listed items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Context of and specific resources f</w:t>
            </w:r>
            <w:r w:rsidRPr="00A31EC2">
              <w:rPr>
                <w:rStyle w:val="SpecialBold"/>
              </w:rPr>
              <w:t>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9</w:t>
            </w:r>
            <w:r w:rsidRPr="00A31EC2">
              <w:t>.</w:t>
            </w:r>
            <w:r w:rsidRPr="00A31EC2">
              <w:rPr>
                <w:rStyle w:val="SpecialBold"/>
              </w:rPr>
              <w:t>3</w:t>
            </w:r>
            <w:r w:rsidRPr="00A31EC2">
              <w:t xml:space="preserve">) </w:t>
            </w:r>
          </w:p>
          <w:p w:rsidR="00000000" w:rsidRPr="00A31EC2" w:rsidP="00A31EC2">
            <w:pPr>
              <w:pStyle w:val="BodyText"/>
            </w:pPr>
            <w:r w:rsidRPr="00A31EC2">
              <w:t>This unit should be assessed as it relates to normal work practice using procedures, information and resources typical of a workplace. This should include:</w:t>
            </w:r>
          </w:p>
          <w:p w:rsidR="00000000" w:rsidRPr="00A31EC2" w:rsidP="00A31EC2">
            <w:pPr>
              <w:pStyle w:val="ListBullet"/>
            </w:pPr>
            <w:r w:rsidRPr="00A31EC2">
              <w:t>OHS policy and work procedures and instructions.</w:t>
            </w:r>
          </w:p>
          <w:p w:rsidR="00000000" w:rsidRPr="00A31EC2" w:rsidP="00A31EC2">
            <w:pPr>
              <w:pStyle w:val="ListBullet"/>
            </w:pPr>
            <w:r w:rsidRPr="00A31EC2">
              <w:t>Suitable work environment, facilities, equipment and materials to undertake actual work as prescribed by this unit.</w:t>
            </w:r>
          </w:p>
          <w:p w:rsidR="00000000" w:rsidRPr="00A31EC2" w:rsidP="00A31EC2">
            <w:pPr>
              <w:pStyle w:val="BodyText"/>
            </w:pPr>
            <w:r w:rsidRPr="00A31EC2">
              <w:t>These should be part of the formal learning/assessment environment.</w:t>
            </w:r>
          </w:p>
          <w:p w:rsidR="00000000" w:rsidRPr="00A31EC2" w:rsidP="00A31EC2">
            <w:pPr>
              <w:pStyle w:val="BodyText"/>
            </w:pPr>
            <w:r w:rsidRPr="00A31EC2">
              <w:t>Note:</w:t>
            </w:r>
          </w:p>
          <w:p w:rsidR="00000000" w:rsidP="00A31EC2">
            <w:pPr>
              <w:pStyle w:val="BodyText"/>
              <w:rPr>
                <w:lang w:val="en-NZ"/>
              </w:rPr>
            </w:pPr>
            <w:r w:rsidRPr="00A31EC2">
              <w:t>Where simulation is considered a suitable strategy for assessment,</w:t>
            </w:r>
            <w:r w:rsidRPr="00A31EC2">
              <w:t xml:space="preserve"> conditions must be authentic and as far as possible reproduce and replicate the workplace and be consistent with the approved industry simulation policy.</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Evidence should show demonstrated competency in servicing and repairing as well as determining th</w:t>
            </w:r>
            <w:r w:rsidRPr="00A31EC2">
              <w:t>e operating conditions of Hydrocarbon systems.</w:t>
            </w:r>
          </w:p>
        </w:tc>
      </w:tr>
      <w:tr w:rsidTr="00D22B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9</w:t>
            </w:r>
            <w:r w:rsidRPr="00A31EC2">
              <w:t>.</w:t>
            </w:r>
            <w:r w:rsidRPr="00A31EC2">
              <w:rPr>
                <w:rStyle w:val="SpecialBold"/>
              </w:rPr>
              <w:t>4</w:t>
            </w:r>
            <w:r w:rsidRPr="00A31EC2">
              <w:t xml:space="preserve">) </w:t>
            </w:r>
          </w:p>
          <w:p w:rsidR="00000000" w:rsidRPr="00A31EC2" w:rsidP="00A31EC2">
            <w:pPr>
              <w:pStyle w:val="BodyText"/>
            </w:pPr>
            <w:r w:rsidRPr="00A31EC2">
              <w:t>This unit shall be assessed by methods given in Volume 1, Part 3 'Assessment Guidelines'.</w:t>
            </w:r>
          </w:p>
          <w:p w:rsidR="00000000" w:rsidP="00A31EC2">
            <w:pPr>
              <w:pStyle w:val="BodyText"/>
              <w:rPr>
                <w:lang w:val="en-NZ"/>
              </w:rPr>
            </w:pPr>
            <w:r w:rsidRPr="00A31EC2">
              <w:t xml:space="preserve">Note: </w:t>
            </w:r>
            <w:r w:rsidRPr="00A31EC2">
              <w:br/>
              <w:t>Competent perfor</w:t>
            </w:r>
            <w:r w:rsidRPr="00A31EC2">
              <w:t>mance with inherent safe working practices is expected in the Industry to which this unit applies. This requires assessment in a structured environment which is intended primarily for learning/assessment and incorporates all necessary equipment and facilit</w:t>
            </w:r>
            <w:r w:rsidRPr="00A31EC2">
              <w:t>ies for learners to develop and demonstrate the essential knowledge and skills described in this unit.</w:t>
            </w:r>
          </w:p>
        </w:tc>
      </w:tr>
      <w:tr w:rsidTr="00D22B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9</w:t>
            </w:r>
            <w:r w:rsidRPr="00A31EC2">
              <w:t>.</w:t>
            </w:r>
            <w:r w:rsidRPr="00A31EC2">
              <w:rPr>
                <w:rStyle w:val="SpecialBold"/>
              </w:rPr>
              <w:t>5</w:t>
            </w:r>
            <w:r w:rsidRPr="00A31EC2">
              <w:t>)</w:t>
            </w:r>
          </w:p>
        </w:tc>
      </w:tr>
      <w:tr w:rsidTr="00D22B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There are no concurrent assessment recommendations for this unit.</w:t>
            </w:r>
          </w:p>
        </w:tc>
      </w:tr>
      <w:tr w:rsidTr="00D22B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The critical aspects of occupational health and safety covered in unit UEENEEE001B and other discipline specific occupational health and safety units shall be incorporated in relation to this unit..</w:t>
            </w:r>
          </w:p>
        </w:tc>
      </w:tr>
    </w:tbl>
    <w:p w:rsidR="00D22BA4" w:rsidP="00A31EC2">
      <w:pPr>
        <w:pStyle w:val="BodyText"/>
      </w:pPr>
    </w:p>
    <w:p w:rsidR="00D22BA4" w:rsidP="00A31EC2">
      <w:pPr>
        <w:pStyle w:val="BodyText"/>
      </w:pPr>
    </w:p>
    <w:p w:rsidR="00000000" w:rsidRPr="00A31EC2" w:rsidP="00A31EC2">
      <w:pPr>
        <w:pStyle w:val="Heading1"/>
      </w:pPr>
      <w:bookmarkStart w:id="11" w:name="O_709924"/>
      <w:bookmarkEnd w:id="11"/>
      <w:r w:rsidRPr="00A31EC2">
        <w:t>Range Statement</w:t>
      </w:r>
    </w:p>
    <w:tbl>
      <w:tblPr>
        <w:tblW w:w="0" w:type="auto"/>
        <w:tblLayout w:type="fixed"/>
        <w:tblCellMar>
          <w:left w:w="62" w:type="dxa"/>
          <w:right w:w="62" w:type="dxa"/>
        </w:tblCellMar>
        <w:tblLook w:val="0000"/>
      </w:tblPr>
      <w:tblGrid>
        <w:gridCol w:w="8649"/>
      </w:tblGrid>
      <w:tr w:rsidTr="00D22BA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RANGE STATEMENT</w:t>
            </w:r>
          </w:p>
        </w:tc>
      </w:tr>
      <w:tr w:rsidTr="00D22BA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8</w:t>
            </w:r>
            <w:r w:rsidRPr="00A31EC2">
              <w:t>) This relates to the unit as a whole providing the range of contexts and conditions to which the performance criteria apply. It allows for different work environments and situations that will affect performance.</w:t>
            </w:r>
          </w:p>
        </w:tc>
      </w:tr>
      <w:tr w:rsidTr="00D22BA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 xml:space="preserve">This unit must be demonstrated in relation to determining operating conditions, using measurement and basic calculation methods, of primarily self contained Hydrocarbon refrigeration and air conditioning systems. </w:t>
            </w:r>
          </w:p>
          <w:p w:rsidR="00000000" w:rsidRPr="00A31EC2" w:rsidP="00A31EC2">
            <w:pPr>
              <w:pStyle w:val="BodyText"/>
            </w:pPr>
            <w:r w:rsidRPr="00A31EC2">
              <w:t>These systems are confined to those used i</w:t>
            </w:r>
            <w:r w:rsidRPr="00A31EC2">
              <w:t>n the following two Categories of Occupancy described in the Standard EN378-1 Refrigerating systems and heat pumps - Safety and environmental requirements - Part 1: Basic requirements, definitions, classification and selection criteria:</w:t>
            </w:r>
          </w:p>
          <w:p w:rsidR="00000000" w:rsidRPr="00A31EC2" w:rsidP="00A31EC2">
            <w:pPr>
              <w:pStyle w:val="BodyText"/>
            </w:pPr>
            <w:r w:rsidRPr="00A31EC2">
              <w:t>A General Occupancy</w:t>
            </w:r>
          </w:p>
          <w:p w:rsidR="00000000" w:rsidRPr="00A31EC2" w:rsidP="00A31EC2">
            <w:pPr>
              <w:pStyle w:val="BodyText"/>
            </w:pPr>
            <w:r w:rsidRPr="00A31EC2">
              <w:t>B Supervised Occupancy</w:t>
            </w:r>
          </w:p>
          <w:p w:rsidR="00000000" w:rsidRPr="00A31EC2" w:rsidP="00A31EC2">
            <w:pPr>
              <w:pStyle w:val="BodyText"/>
            </w:pPr>
            <w:r w:rsidRPr="00A31EC2">
              <w:t>These systems include domestic refrigerators and freezers; self contained refrigerated cabinets; self contained air conditioning units; single head split air conditioning units; and self contained heat pump water heaters.</w:t>
            </w:r>
          </w:p>
          <w:p w:rsidR="00000000" w:rsidRPr="00A31EC2" w:rsidP="00A31EC2">
            <w:pPr>
              <w:pStyle w:val="BodyText"/>
            </w:pPr>
            <w:r w:rsidRPr="00A31EC2">
              <w:t>It does NO</w:t>
            </w:r>
            <w:r w:rsidRPr="00A31EC2">
              <w:t>T include systems described in category C Authorised Occupancy. This includes refrigeration and air conditioning equipment installed in plant rooms.</w:t>
            </w:r>
          </w:p>
          <w:p w:rsidR="00000000" w:rsidP="00A31EC2">
            <w:pPr>
              <w:pStyle w:val="BodyText"/>
              <w:rPr>
                <w:lang w:val="en-NZ"/>
              </w:rPr>
            </w:pPr>
            <w:r w:rsidRPr="00A31EC2">
              <w:t xml:space="preserve">These conditions include suction and discharge pressures, ambient, evaporator and condensing temperatures, </w:t>
            </w:r>
            <w:r w:rsidRPr="00A31EC2">
              <w:t>evaporator, and condenser temperature difference. Further, this unit must be demonstrated in relation to refrigerant recovery, component replacement, pressure testing, evacuation, charging and leak testing a hydrocarbon system in a safe and environmentally</w:t>
            </w:r>
            <w:r w:rsidRPr="00A31EC2">
              <w:t xml:space="preserve"> responsible manner.</w:t>
            </w:r>
          </w:p>
        </w:tc>
      </w:tr>
      <w:tr w:rsidTr="00D22BA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Generic terms used throughout this Vocational Standard shall be regarded as part of the Range Statement in which competency is demonstrated. The definition of these and other terms that apply are given in Volume 2, Part 2.1.</w:t>
            </w:r>
          </w:p>
        </w:tc>
      </w:tr>
    </w:tbl>
    <w:p w:rsidR="00D22BA4" w:rsidP="00A31EC2">
      <w:pPr>
        <w:pStyle w:val="BodyText"/>
      </w:pPr>
    </w:p>
    <w:p w:rsidR="00D22BA4" w:rsidP="00A31EC2">
      <w:pPr>
        <w:pStyle w:val="BodyText"/>
      </w:pPr>
    </w:p>
    <w:p w:rsidR="00000000" w:rsidRPr="00A31EC2" w:rsidP="00A31EC2">
      <w:pPr>
        <w:pStyle w:val="Heading1"/>
      </w:pPr>
      <w:bookmarkStart w:id="12" w:name="O_709923"/>
      <w:bookmarkEnd w:id="12"/>
      <w:r w:rsidRPr="00A31EC2">
        <w:t>Unit Sector(s)</w:t>
      </w:r>
    </w:p>
    <w:p w:rsidR="00000000" w:rsidRPr="00A31EC2" w:rsidP="00A31EC2">
      <w:pPr>
        <w:pStyle w:val="BodyText"/>
      </w:pPr>
      <w:r w:rsidRPr="00A31EC2">
        <w:t>Not Applicable</w:t>
      </w:r>
    </w:p>
    <w:p w:rsidR="00000000" w:rsidRPr="00A31EC2" w:rsidP="00A31EC2">
      <w:pPr>
        <w:pStyle w:val="AllowPageBreak"/>
      </w:pPr>
    </w:p>
    <w:p w:rsidR="00000000" w:rsidRPr="00A31EC2" w:rsidP="00A31EC2">
      <w:pPr>
        <w:pStyle w:val="Heading1"/>
      </w:pPr>
      <w:bookmarkStart w:id="13" w:name="O_709922"/>
      <w:bookmarkEnd w:id="13"/>
      <w:r w:rsidRPr="00A31EC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22BA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2</w:t>
            </w:r>
            <w:r w:rsidRPr="00A31EC2">
              <w:t>.</w:t>
            </w:r>
            <w:r w:rsidRPr="00A31EC2">
              <w:rPr>
                <w:rStyle w:val="SpecialBold"/>
              </w:rPr>
              <w:t>2</w:t>
            </w:r>
            <w:r w:rsidRPr="00A31EC2">
              <w:t xml:space="preserve">) </w:t>
            </w:r>
            <w:r w:rsidRPr="00A31EC2">
              <w:rPr>
                <w:rStyle w:val="SpecialBold"/>
              </w:rPr>
              <w:t>Literacy and numeracy skills</w:t>
            </w:r>
          </w:p>
          <w:p w:rsidR="00000000" w:rsidP="00A31EC2">
            <w:pPr>
              <w:pStyle w:val="BodyText"/>
              <w:rPr>
                <w:lang w:val="en-NZ"/>
              </w:rPr>
            </w:pPr>
            <w:r w:rsidRPr="00A31EC2">
              <w:t>Participants are best equipped to achieve competency in this unit if they have reading, writing and numeracy skills indicated by the following sca</w:t>
            </w:r>
            <w:r w:rsidRPr="00A31EC2">
              <w:t>les. Description of each scale is given in Volume 2, Part 3 'Literacy and Numeracy'</w:t>
            </w:r>
          </w:p>
        </w:tc>
      </w:tr>
      <w:tr w:rsidTr="00D22BA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Reading</w:t>
            </w:r>
          </w:p>
        </w:tc>
        <w:tc>
          <w:tcPr>
            <w:tcW w:w="1182"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w:t>
            </w:r>
          </w:p>
        </w:tc>
        <w:tc>
          <w:tcPr>
            <w:tcW w:w="1739"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Writing</w:t>
            </w:r>
          </w:p>
        </w:tc>
        <w:tc>
          <w:tcPr>
            <w:tcW w:w="1182"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3</w:t>
            </w:r>
          </w:p>
        </w:tc>
        <w:tc>
          <w:tcPr>
            <w:tcW w:w="1721"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t>Numeracy</w:t>
            </w:r>
          </w:p>
        </w:tc>
        <w:tc>
          <w:tcPr>
            <w:tcW w:w="1182"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3</w:t>
            </w:r>
          </w:p>
        </w:tc>
      </w:tr>
    </w:tbl>
    <w:p w:rsidR="00D22BA4" w:rsidP="00A31EC2">
      <w:pPr>
        <w:pStyle w:val="BodyText"/>
      </w:pPr>
    </w:p>
    <w:p w:rsidR="00D22BA4" w:rsidP="00A31EC2">
      <w:pPr>
        <w:pStyle w:val="BodyText"/>
      </w:pPr>
    </w:p>
    <w:p w:rsidR="00000000" w:rsidRPr="00A31EC2" w:rsidP="00A31EC2">
      <w:pPr>
        <w:pStyle w:val="Heading1"/>
      </w:pPr>
      <w:bookmarkStart w:id="14" w:name="O_709921"/>
      <w:bookmarkEnd w:id="14"/>
      <w:r w:rsidRPr="00A31EC2">
        <w:t>Custom Content Section</w:t>
      </w:r>
    </w:p>
    <w:tbl>
      <w:tblPr>
        <w:tblW w:w="0" w:type="auto"/>
        <w:tblLayout w:type="fixed"/>
        <w:tblCellMar>
          <w:left w:w="62" w:type="dxa"/>
          <w:right w:w="62" w:type="dxa"/>
        </w:tblCellMar>
        <w:tblLook w:val="0000"/>
      </w:tblPr>
      <w:tblGrid>
        <w:gridCol w:w="2700"/>
        <w:gridCol w:w="5760"/>
      </w:tblGrid>
      <w:tr w:rsidTr="00D22B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1EC2">
            <w:pPr>
              <w:pStyle w:val="BodyText"/>
              <w:rPr>
                <w:lang w:val="en-NZ"/>
              </w:rPr>
            </w:pPr>
            <w:r w:rsidRPr="00A31EC2">
              <w:rPr>
                <w:rStyle w:val="SpecialBold"/>
              </w:rPr>
              <w:t>5</w:t>
            </w:r>
            <w:r w:rsidRPr="00A31EC2">
              <w:t>)</w:t>
            </w:r>
          </w:p>
        </w:tc>
      </w:tr>
      <w:tr w:rsidTr="00D22B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EC2" w:rsidP="00A31EC2">
            <w:pPr>
              <w:pStyle w:val="BodyText"/>
            </w:pPr>
            <w:r w:rsidRPr="00A31EC2">
              <w:t>Refrigeration and Air Conditioning</w:t>
            </w:r>
          </w:p>
        </w:tc>
      </w:tr>
    </w:tbl>
    <w:p w:rsidR="00D22BA4" w:rsidP="00A31EC2">
      <w:pPr>
        <w:pStyle w:val="BodyText"/>
      </w:pPr>
    </w:p>
    <w:p w:rsidR="00D22BA4" w:rsidP="00A31EC2">
      <w:pPr>
        <w:pStyle w:val="BodyText"/>
      </w:pPr>
    </w:p>
    <w:p w:rsidR="00000000" w:rsidRPr="00A31EC2" w:rsidP="00A31EC2"/>
    <w:sectPr w:rsidSect="00A31E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C2" w:rsidRPr="00D22BA4" w:rsidP="00D22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BA4" w:rsidP="00A31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D22BA4" w:rsidP="00A31EC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22BA4" w:rsidP="00A31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C2" w:rsidRPr="00D22BA4" w:rsidP="00D22B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BA4" w:rsidRPr="002D2AF8" w:rsidP="00A31EC2">
    <w:pPr>
      <w:pStyle w:val="Header"/>
      <w:framePr w:wrap="around"/>
    </w:pPr>
    <w:r>
      <w:fldChar w:fldCharType="begin"/>
    </w:r>
    <w:r>
      <w:instrText xml:space="preserve"> TITLE   \* MERGEFORMAT </w:instrText>
    </w:r>
    <w:r>
      <w:fldChar w:fldCharType="separate"/>
    </w:r>
    <w:r>
      <w:t>UEENEEJ175A Service and repair self contained hydrocarbon air conditioning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22BA4" w:rsidP="00A31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68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8C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AF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EC2"/>
    <w:pPr>
      <w:spacing w:before="360" w:after="60"/>
      <w:outlineLvl w:val="0"/>
    </w:pPr>
    <w:rPr>
      <w:sz w:val="32"/>
    </w:rPr>
  </w:style>
  <w:style w:type="paragraph" w:styleId="Heading2">
    <w:name w:val="heading 2"/>
    <w:basedOn w:val="HeadingBase"/>
    <w:next w:val="BodyText"/>
    <w:link w:val="Heading2Char"/>
    <w:qFormat/>
    <w:rsid w:val="00A31EC2"/>
    <w:pPr>
      <w:keepLines/>
      <w:spacing w:before="240" w:after="120"/>
      <w:outlineLvl w:val="1"/>
    </w:pPr>
    <w:rPr>
      <w:sz w:val="28"/>
      <w:szCs w:val="40"/>
    </w:rPr>
  </w:style>
  <w:style w:type="paragraph" w:styleId="Heading3">
    <w:name w:val="heading 3"/>
    <w:basedOn w:val="HeadingBase"/>
    <w:next w:val="BodyText"/>
    <w:link w:val="Heading3Char"/>
    <w:qFormat/>
    <w:rsid w:val="00A31EC2"/>
    <w:pPr>
      <w:spacing w:before="180" w:after="120"/>
      <w:outlineLvl w:val="2"/>
    </w:pPr>
    <w:rPr>
      <w:spacing w:val="-10"/>
      <w:kern w:val="32"/>
    </w:rPr>
  </w:style>
  <w:style w:type="paragraph" w:styleId="Heading4">
    <w:name w:val="heading 4"/>
    <w:basedOn w:val="HeadingBase"/>
    <w:next w:val="BodyText"/>
    <w:link w:val="Heading4Char"/>
    <w:qFormat/>
    <w:rsid w:val="00A31EC2"/>
    <w:pPr>
      <w:spacing w:before="160" w:after="120"/>
      <w:outlineLvl w:val="3"/>
    </w:pPr>
    <w:rPr>
      <w:sz w:val="22"/>
    </w:rPr>
  </w:style>
  <w:style w:type="paragraph" w:styleId="Heading5">
    <w:name w:val="heading 5"/>
    <w:basedOn w:val="HeadingBase"/>
    <w:next w:val="Normal"/>
    <w:link w:val="Heading5Char"/>
    <w:qFormat/>
    <w:rsid w:val="00A31EC2"/>
    <w:pPr>
      <w:spacing w:before="80"/>
      <w:outlineLvl w:val="4"/>
    </w:pPr>
    <w:rPr>
      <w:color w:val="918585"/>
      <w:sz w:val="20"/>
    </w:rPr>
  </w:style>
  <w:style w:type="paragraph" w:styleId="Heading6">
    <w:name w:val="heading 6"/>
    <w:basedOn w:val="HeadingBase"/>
    <w:next w:val="Normal"/>
    <w:link w:val="Heading6Char"/>
    <w:qFormat/>
    <w:rsid w:val="00A31EC2"/>
    <w:pPr>
      <w:spacing w:before="60"/>
      <w:outlineLvl w:val="5"/>
    </w:pPr>
    <w:rPr>
      <w:color w:val="918585"/>
      <w:sz w:val="20"/>
    </w:rPr>
  </w:style>
  <w:style w:type="paragraph" w:styleId="Heading7">
    <w:name w:val="heading 7"/>
    <w:basedOn w:val="Normal"/>
    <w:next w:val="Normal"/>
    <w:link w:val="Heading7Char"/>
    <w:qFormat/>
    <w:rsid w:val="00A31EC2"/>
    <w:pPr>
      <w:ind w:left="720"/>
      <w:outlineLvl w:val="6"/>
    </w:pPr>
    <w:rPr>
      <w:i/>
    </w:rPr>
  </w:style>
  <w:style w:type="paragraph" w:styleId="Heading8">
    <w:name w:val="heading 8"/>
    <w:basedOn w:val="Normal"/>
    <w:next w:val="Normal"/>
    <w:link w:val="Heading8Char"/>
    <w:qFormat/>
    <w:rsid w:val="00A31EC2"/>
    <w:pPr>
      <w:ind w:left="720"/>
      <w:outlineLvl w:val="7"/>
    </w:pPr>
    <w:rPr>
      <w:i/>
    </w:rPr>
  </w:style>
  <w:style w:type="paragraph" w:styleId="Heading9">
    <w:name w:val="heading 9"/>
    <w:basedOn w:val="Normal"/>
    <w:next w:val="Normal"/>
    <w:link w:val="Heading9Char"/>
    <w:qFormat/>
    <w:rsid w:val="00A31EC2"/>
    <w:pPr>
      <w:ind w:left="720"/>
      <w:outlineLvl w:val="8"/>
    </w:pPr>
    <w:rPr>
      <w:i/>
    </w:rPr>
  </w:style>
  <w:style w:type="character" w:default="1" w:styleId="DefaultParagraphFont">
    <w:name w:val="Default Paragraph Font"/>
    <w:uiPriority w:val="1"/>
    <w:unhideWhenUsed/>
    <w:rsid w:val="00A31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EC2"/>
  </w:style>
  <w:style w:type="character" w:customStyle="1" w:styleId="Heading1Char">
    <w:name w:val="Heading 1 Char"/>
    <w:basedOn w:val="DefaultParagraphFont"/>
    <w:link w:val="Heading1"/>
    <w:rsid w:val="00A31EC2"/>
    <w:rPr>
      <w:rFonts w:ascii="Times New Roman" w:eastAsia="Times New Roman" w:hAnsi="Times New Roman" w:cs="Times New Roman"/>
      <w:b/>
      <w:sz w:val="32"/>
      <w:szCs w:val="20"/>
      <w:lang w:eastAsia="en-US"/>
    </w:rPr>
  </w:style>
  <w:style w:type="paragraph" w:styleId="BodyText">
    <w:name w:val="Body Text"/>
    <w:basedOn w:val="Normal"/>
    <w:link w:val="BodyTextChar"/>
    <w:rsid w:val="00A31E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EC2"/>
    <w:rPr>
      <w:rFonts w:ascii="Times New Roman" w:eastAsia="Times New Roman" w:hAnsi="Times New Roman" w:cs="Times New Roman"/>
      <w:sz w:val="24"/>
      <w:lang w:eastAsia="en-US"/>
    </w:rPr>
  </w:style>
  <w:style w:type="paragraph" w:styleId="ListBullet">
    <w:name w:val="List Bullet"/>
    <w:basedOn w:val="List"/>
    <w:rsid w:val="00A31EC2"/>
    <w:pPr>
      <w:numPr>
        <w:numId w:val="13"/>
      </w:numPr>
      <w:tabs>
        <w:tab w:val="clear" w:pos="340"/>
      </w:tabs>
      <w:spacing w:before="40" w:after="40"/>
    </w:pPr>
  </w:style>
  <w:style w:type="character" w:customStyle="1" w:styleId="SpecialBold">
    <w:name w:val="Special Bold"/>
    <w:basedOn w:val="DefaultParagraphFont"/>
    <w:rsid w:val="00A31EC2"/>
    <w:rPr>
      <w:b/>
      <w:spacing w:val="0"/>
    </w:rPr>
  </w:style>
  <w:style w:type="paragraph" w:styleId="ListBullet2">
    <w:name w:val="List Bullet 2"/>
    <w:basedOn w:val="List2"/>
    <w:rsid w:val="00A31EC2"/>
    <w:pPr>
      <w:numPr>
        <w:numId w:val="14"/>
      </w:numPr>
      <w:tabs>
        <w:tab w:val="clear" w:pos="680"/>
      </w:tabs>
    </w:pPr>
  </w:style>
  <w:style w:type="paragraph" w:customStyle="1" w:styleId="SuperHeading">
    <w:name w:val="SuperHeading"/>
    <w:basedOn w:val="Normal"/>
    <w:rsid w:val="00A31EC2"/>
    <w:pPr>
      <w:spacing w:before="240" w:after="120"/>
      <w:outlineLvl w:val="0"/>
    </w:pPr>
    <w:rPr>
      <w:rFonts w:ascii="Times New Roman" w:hAnsi="Times New Roman"/>
      <w:b/>
      <w:sz w:val="32"/>
    </w:rPr>
  </w:style>
  <w:style w:type="paragraph" w:customStyle="1" w:styleId="AllowPageBreak">
    <w:name w:val="AllowPageBreak"/>
    <w:rsid w:val="00A31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31EC2"/>
    <w:rPr>
      <w:u w:val="single"/>
    </w:rPr>
  </w:style>
  <w:style w:type="character" w:customStyle="1" w:styleId="Heading2Char">
    <w:name w:val="Heading 2 Char"/>
    <w:basedOn w:val="DefaultParagraphFont"/>
    <w:link w:val="Heading2"/>
    <w:rsid w:val="00A31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EC2"/>
    <w:rPr>
      <w:rFonts w:ascii="Courier New" w:eastAsia="Times New Roman" w:hAnsi="Courier New" w:cs="Times New Roman"/>
      <w:i/>
      <w:szCs w:val="20"/>
      <w:lang w:eastAsia="en-US"/>
    </w:rPr>
  </w:style>
  <w:style w:type="paragraph" w:customStyle="1" w:styleId="HeadingBase">
    <w:name w:val="Heading Base"/>
    <w:rsid w:val="00A31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EC2"/>
    <w:pPr>
      <w:tabs>
        <w:tab w:val="right" w:leader="dot" w:pos="9072"/>
      </w:tabs>
      <w:ind w:left="567"/>
    </w:pPr>
    <w:rPr>
      <w:szCs w:val="22"/>
    </w:rPr>
  </w:style>
  <w:style w:type="paragraph" w:customStyle="1" w:styleId="TOCBase">
    <w:name w:val="TOC Base"/>
    <w:rsid w:val="00A31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EC2"/>
    <w:pPr>
      <w:tabs>
        <w:tab w:val="right" w:leader="dot" w:pos="9072"/>
      </w:tabs>
      <w:spacing w:before="40" w:after="40"/>
      <w:ind w:left="284"/>
    </w:pPr>
    <w:rPr>
      <w:rFonts w:ascii="Times New Roman" w:hAnsi="Times New Roman"/>
    </w:rPr>
  </w:style>
  <w:style w:type="paragraph" w:styleId="TOC1">
    <w:name w:val="toc 1"/>
    <w:basedOn w:val="TOCBase"/>
    <w:next w:val="Normal"/>
    <w:rsid w:val="00A31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EC2"/>
    <w:rPr>
      <w:rFonts w:ascii="Times New Roman" w:eastAsia="Times New Roman" w:hAnsi="Times New Roman" w:cs="Times New Roman"/>
      <w:sz w:val="16"/>
      <w:lang w:eastAsia="en-US"/>
    </w:rPr>
  </w:style>
  <w:style w:type="paragraph" w:styleId="Title">
    <w:name w:val="Title"/>
    <w:basedOn w:val="HeadingBase"/>
    <w:link w:val="TitleChar"/>
    <w:qFormat/>
    <w:rsid w:val="00A31EC2"/>
    <w:pPr>
      <w:spacing w:before="5040"/>
      <w:jc w:val="center"/>
    </w:pPr>
    <w:rPr>
      <w:sz w:val="48"/>
      <w:szCs w:val="72"/>
      <w:lang w:val="en-US"/>
    </w:rPr>
  </w:style>
  <w:style w:type="character" w:customStyle="1" w:styleId="TitleChar">
    <w:name w:val="Title Char"/>
    <w:basedOn w:val="DefaultParagraphFont"/>
    <w:link w:val="Title"/>
    <w:rsid w:val="00A31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EC2"/>
    <w:pPr>
      <w:tabs>
        <w:tab w:val="left" w:pos="3600"/>
        <w:tab w:val="left" w:pos="3958"/>
      </w:tabs>
    </w:pPr>
  </w:style>
  <w:style w:type="paragraph" w:styleId="List">
    <w:name w:val="List"/>
    <w:basedOn w:val="BodyText"/>
    <w:next w:val="BodyText"/>
    <w:rsid w:val="00A31EC2"/>
    <w:pPr>
      <w:tabs>
        <w:tab w:val="left" w:pos="340"/>
      </w:tabs>
      <w:spacing w:before="60" w:after="60"/>
      <w:ind w:left="340" w:hanging="340"/>
    </w:pPr>
  </w:style>
  <w:style w:type="paragraph" w:customStyle="1" w:styleId="Note">
    <w:name w:val="Note"/>
    <w:basedOn w:val="BodyText"/>
    <w:rsid w:val="00A31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EC2"/>
    <w:pPr>
      <w:framePr w:wrap="auto" w:hAnchor="text" w:y="6049"/>
    </w:pPr>
    <w:rPr>
      <w:color w:val="000000"/>
      <w:sz w:val="40"/>
    </w:rPr>
  </w:style>
  <w:style w:type="paragraph" w:customStyle="1" w:styleId="TOCTitle">
    <w:name w:val="TOCTitle"/>
    <w:basedOn w:val="Heading1"/>
    <w:rsid w:val="00A31EC2"/>
    <w:pPr>
      <w:spacing w:after="240"/>
      <w:jc w:val="center"/>
      <w:outlineLvl w:val="9"/>
    </w:pPr>
    <w:rPr>
      <w:caps/>
    </w:rPr>
  </w:style>
  <w:style w:type="paragraph" w:customStyle="1" w:styleId="Version">
    <w:name w:val="Version"/>
    <w:rsid w:val="00A31E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EC2"/>
    <w:pPr>
      <w:keepNext w:val="0"/>
      <w:tabs>
        <w:tab w:val="right" w:pos="4176"/>
      </w:tabs>
      <w:ind w:left="198" w:hanging="198"/>
    </w:pPr>
    <w:rPr>
      <w:rFonts w:ascii="Garamond" w:hAnsi="Garamond"/>
    </w:rPr>
  </w:style>
  <w:style w:type="paragraph" w:styleId="IndexHeading">
    <w:name w:val="index heading"/>
    <w:basedOn w:val="Normal"/>
    <w:next w:val="Index1"/>
    <w:semiHidden/>
    <w:rsid w:val="00A31EC2"/>
    <w:pPr>
      <w:spacing w:before="120" w:after="120"/>
    </w:pPr>
    <w:rPr>
      <w:rFonts w:ascii="Arial" w:hAnsi="Arial"/>
      <w:b/>
      <w:color w:val="918585"/>
      <w:sz w:val="24"/>
    </w:rPr>
  </w:style>
  <w:style w:type="paragraph" w:styleId="Header">
    <w:name w:val="header"/>
    <w:basedOn w:val="Normal"/>
    <w:link w:val="HeaderChar"/>
    <w:rsid w:val="00A31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EC2"/>
    <w:rPr>
      <w:rFonts w:ascii="Times New Roman" w:eastAsia="Times New Roman" w:hAnsi="Times New Roman" w:cs="Times New Roman"/>
      <w:sz w:val="16"/>
      <w:szCs w:val="20"/>
      <w:lang w:val="en-GB" w:eastAsia="en-US"/>
    </w:rPr>
  </w:style>
  <w:style w:type="paragraph" w:customStyle="1" w:styleId="Chapter">
    <w:name w:val="Chapter"/>
    <w:basedOn w:val="Normal"/>
    <w:rsid w:val="00A31EC2"/>
    <w:pPr>
      <w:spacing w:before="240"/>
    </w:pPr>
    <w:rPr>
      <w:rFonts w:ascii="Times New Roman" w:hAnsi="Times New Roman"/>
      <w:smallCaps/>
      <w:spacing w:val="80"/>
      <w:sz w:val="28"/>
    </w:rPr>
  </w:style>
  <w:style w:type="paragraph" w:customStyle="1" w:styleId="InChapter">
    <w:name w:val="InChapter"/>
    <w:basedOn w:val="Heading3"/>
    <w:rsid w:val="00A31EC2"/>
    <w:pPr>
      <w:spacing w:after="240"/>
      <w:outlineLvl w:val="9"/>
    </w:pPr>
    <w:rPr>
      <w:noProof/>
    </w:rPr>
  </w:style>
  <w:style w:type="paragraph" w:styleId="Index2">
    <w:name w:val="index 2"/>
    <w:basedOn w:val="Normal"/>
    <w:next w:val="Normal"/>
    <w:semiHidden/>
    <w:rsid w:val="00A31EC2"/>
    <w:pPr>
      <w:tabs>
        <w:tab w:val="right" w:pos="4176"/>
      </w:tabs>
      <w:ind w:left="568" w:hanging="284"/>
    </w:pPr>
    <w:rPr>
      <w:rFonts w:ascii="Garamond" w:hAnsi="Garamond"/>
    </w:rPr>
  </w:style>
  <w:style w:type="paragraph" w:customStyle="1" w:styleId="Byline">
    <w:name w:val="Byline"/>
    <w:rsid w:val="00A31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EC2"/>
    <w:pPr>
      <w:tabs>
        <w:tab w:val="clear" w:pos="3600"/>
        <w:tab w:val="clear" w:pos="3958"/>
      </w:tabs>
      <w:jc w:val="right"/>
    </w:pPr>
  </w:style>
  <w:style w:type="character" w:styleId="Emphasis">
    <w:name w:val="Emphasis"/>
    <w:basedOn w:val="DefaultParagraphFont"/>
    <w:qFormat/>
    <w:rsid w:val="00A31EC2"/>
    <w:rPr>
      <w:i/>
    </w:rPr>
  </w:style>
  <w:style w:type="paragraph" w:styleId="Caption">
    <w:name w:val="caption"/>
    <w:basedOn w:val="BodyText"/>
    <w:next w:val="Normal"/>
    <w:qFormat/>
    <w:rsid w:val="00A31EC2"/>
    <w:pPr>
      <w:framePr w:w="2268" w:hSpace="181" w:vSpace="181" w:wrap="around" w:vAnchor="text" w:hAnchor="page" w:x="1135" w:y="285" w:anchorLock="1"/>
    </w:pPr>
    <w:rPr>
      <w:i/>
    </w:rPr>
  </w:style>
  <w:style w:type="paragraph" w:customStyle="1" w:styleId="MiniTOCTitle">
    <w:name w:val="MiniTOCTitle"/>
    <w:basedOn w:val="Heading4"/>
    <w:rsid w:val="00A31EC2"/>
    <w:pPr>
      <w:spacing w:before="240"/>
      <w:outlineLvl w:val="9"/>
    </w:pPr>
    <w:rPr>
      <w:noProof/>
      <w:sz w:val="24"/>
    </w:rPr>
  </w:style>
  <w:style w:type="paragraph" w:customStyle="1" w:styleId="MiniTOCItem">
    <w:name w:val="MiniTOCItem"/>
    <w:basedOn w:val="ListBullet"/>
    <w:rsid w:val="00A31EC2"/>
    <w:pPr>
      <w:numPr>
        <w:numId w:val="0"/>
      </w:numPr>
      <w:tabs>
        <w:tab w:val="right" w:leader="dot" w:pos="6521"/>
      </w:tabs>
      <w:spacing w:before="0" w:after="0"/>
    </w:pPr>
  </w:style>
  <w:style w:type="paragraph" w:customStyle="1" w:styleId="TOFTitle">
    <w:name w:val="TOFTitle"/>
    <w:basedOn w:val="TOCTitle"/>
    <w:rsid w:val="00A31EC2"/>
  </w:style>
  <w:style w:type="paragraph" w:styleId="TableofFigures">
    <w:name w:val="table of figures"/>
    <w:basedOn w:val="Normal"/>
    <w:next w:val="Normal"/>
    <w:semiHidden/>
    <w:rsid w:val="00A31EC2"/>
    <w:pPr>
      <w:tabs>
        <w:tab w:val="right" w:leader="dot" w:pos="9072"/>
      </w:tabs>
      <w:ind w:left="970" w:hanging="403"/>
    </w:pPr>
    <w:rPr>
      <w:rFonts w:ascii="Times New Roman" w:hAnsi="Times New Roman"/>
      <w:b/>
    </w:rPr>
  </w:style>
  <w:style w:type="paragraph" w:styleId="ListNumber">
    <w:name w:val="List Number"/>
    <w:basedOn w:val="List"/>
    <w:rsid w:val="00A31EC2"/>
    <w:pPr>
      <w:numPr>
        <w:numId w:val="11"/>
      </w:numPr>
    </w:pPr>
  </w:style>
  <w:style w:type="character" w:customStyle="1" w:styleId="WingdingSymbols">
    <w:name w:val="Wingding Symbols"/>
    <w:rsid w:val="00A31EC2"/>
    <w:rPr>
      <w:rFonts w:ascii="Wingdings" w:hAnsi="Wingdings"/>
    </w:rPr>
  </w:style>
  <w:style w:type="paragraph" w:customStyle="1" w:styleId="TableHeading">
    <w:name w:val="Table Heading"/>
    <w:basedOn w:val="HeadingBase"/>
    <w:rsid w:val="00A31EC2"/>
    <w:pPr>
      <w:keepLines/>
      <w:pBdr>
        <w:bottom w:val="single" w:sz="6" w:space="1" w:color="918585"/>
      </w:pBdr>
      <w:spacing w:before="240"/>
    </w:pPr>
  </w:style>
  <w:style w:type="character" w:customStyle="1" w:styleId="HotSpot">
    <w:name w:val="HotSpot"/>
    <w:rsid w:val="00A31EC2"/>
    <w:rPr>
      <w:color w:val="0033CC"/>
      <w:u w:val="none"/>
    </w:rPr>
  </w:style>
  <w:style w:type="paragraph" w:customStyle="1" w:styleId="BodyTextRight">
    <w:name w:val="Body Text Right"/>
    <w:basedOn w:val="BodyText"/>
    <w:rsid w:val="00A31EC2"/>
    <w:pPr>
      <w:spacing w:before="0" w:after="0"/>
      <w:jc w:val="right"/>
    </w:pPr>
  </w:style>
  <w:style w:type="paragraph" w:styleId="Index3">
    <w:name w:val="index 3"/>
    <w:basedOn w:val="ListNumber2"/>
    <w:next w:val="Normal"/>
    <w:semiHidden/>
    <w:rsid w:val="00A31EC2"/>
    <w:pPr>
      <w:numPr>
        <w:numId w:val="0"/>
      </w:numPr>
      <w:tabs>
        <w:tab w:val="right" w:leader="dot" w:pos="4176"/>
      </w:tabs>
    </w:pPr>
  </w:style>
  <w:style w:type="paragraph" w:styleId="ListNumber2">
    <w:name w:val="List Number 2"/>
    <w:basedOn w:val="List2"/>
    <w:rsid w:val="00A31EC2"/>
    <w:pPr>
      <w:numPr>
        <w:numId w:val="10"/>
      </w:numPr>
      <w:tabs>
        <w:tab w:val="clear" w:pos="1060"/>
      </w:tabs>
    </w:pPr>
  </w:style>
  <w:style w:type="paragraph" w:customStyle="1" w:styleId="MarginNote">
    <w:name w:val="Margin Note"/>
    <w:basedOn w:val="BodyText"/>
    <w:rsid w:val="00A31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EC2"/>
    <w:rPr>
      <w:sz w:val="32"/>
    </w:rPr>
  </w:style>
  <w:style w:type="paragraph" w:customStyle="1" w:styleId="HeadingProcedure">
    <w:name w:val="Heading Procedure"/>
    <w:basedOn w:val="HeadingBase"/>
    <w:next w:val="Normal"/>
    <w:rsid w:val="00A31EC2"/>
    <w:pPr>
      <w:tabs>
        <w:tab w:val="left" w:pos="0"/>
      </w:tabs>
      <w:spacing w:before="120" w:after="60"/>
    </w:pPr>
    <w:rPr>
      <w:i/>
      <w:color w:val="918585"/>
      <w:sz w:val="22"/>
    </w:rPr>
  </w:style>
  <w:style w:type="paragraph" w:customStyle="1" w:styleId="TableBodyText">
    <w:name w:val="Table Body Text"/>
    <w:basedOn w:val="BodyText"/>
    <w:rsid w:val="00A31EC2"/>
    <w:pPr>
      <w:spacing w:before="60" w:after="60"/>
    </w:pPr>
  </w:style>
  <w:style w:type="paragraph" w:styleId="ListContinue">
    <w:name w:val="List Continue"/>
    <w:basedOn w:val="List"/>
    <w:rsid w:val="00A31EC2"/>
    <w:pPr>
      <w:ind w:firstLine="0"/>
    </w:pPr>
  </w:style>
  <w:style w:type="paragraph" w:customStyle="1" w:styleId="ListNote">
    <w:name w:val="List Note"/>
    <w:basedOn w:val="List"/>
    <w:rsid w:val="00A31EC2"/>
    <w:pPr>
      <w:pBdr>
        <w:top w:val="single" w:sz="6" w:space="2" w:color="918585"/>
        <w:bottom w:val="single" w:sz="6" w:space="2" w:color="918585"/>
      </w:pBdr>
      <w:tabs>
        <w:tab w:val="left" w:pos="1021"/>
      </w:tabs>
      <w:ind w:firstLine="0"/>
    </w:pPr>
  </w:style>
  <w:style w:type="paragraph" w:customStyle="1" w:styleId="Warning">
    <w:name w:val="Warning"/>
    <w:basedOn w:val="BodyText"/>
    <w:rsid w:val="00A31EC2"/>
    <w:pPr>
      <w:shd w:val="clear" w:color="auto" w:fill="D9D9D9"/>
      <w:tabs>
        <w:tab w:val="left" w:pos="992"/>
      </w:tabs>
      <w:ind w:left="119" w:right="119"/>
    </w:pPr>
    <w:rPr>
      <w:sz w:val="20"/>
    </w:rPr>
  </w:style>
  <w:style w:type="paragraph" w:customStyle="1" w:styleId="MarginIcons">
    <w:name w:val="Margin Icons"/>
    <w:basedOn w:val="BodyText"/>
    <w:rsid w:val="00A31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EC2"/>
    <w:rPr>
      <w:rFonts w:ascii="Courier New" w:hAnsi="Courier New"/>
    </w:rPr>
  </w:style>
  <w:style w:type="paragraph" w:customStyle="1" w:styleId="NoteBullet">
    <w:name w:val="Note Bullet"/>
    <w:basedOn w:val="Note"/>
    <w:rsid w:val="00A31EC2"/>
    <w:pPr>
      <w:tabs>
        <w:tab w:val="clear" w:pos="680"/>
      </w:tabs>
      <w:spacing w:before="60" w:after="60"/>
    </w:pPr>
  </w:style>
  <w:style w:type="paragraph" w:customStyle="1" w:styleId="SubHeading2">
    <w:name w:val="SubHeading2"/>
    <w:basedOn w:val="HeadingBase"/>
    <w:rsid w:val="00A31EC2"/>
    <w:pPr>
      <w:spacing w:before="240" w:after="60"/>
    </w:pPr>
    <w:rPr>
      <w:sz w:val="20"/>
    </w:rPr>
  </w:style>
  <w:style w:type="paragraph" w:customStyle="1" w:styleId="SubHeading1">
    <w:name w:val="SubHeading1"/>
    <w:basedOn w:val="HeadingBase"/>
    <w:rsid w:val="00A31EC2"/>
    <w:pPr>
      <w:spacing w:before="240" w:after="60"/>
    </w:pPr>
    <w:rPr>
      <w:color w:val="918585"/>
      <w:sz w:val="22"/>
    </w:rPr>
  </w:style>
  <w:style w:type="paragraph" w:customStyle="1" w:styleId="SideHeading">
    <w:name w:val="Side Heading"/>
    <w:basedOn w:val="HeadingBase"/>
    <w:rsid w:val="00A31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EC2"/>
    <w:pPr>
      <w:numPr>
        <w:numId w:val="12"/>
      </w:numPr>
    </w:pPr>
  </w:style>
  <w:style w:type="paragraph" w:styleId="PlainText">
    <w:name w:val="Plain Text"/>
    <w:basedOn w:val="Normal"/>
    <w:link w:val="PlainTextChar"/>
    <w:rsid w:val="00A31EC2"/>
    <w:rPr>
      <w:sz w:val="20"/>
    </w:rPr>
  </w:style>
  <w:style w:type="character" w:customStyle="1" w:styleId="PlainTextChar">
    <w:name w:val="Plain Text Char"/>
    <w:basedOn w:val="DefaultParagraphFont"/>
    <w:link w:val="PlainText"/>
    <w:rsid w:val="00A31EC2"/>
    <w:rPr>
      <w:rFonts w:ascii="Courier New" w:eastAsia="Times New Roman" w:hAnsi="Courier New" w:cs="Times New Roman"/>
      <w:sz w:val="20"/>
      <w:szCs w:val="20"/>
      <w:lang w:eastAsia="en-US"/>
    </w:rPr>
  </w:style>
  <w:style w:type="character" w:customStyle="1" w:styleId="MenuOption">
    <w:name w:val="Menu Option"/>
    <w:basedOn w:val="DefaultParagraphFont"/>
    <w:rsid w:val="00A31EC2"/>
    <w:rPr>
      <w:b/>
      <w:smallCaps/>
    </w:rPr>
  </w:style>
  <w:style w:type="paragraph" w:customStyle="1" w:styleId="TableListNumber">
    <w:name w:val="Table List Number"/>
    <w:basedOn w:val="ListNumber"/>
    <w:rsid w:val="00A31EC2"/>
    <w:pPr>
      <w:numPr>
        <w:numId w:val="0"/>
      </w:numPr>
    </w:pPr>
  </w:style>
  <w:style w:type="paragraph" w:styleId="TOC4">
    <w:name w:val="toc 4"/>
    <w:basedOn w:val="TOCBase"/>
    <w:next w:val="Normal"/>
    <w:semiHidden/>
    <w:rsid w:val="00A31EC2"/>
    <w:pPr>
      <w:tabs>
        <w:tab w:val="right" w:leader="dot" w:pos="9071"/>
      </w:tabs>
      <w:ind w:left="1701"/>
    </w:pPr>
  </w:style>
  <w:style w:type="paragraph" w:customStyle="1" w:styleId="ListAlpha">
    <w:name w:val="List Alpha"/>
    <w:basedOn w:val="List"/>
    <w:rsid w:val="00A31EC2"/>
    <w:pPr>
      <w:numPr>
        <w:numId w:val="9"/>
      </w:numPr>
    </w:pPr>
  </w:style>
  <w:style w:type="paragraph" w:customStyle="1" w:styleId="ListAlpha2">
    <w:name w:val="List Alpha 2"/>
    <w:basedOn w:val="List2"/>
    <w:rsid w:val="00A31EC2"/>
    <w:pPr>
      <w:numPr>
        <w:numId w:val="8"/>
      </w:numPr>
    </w:pPr>
  </w:style>
  <w:style w:type="paragraph" w:styleId="List2">
    <w:name w:val="List 2"/>
    <w:basedOn w:val="BodyText"/>
    <w:rsid w:val="00A31EC2"/>
    <w:pPr>
      <w:tabs>
        <w:tab w:val="left" w:pos="680"/>
      </w:tabs>
      <w:spacing w:before="60" w:after="60"/>
      <w:ind w:left="680" w:hanging="340"/>
    </w:pPr>
  </w:style>
  <w:style w:type="paragraph" w:styleId="List3">
    <w:name w:val="List 3"/>
    <w:basedOn w:val="BodyText"/>
    <w:rsid w:val="00A31EC2"/>
    <w:pPr>
      <w:tabs>
        <w:tab w:val="left" w:pos="1021"/>
      </w:tabs>
      <w:spacing w:before="60" w:after="60"/>
      <w:ind w:left="1020" w:hanging="340"/>
    </w:pPr>
  </w:style>
  <w:style w:type="paragraph" w:styleId="List4">
    <w:name w:val="List 4"/>
    <w:basedOn w:val="BodyText"/>
    <w:rsid w:val="00A31EC2"/>
    <w:pPr>
      <w:tabs>
        <w:tab w:val="left" w:pos="1361"/>
      </w:tabs>
      <w:spacing w:before="60" w:after="60"/>
      <w:ind w:left="1361" w:hanging="340"/>
    </w:pPr>
  </w:style>
  <w:style w:type="paragraph" w:styleId="List5">
    <w:name w:val="List 5"/>
    <w:basedOn w:val="BodyText"/>
    <w:rsid w:val="00A31EC2"/>
    <w:pPr>
      <w:tabs>
        <w:tab w:val="left" w:pos="1701"/>
      </w:tabs>
      <w:spacing w:before="60" w:after="60"/>
      <w:ind w:left="1701" w:hanging="340"/>
    </w:pPr>
  </w:style>
  <w:style w:type="paragraph" w:styleId="ListBullet3">
    <w:name w:val="List Bullet 3"/>
    <w:basedOn w:val="List3"/>
    <w:rsid w:val="00A31EC2"/>
    <w:pPr>
      <w:numPr>
        <w:numId w:val="15"/>
      </w:numPr>
      <w:tabs>
        <w:tab w:val="clear" w:pos="1021"/>
      </w:tabs>
      <w:ind w:left="1037" w:hanging="357"/>
    </w:pPr>
  </w:style>
  <w:style w:type="paragraph" w:styleId="ListBullet4">
    <w:name w:val="List Bullet 4"/>
    <w:basedOn w:val="List4"/>
    <w:rsid w:val="00A31EC2"/>
    <w:pPr>
      <w:numPr>
        <w:numId w:val="3"/>
      </w:numPr>
      <w:tabs>
        <w:tab w:val="clear" w:pos="1361"/>
      </w:tabs>
    </w:pPr>
  </w:style>
  <w:style w:type="paragraph" w:styleId="ListBullet5">
    <w:name w:val="List Bullet 5"/>
    <w:basedOn w:val="List5"/>
    <w:rsid w:val="00A31EC2"/>
    <w:pPr>
      <w:numPr>
        <w:numId w:val="4"/>
      </w:numPr>
    </w:pPr>
  </w:style>
  <w:style w:type="paragraph" w:styleId="ListContinue2">
    <w:name w:val="List Continue 2"/>
    <w:basedOn w:val="List2"/>
    <w:rsid w:val="00A31EC2"/>
    <w:pPr>
      <w:ind w:firstLine="0"/>
    </w:pPr>
  </w:style>
  <w:style w:type="paragraph" w:styleId="ListContinue3">
    <w:name w:val="List Continue 3"/>
    <w:basedOn w:val="List3"/>
    <w:rsid w:val="00A31EC2"/>
    <w:pPr>
      <w:ind w:left="1021" w:firstLine="0"/>
    </w:pPr>
  </w:style>
  <w:style w:type="paragraph" w:styleId="ListContinue4">
    <w:name w:val="List Continue 4"/>
    <w:basedOn w:val="List4"/>
    <w:rsid w:val="00A31EC2"/>
    <w:pPr>
      <w:ind w:firstLine="0"/>
    </w:pPr>
  </w:style>
  <w:style w:type="paragraph" w:styleId="ListContinue5">
    <w:name w:val="List Continue 5"/>
    <w:basedOn w:val="List5"/>
    <w:rsid w:val="00A31EC2"/>
    <w:pPr>
      <w:ind w:firstLine="0"/>
    </w:pPr>
  </w:style>
  <w:style w:type="paragraph" w:styleId="ListNumber3">
    <w:name w:val="List Number 3"/>
    <w:basedOn w:val="List3"/>
    <w:rsid w:val="00A31EC2"/>
    <w:pPr>
      <w:numPr>
        <w:numId w:val="5"/>
      </w:numPr>
    </w:pPr>
  </w:style>
  <w:style w:type="paragraph" w:styleId="ListNumber4">
    <w:name w:val="List Number 4"/>
    <w:basedOn w:val="List4"/>
    <w:rsid w:val="00A31EC2"/>
    <w:pPr>
      <w:numPr>
        <w:numId w:val="6"/>
      </w:numPr>
    </w:pPr>
  </w:style>
  <w:style w:type="paragraph" w:styleId="ListNumber5">
    <w:name w:val="List Number 5"/>
    <w:basedOn w:val="List5"/>
    <w:rsid w:val="00A31EC2"/>
    <w:pPr>
      <w:numPr>
        <w:numId w:val="7"/>
      </w:numPr>
    </w:pPr>
  </w:style>
  <w:style w:type="paragraph" w:styleId="BlockText">
    <w:name w:val="Block Text"/>
    <w:basedOn w:val="Normal"/>
    <w:rsid w:val="00A31EC2"/>
    <w:pPr>
      <w:spacing w:after="120"/>
      <w:ind w:left="1440" w:right="1440"/>
    </w:pPr>
  </w:style>
  <w:style w:type="character" w:customStyle="1" w:styleId="Subscript">
    <w:name w:val="Subscript"/>
    <w:basedOn w:val="DefaultParagraphFont"/>
    <w:rsid w:val="00A31EC2"/>
    <w:rPr>
      <w:sz w:val="16"/>
      <w:vertAlign w:val="subscript"/>
    </w:rPr>
  </w:style>
  <w:style w:type="character" w:customStyle="1" w:styleId="Superscript">
    <w:name w:val="Superscript"/>
    <w:basedOn w:val="DefaultParagraphFont"/>
    <w:rsid w:val="00A31EC2"/>
    <w:rPr>
      <w:sz w:val="16"/>
      <w:vertAlign w:val="superscript"/>
    </w:rPr>
  </w:style>
  <w:style w:type="character" w:customStyle="1" w:styleId="Symbols">
    <w:name w:val="Symbols"/>
    <w:basedOn w:val="DefaultParagraphFont"/>
    <w:rsid w:val="00A31EC2"/>
    <w:rPr>
      <w:rFonts w:ascii="Symbol" w:hAnsi="Symbol"/>
    </w:rPr>
  </w:style>
  <w:style w:type="character" w:customStyle="1" w:styleId="MenuOptions">
    <w:name w:val="Menu Options"/>
    <w:basedOn w:val="DefaultParagraphFont"/>
    <w:rsid w:val="00A31EC2"/>
    <w:rPr>
      <w:rFonts w:ascii="Arial Narrow" w:hAnsi="Arial Narrow"/>
      <w:smallCaps/>
    </w:rPr>
  </w:style>
  <w:style w:type="character" w:customStyle="1" w:styleId="Buttons">
    <w:name w:val="Buttons"/>
    <w:basedOn w:val="DefaultParagraphFont"/>
    <w:rsid w:val="00A31EC2"/>
    <w:rPr>
      <w:b/>
    </w:rPr>
  </w:style>
  <w:style w:type="character" w:customStyle="1" w:styleId="Underlined">
    <w:name w:val="Underlined"/>
    <w:basedOn w:val="DefaultParagraphFont"/>
    <w:rsid w:val="00A31EC2"/>
    <w:rPr>
      <w:u w:val="single"/>
    </w:rPr>
  </w:style>
  <w:style w:type="paragraph" w:customStyle="1" w:styleId="TableBodyTextRight">
    <w:name w:val="Table Body Text Right"/>
    <w:basedOn w:val="TableBodyText"/>
    <w:rsid w:val="00A31EC2"/>
    <w:pPr>
      <w:widowControl w:val="0"/>
      <w:autoSpaceDE w:val="0"/>
      <w:autoSpaceDN w:val="0"/>
      <w:adjustRightInd w:val="0"/>
      <w:jc w:val="right"/>
    </w:pPr>
    <w:rPr>
      <w:rFonts w:cs="Arial"/>
      <w:szCs w:val="18"/>
    </w:rPr>
  </w:style>
  <w:style w:type="paragraph" w:customStyle="1" w:styleId="CopyrightText">
    <w:name w:val="Copyright Text"/>
    <w:basedOn w:val="BodyText"/>
    <w:rsid w:val="00A31EC2"/>
    <w:rPr>
      <w:sz w:val="18"/>
    </w:rPr>
  </w:style>
  <w:style w:type="paragraph" w:customStyle="1" w:styleId="BodySmallRight">
    <w:name w:val="Body Small Right"/>
    <w:basedOn w:val="BodyTextRight"/>
    <w:rsid w:val="00A31EC2"/>
    <w:rPr>
      <w:sz w:val="18"/>
      <w:szCs w:val="18"/>
    </w:rPr>
  </w:style>
  <w:style w:type="paragraph" w:customStyle="1" w:styleId="MarginEdition">
    <w:name w:val="Margin Edition"/>
    <w:basedOn w:val="MarginNote"/>
    <w:rsid w:val="00A31EC2"/>
    <w:pPr>
      <w:spacing w:before="0" w:after="0"/>
    </w:pPr>
    <w:rPr>
      <w:rFonts w:ascii="Times New Roman" w:hAnsi="Times New Roman"/>
      <w:color w:val="999999"/>
    </w:rPr>
  </w:style>
  <w:style w:type="paragraph" w:customStyle="1" w:styleId="Spacer">
    <w:name w:val="Spacer"/>
    <w:basedOn w:val="Normal"/>
    <w:rsid w:val="00A31EC2"/>
    <w:rPr>
      <w:sz w:val="2"/>
      <w:szCs w:val="2"/>
    </w:rPr>
  </w:style>
  <w:style w:type="character" w:customStyle="1" w:styleId="Small">
    <w:name w:val="Small"/>
    <w:basedOn w:val="DefaultParagraphFont"/>
    <w:rsid w:val="00A31EC2"/>
    <w:rPr>
      <w:sz w:val="16"/>
    </w:rPr>
  </w:style>
  <w:style w:type="paragraph" w:customStyle="1" w:styleId="WideTable">
    <w:name w:val="Wide Table"/>
    <w:basedOn w:val="Normal"/>
    <w:rsid w:val="00A31EC2"/>
    <w:pPr>
      <w:ind w:left="-1418"/>
    </w:pPr>
    <w:rPr>
      <w:sz w:val="2"/>
      <w:szCs w:val="2"/>
    </w:rPr>
  </w:style>
  <w:style w:type="character" w:styleId="PageNumber">
    <w:name w:val="page number"/>
    <w:basedOn w:val="DefaultParagraphFont"/>
    <w:rsid w:val="00A31EC2"/>
  </w:style>
  <w:style w:type="paragraph" w:styleId="Quote">
    <w:name w:val="Quote"/>
    <w:basedOn w:val="Heading1"/>
    <w:link w:val="QuoteChar"/>
    <w:qFormat/>
    <w:rsid w:val="00A31EC2"/>
    <w:rPr>
      <w:b w:val="0"/>
      <w:sz w:val="72"/>
      <w:szCs w:val="72"/>
      <w:lang w:val="en-NZ"/>
    </w:rPr>
  </w:style>
  <w:style w:type="character" w:customStyle="1" w:styleId="QuoteChar">
    <w:name w:val="Quote Char"/>
    <w:basedOn w:val="DefaultParagraphFont"/>
    <w:link w:val="Quote"/>
    <w:rsid w:val="00A31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EC2"/>
    <w:pPr>
      <w:pageBreakBefore/>
    </w:pPr>
  </w:style>
  <w:style w:type="paragraph" w:customStyle="1" w:styleId="Border">
    <w:name w:val="Border"/>
    <w:basedOn w:val="Normal"/>
    <w:qFormat/>
    <w:rsid w:val="00A31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EC2"/>
    <w:rPr>
      <w:b/>
      <w:bCs/>
      <w:i/>
      <w:iCs/>
      <w:color w:val="auto"/>
    </w:rPr>
  </w:style>
  <w:style w:type="paragraph" w:styleId="IntenseQuote">
    <w:name w:val="Intense Quote"/>
    <w:basedOn w:val="Normal"/>
    <w:next w:val="Normal"/>
    <w:link w:val="IntenseQuoteChar"/>
    <w:uiPriority w:val="30"/>
    <w:qFormat/>
    <w:rsid w:val="00A31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EC2"/>
    <w:rPr>
      <w:smallCaps/>
      <w:color w:val="auto"/>
      <w:u w:val="single"/>
    </w:rPr>
  </w:style>
  <w:style w:type="character" w:styleId="IntenseReference">
    <w:name w:val="Intense Reference"/>
    <w:basedOn w:val="DefaultParagraphFont"/>
    <w:uiPriority w:val="32"/>
    <w:qFormat/>
    <w:rsid w:val="00A31EC2"/>
    <w:rPr>
      <w:b/>
      <w:bCs/>
      <w:smallCaps/>
      <w:color w:val="auto"/>
      <w:spacing w:val="5"/>
      <w:u w:val="single"/>
    </w:rPr>
  </w:style>
  <w:style w:type="paragraph" w:customStyle="1" w:styleId="2ColumnHeading">
    <w:name w:val="2Column Heading"/>
    <w:basedOn w:val="BodyText"/>
    <w:qFormat/>
    <w:rsid w:val="00A31EC2"/>
    <w:pPr>
      <w:spacing w:after="60"/>
      <w:ind w:left="-2268"/>
    </w:pPr>
    <w:rPr>
      <w:b/>
    </w:rPr>
  </w:style>
  <w:style w:type="paragraph" w:customStyle="1" w:styleId="Heading1TOC">
    <w:name w:val="Heading1 TOC"/>
    <w:basedOn w:val="Normal"/>
    <w:qFormat/>
    <w:rsid w:val="00A31EC2"/>
    <w:pPr>
      <w:spacing w:before="240" w:after="120"/>
    </w:pPr>
    <w:rPr>
      <w:rFonts w:ascii="Times New Roman" w:hAnsi="Times New Roman"/>
      <w:b/>
      <w:sz w:val="32"/>
    </w:rPr>
  </w:style>
  <w:style w:type="paragraph" w:customStyle="1" w:styleId="Heading2TOC">
    <w:name w:val="Heading2 TOC"/>
    <w:basedOn w:val="Normal"/>
    <w:qFormat/>
    <w:rsid w:val="00A31EC2"/>
    <w:pPr>
      <w:spacing w:before="240" w:after="60"/>
    </w:pPr>
    <w:rPr>
      <w:rFonts w:ascii="Times New Roman" w:hAnsi="Times New Roman"/>
      <w:b/>
      <w:sz w:val="28"/>
    </w:rPr>
  </w:style>
  <w:style w:type="character" w:customStyle="1" w:styleId="BoldandItalics">
    <w:name w:val="Bold and Italics"/>
    <w:qFormat/>
    <w:rsid w:val="00A31EC2"/>
    <w:rPr>
      <w:b/>
      <w:i/>
      <w:u w:val="none"/>
    </w:rPr>
  </w:style>
  <w:style w:type="paragraph" w:styleId="BalloonText">
    <w:name w:val="Balloon Text"/>
    <w:basedOn w:val="Normal"/>
    <w:link w:val="BalloonTextChar"/>
    <w:rsid w:val="00A31EC2"/>
    <w:rPr>
      <w:rFonts w:ascii="Tahoma" w:hAnsi="Tahoma" w:cs="Tahoma"/>
      <w:sz w:val="16"/>
      <w:szCs w:val="16"/>
    </w:rPr>
  </w:style>
  <w:style w:type="character" w:customStyle="1" w:styleId="BalloonTextChar">
    <w:name w:val="Balloon Text Char"/>
    <w:basedOn w:val="DefaultParagraphFont"/>
    <w:link w:val="BalloonText"/>
    <w:rsid w:val="00A31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E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EC2"/>
    <w:rPr>
      <w:b/>
      <w:color w:val="660033"/>
      <w:spacing w:val="0"/>
    </w:rPr>
  </w:style>
  <w:style w:type="paragraph" w:customStyle="1" w:styleId="Nameditemlist">
    <w:name w:val="Named item list"/>
    <w:basedOn w:val="BodyText"/>
    <w:qFormat/>
    <w:rsid w:val="00A31E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3091</Words>
  <Characters>19415</Characters>
  <Application>Microsoft Office Word</Application>
  <DocSecurity>0</DocSecurity>
  <Lines>724</Lines>
  <Paragraphs>319</Paragraphs>
  <ScaleCrop>false</ScaleCrop>
  <Company>Author-it Software Corporation Ltd.</Company>
  <LinksUpToDate>false</LinksUpToDate>
  <CharactersWithSpaces>22320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UEENEEJ175A Service and repair self contained hydrocarbon air conditioning and refrigeration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2014-12-16T11:52:54Z</dcterms:created>
  <dcterms:modified xsi:type="dcterms:W3CDTF">2014-12-16T00:20:00Z</dcterms:modified>
</cp:coreProperties>
</file>