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239" w:rsidP="00492239">
      <w:pPr>
        <w:pStyle w:val="Title"/>
      </w:pPr>
      <w:r>
        <w:fldChar w:fldCharType="begin"/>
      </w:r>
      <w:r>
        <w:instrText xml:space="preserve"> TITLE   \* MERGEFORMAT </w:instrText>
      </w:r>
      <w:r>
        <w:fldChar w:fldCharType="separate"/>
      </w:r>
      <w:r>
        <w:t>UEENEEJ173A Service and repair microwave ovens</w:t>
      </w:r>
      <w:r>
        <w:fldChar w:fldCharType="end"/>
      </w:r>
    </w:p>
    <w:p w:rsidR="00492239" w:rsidP="00492239">
      <w:pPr>
        <w:pStyle w:val="Version"/>
        <w:sectPr w:rsidSect="001C4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C48DE" w:rsidP="001C48DE">
      <w:pPr>
        <w:pStyle w:val="SuperHeading"/>
      </w:pPr>
      <w:r w:rsidRPr="001C48DE">
        <w:t>UEENEEJ173A Service and repair microwave ovens</w:t>
      </w:r>
    </w:p>
    <w:p w:rsidR="00000000" w:rsidRPr="001C48DE" w:rsidP="001C48DE">
      <w:pPr>
        <w:pStyle w:val="Heading1"/>
      </w:pPr>
      <w:bookmarkStart w:id="1" w:name="O_709900"/>
      <w:bookmarkEnd w:id="1"/>
      <w:r w:rsidRPr="001C48DE">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49223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8DE">
            <w:pPr>
              <w:pStyle w:val="BodyText"/>
              <w:rPr>
                <w:lang w:val="en-NZ"/>
              </w:rPr>
            </w:pPr>
            <w:r w:rsidRPr="001C48DE">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8DE">
            <w:pPr>
              <w:pStyle w:val="BodyText"/>
              <w:rPr>
                <w:lang w:val="en-NZ"/>
              </w:rPr>
            </w:pPr>
            <w:r w:rsidRPr="001C48DE">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8DE">
            <w:pPr>
              <w:pStyle w:val="BodyText"/>
              <w:rPr>
                <w:lang w:val="en-NZ"/>
              </w:rPr>
            </w:pPr>
            <w:r w:rsidRPr="001C48DE">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8DE">
            <w:pPr>
              <w:pStyle w:val="BodyText"/>
              <w:rPr>
                <w:lang w:val="en-NZ"/>
              </w:rPr>
            </w:pPr>
            <w:r w:rsidRPr="001C48D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8DE">
            <w:pPr>
              <w:pStyle w:val="BodyText"/>
              <w:rPr>
                <w:lang w:val="en-NZ"/>
              </w:rPr>
            </w:pPr>
            <w:r w:rsidRPr="001C48DE">
              <w:t>Points</w:t>
            </w:r>
          </w:p>
        </w:tc>
      </w:tr>
      <w:tr w:rsidTr="0049223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8DE">
            <w:pPr>
              <w:pStyle w:val="BodyText"/>
              <w:rPr>
                <w:lang w:val="en-NZ"/>
              </w:rPr>
            </w:pPr>
            <w:r w:rsidRPr="001C48D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8DE">
            <w:pPr>
              <w:pStyle w:val="BodyText"/>
              <w:rPr>
                <w:lang w:val="en-NZ"/>
              </w:rPr>
            </w:pPr>
            <w:r w:rsidRPr="001C48DE">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8DE" w:rsidP="001C48DE">
            <w:pPr>
              <w:pStyle w:val="BodyText"/>
            </w:pPr>
            <w:r w:rsidRPr="001C48DE">
              <w:t>Update pre-requisite</w:t>
            </w:r>
          </w:p>
          <w:p w:rsidR="00000000" w:rsidP="001C48DE">
            <w:pPr>
              <w:pStyle w:val="BodyText"/>
              <w:rPr>
                <w:lang w:val="en-NZ"/>
              </w:rPr>
            </w:pPr>
            <w:r w:rsidRPr="001C48DE">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8DE" w:rsidP="001C48DE">
            <w:pPr>
              <w:pStyle w:val="BodyText"/>
            </w:pPr>
          </w:p>
        </w:tc>
      </w:tr>
    </w:tbl>
    <w:p w:rsidR="00000000" w:rsidRPr="001C48DE" w:rsidP="001C48DE">
      <w:pPr>
        <w:pStyle w:val="BodyText"/>
      </w:pPr>
    </w:p>
    <w:p w:rsidR="00000000" w:rsidRPr="001C48DE" w:rsidP="001C48DE">
      <w:pPr>
        <w:pStyle w:val="AllowPageBreak"/>
      </w:pPr>
    </w:p>
    <w:p w:rsidR="00000000" w:rsidRPr="001C48DE" w:rsidP="001C48DE">
      <w:pPr>
        <w:pStyle w:val="Heading1"/>
      </w:pPr>
      <w:bookmarkStart w:id="2" w:name="O_709899"/>
      <w:bookmarkEnd w:id="2"/>
      <w:r w:rsidRPr="001C48DE">
        <w:t>Unit Descriptor</w:t>
      </w:r>
    </w:p>
    <w:tbl>
      <w:tblPr>
        <w:tblW w:w="0" w:type="auto"/>
        <w:tblLayout w:type="fixed"/>
        <w:tblCellMar>
          <w:left w:w="62" w:type="dxa"/>
          <w:right w:w="62" w:type="dxa"/>
        </w:tblCellMar>
        <w:tblLook w:val="0000"/>
      </w:tblPr>
      <w:tblGrid>
        <w:gridCol w:w="2700"/>
        <w:gridCol w:w="5760"/>
      </w:tblGrid>
      <w:tr w:rsidTr="004922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1</w:t>
            </w:r>
            <w:r w:rsidRPr="001C48DE">
              <w:t xml:space="preserve">) </w:t>
            </w:r>
          </w:p>
          <w:p w:rsidR="00000000" w:rsidP="001C48DE">
            <w:pPr>
              <w:pStyle w:val="BodyText"/>
              <w:rPr>
                <w:lang w:val="en-NZ"/>
              </w:rPr>
            </w:pPr>
            <w:r w:rsidRPr="001C48DE">
              <w:rPr>
                <w:rStyle w:val="SpecialBold"/>
              </w:rPr>
              <w:t>1</w:t>
            </w:r>
            <w:r w:rsidRPr="001C48DE">
              <w:t>.</w:t>
            </w:r>
            <w:r w:rsidRPr="001C48DE">
              <w:rPr>
                <w:rStyle w:val="SpecialBold"/>
              </w:rPr>
              <w:t>1</w:t>
            </w:r>
            <w:r w:rsidRPr="001C48DE">
              <w:t xml:space="preserve">) </w:t>
            </w:r>
            <w:r w:rsidRPr="001C48DE">
              <w:rPr>
                <w:rStyle w:val="SpecialBold"/>
              </w:rPr>
              <w:t>Descriptor</w:t>
            </w:r>
          </w:p>
        </w:tc>
      </w:tr>
      <w:tr w:rsidTr="004922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This unit covers maintaining the effective and efficient operation of microwave ovens. It encompasses working safely, applying knowledge of microwave ovens, following service manuals, testing appliance function, locating and rectifying faults and defective</w:t>
            </w:r>
            <w:r w:rsidRPr="001C48DE">
              <w:t xml:space="preserve"> components and completing the necessary service documentation.</w:t>
            </w:r>
          </w:p>
        </w:tc>
      </w:tr>
    </w:tbl>
    <w:p w:rsidR="00492239" w:rsidP="001C48DE">
      <w:pPr>
        <w:pStyle w:val="BodyText"/>
      </w:pPr>
    </w:p>
    <w:p w:rsidR="00492239" w:rsidP="001C48DE">
      <w:pPr>
        <w:pStyle w:val="BodyText"/>
      </w:pPr>
    </w:p>
    <w:p w:rsidR="00000000" w:rsidRPr="001C48DE" w:rsidP="001C48DE">
      <w:pPr>
        <w:pStyle w:val="Heading1"/>
      </w:pPr>
      <w:bookmarkStart w:id="3" w:name="O_709898"/>
      <w:bookmarkEnd w:id="3"/>
      <w:r w:rsidRPr="001C48DE">
        <w:t>Application of the Unit</w:t>
      </w:r>
    </w:p>
    <w:tbl>
      <w:tblPr>
        <w:tblW w:w="0" w:type="auto"/>
        <w:tblLayout w:type="fixed"/>
        <w:tblCellMar>
          <w:left w:w="62" w:type="dxa"/>
          <w:right w:w="62" w:type="dxa"/>
        </w:tblCellMar>
        <w:tblLook w:val="0000"/>
      </w:tblPr>
      <w:tblGrid>
        <w:gridCol w:w="2700"/>
        <w:gridCol w:w="5760"/>
      </w:tblGrid>
      <w:tr w:rsidTr="004922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4</w:t>
            </w:r>
            <w:r w:rsidRPr="001C48DE">
              <w:t>)</w:t>
            </w:r>
          </w:p>
        </w:tc>
      </w:tr>
      <w:tr w:rsidTr="004922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This unit is intended for competency development entry-level employment-based programs incorporated in approved contrac</w:t>
            </w:r>
            <w:r w:rsidRPr="001C48DE">
              <w:t>ts of training. It may also used to augment formally acquired competencies.</w:t>
            </w:r>
          </w:p>
        </w:tc>
      </w:tr>
    </w:tbl>
    <w:p w:rsidR="00492239" w:rsidP="001C48DE">
      <w:pPr>
        <w:pStyle w:val="BodyText"/>
      </w:pPr>
    </w:p>
    <w:p w:rsidR="00492239" w:rsidP="001C48DE">
      <w:pPr>
        <w:pStyle w:val="BodyText"/>
      </w:pPr>
    </w:p>
    <w:p w:rsidR="00000000" w:rsidRPr="001C48DE" w:rsidP="001C48DE">
      <w:pPr>
        <w:pStyle w:val="Heading1"/>
      </w:pPr>
      <w:bookmarkStart w:id="4" w:name="O_709897"/>
      <w:bookmarkEnd w:id="4"/>
      <w:r w:rsidRPr="001C48DE">
        <w:t>Licensing/Regulatory Information</w:t>
      </w:r>
    </w:p>
    <w:tbl>
      <w:tblPr>
        <w:tblW w:w="0" w:type="auto"/>
        <w:tblLayout w:type="fixed"/>
        <w:tblCellMar>
          <w:left w:w="62" w:type="dxa"/>
          <w:right w:w="62" w:type="dxa"/>
        </w:tblCellMar>
        <w:tblLook w:val="0000"/>
      </w:tblPr>
      <w:tblGrid>
        <w:gridCol w:w="8460"/>
      </w:tblGrid>
      <w:tr w:rsidTr="004922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1</w:t>
            </w:r>
            <w:r w:rsidRPr="001C48DE">
              <w:t>.</w:t>
            </w:r>
            <w:r w:rsidRPr="001C48DE">
              <w:rPr>
                <w:rStyle w:val="SpecialBold"/>
              </w:rPr>
              <w:t>2</w:t>
            </w:r>
            <w:r w:rsidRPr="001C48DE">
              <w:t xml:space="preserve">) </w:t>
            </w:r>
            <w:r w:rsidRPr="001C48DE">
              <w:rPr>
                <w:rStyle w:val="SpecialBold"/>
              </w:rPr>
              <w:t>License to practice</w:t>
            </w:r>
          </w:p>
        </w:tc>
      </w:tr>
      <w:tr w:rsidTr="004922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 xml:space="preserve">The skills </w:t>
            </w:r>
            <w:r w:rsidRPr="001C48DE">
              <w:t>and knowledge described in this unit require a license to practice in the workplace where appliances are connected to fixed wiring at voltage above 50 V a.c. or 120 V d.c. In some States/Territories a licence is required to practise this unit in the workpl</w:t>
            </w:r>
            <w:r w:rsidRPr="001C48DE">
              <w:t>ace subject to regulations for servicing electrical appliance. Practice in workplace and during training is also subject to regulations directly related to occupational health and safety and where applicable contracts of training such as apprenticeships.</w:t>
            </w:r>
          </w:p>
          <w:p w:rsidR="00000000" w:rsidRPr="001C48DE" w:rsidP="001C48DE">
            <w:pPr>
              <w:pStyle w:val="BodyText"/>
            </w:pPr>
            <w:r w:rsidRPr="001C48DE">
              <w:t>N</w:t>
            </w:r>
            <w:r w:rsidRPr="001C48DE">
              <w:t xml:space="preserve">ote: </w:t>
            </w:r>
            <w:r w:rsidRPr="001C48DE">
              <w:br/>
              <w:t xml:space="preserve">1. Compliance with permits may be required in various jurisdictions and typically relates to the operation of plant, machinery and equipment such as elevating work platforms, powder operated fixing tools, power operated tools, vehicles, road signage </w:t>
            </w:r>
            <w:r w:rsidRPr="001C48DE">
              <w:t>and traffic control, lifting equipment. Permits may also be required for some work environments such as confined spaces, working aloft, near live electrical apparatus and site rehabilitation.</w:t>
            </w:r>
            <w:r w:rsidRPr="001C48DE">
              <w:br/>
              <w:t xml:space="preserve">2. Compliance may be required in various jurisdictions relating </w:t>
            </w:r>
            <w:r w:rsidRPr="001C48DE">
              <w:t xml:space="preserve">to currency in First Aid, confined space, lifting and risk safety measures </w:t>
            </w:r>
          </w:p>
        </w:tc>
      </w:tr>
    </w:tbl>
    <w:p w:rsidR="00492239" w:rsidP="001C48DE">
      <w:pPr>
        <w:pStyle w:val="BodyText"/>
      </w:pPr>
    </w:p>
    <w:p w:rsidR="00492239" w:rsidP="001C48DE">
      <w:pPr>
        <w:pStyle w:val="BodyText"/>
      </w:pPr>
    </w:p>
    <w:p w:rsidR="00000000" w:rsidRPr="001C48DE" w:rsidP="001C48DE">
      <w:pPr>
        <w:pStyle w:val="Heading1"/>
      </w:pPr>
      <w:bookmarkStart w:id="5" w:name="O_709896"/>
      <w:bookmarkEnd w:id="5"/>
      <w:r w:rsidRPr="001C48DE">
        <w:t>Pre-Requisites</w:t>
      </w:r>
    </w:p>
    <w:tbl>
      <w:tblPr>
        <w:tblW w:w="0" w:type="auto"/>
        <w:tblLayout w:type="fixed"/>
        <w:tblCellMar>
          <w:left w:w="62" w:type="dxa"/>
          <w:right w:w="62" w:type="dxa"/>
        </w:tblCellMar>
        <w:tblLook w:val="0000"/>
      </w:tblPr>
      <w:tblGrid>
        <w:gridCol w:w="2700"/>
        <w:gridCol w:w="5760"/>
      </w:tblGrid>
      <w:tr w:rsidTr="004922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Prerequisite Unit</w:t>
            </w:r>
            <w:r w:rsidRPr="001C48DE">
              <w:t>(</w:t>
            </w:r>
            <w:r w:rsidRPr="001C48DE">
              <w:rPr>
                <w:rStyle w:val="SpecialBold"/>
              </w:rPr>
              <w:t>s</w:t>
            </w:r>
            <w:r w:rsidRPr="001C48DE">
              <w:t>)</w:t>
            </w:r>
          </w:p>
        </w:tc>
        <w:tc>
          <w:tcPr>
            <w:tcW w:w="576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2</w:t>
            </w:r>
            <w:r w:rsidRPr="001C48DE">
              <w:t xml:space="preserve">) </w:t>
            </w:r>
          </w:p>
        </w:tc>
      </w:tr>
      <w:tr w:rsidTr="004922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48D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2</w:t>
            </w:r>
            <w:r w:rsidRPr="001C48DE">
              <w:t>.</w:t>
            </w:r>
            <w:r w:rsidRPr="001C48DE">
              <w:rPr>
                <w:rStyle w:val="SpecialBold"/>
              </w:rPr>
              <w:t>1</w:t>
            </w:r>
            <w:r w:rsidRPr="001C48DE">
              <w:t xml:space="preserve">) </w:t>
            </w:r>
            <w:r w:rsidRPr="001C48DE">
              <w:rPr>
                <w:rStyle w:val="SpecialBold"/>
              </w:rPr>
              <w:t>Competencies</w:t>
            </w:r>
          </w:p>
        </w:tc>
      </w:tr>
      <w:tr w:rsidTr="004922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Granting competency in this unit shall be made only after competency in the following unit(s) has/have been confirmed.</w:t>
            </w:r>
          </w:p>
          <w:p w:rsidR="00000000" w:rsidRPr="001C48DE" w:rsidP="001C48DE">
            <w:pPr>
              <w:pStyle w:val="BodyText"/>
            </w:pPr>
            <w:r w:rsidRPr="001C48DE">
              <w:t xml:space="preserve">UEENEEJ154A Find and rectify faults in appliance control systems and devices </w:t>
            </w:r>
          </w:p>
          <w:p w:rsidR="00000000" w:rsidRPr="001C48DE" w:rsidP="001C48DE">
            <w:pPr>
              <w:pStyle w:val="BodyText"/>
            </w:pPr>
            <w:r w:rsidRPr="001C48DE">
              <w:t>UEENEEG006A Solve problems in single and three phase low vo</w:t>
            </w:r>
            <w:r w:rsidRPr="001C48DE">
              <w:t>ltage machines</w:t>
            </w:r>
          </w:p>
          <w:p w:rsidR="00000000" w:rsidRPr="001C48DE" w:rsidP="001C48DE">
            <w:pPr>
              <w:pStyle w:val="BodyText"/>
            </w:pPr>
            <w:r w:rsidRPr="001C48DE">
              <w:t>UEENEEE101A Apply Occupational Health and Safety regulations, codes and practices in the workplace</w:t>
            </w:r>
          </w:p>
          <w:p w:rsidR="00000000" w:rsidRPr="001C48DE" w:rsidP="001C48DE">
            <w:pPr>
              <w:pStyle w:val="BodyText"/>
            </w:pPr>
            <w:r w:rsidRPr="001C48DE">
              <w:t>UEENEEE102A Fabricate, assemble and dismantle utilities industry components</w:t>
            </w:r>
          </w:p>
          <w:p w:rsidR="00000000" w:rsidRPr="001C48DE" w:rsidP="001C48DE">
            <w:pPr>
              <w:pStyle w:val="BodyText"/>
            </w:pPr>
            <w:r w:rsidRPr="001C48DE">
              <w:t>UEENEEE104A Solve problems in d.c. circuits</w:t>
            </w:r>
          </w:p>
          <w:p w:rsidR="00000000" w:rsidRPr="001C48DE" w:rsidP="001C48DE">
            <w:pPr>
              <w:pStyle w:val="BodyText"/>
            </w:pPr>
            <w:r w:rsidRPr="001C48DE">
              <w:t>UEENEEE105A Fix and secure electrotechnology equipment</w:t>
            </w:r>
          </w:p>
          <w:p w:rsidR="00000000" w:rsidRPr="001C48DE" w:rsidP="001C48DE">
            <w:pPr>
              <w:pStyle w:val="BodyText"/>
            </w:pPr>
            <w:r w:rsidRPr="001C48DE">
              <w:t>UEENEEE107A Use drawings, diagrams, schedules, standards, codes and specifications</w:t>
            </w:r>
          </w:p>
          <w:p w:rsidR="00000000" w:rsidRPr="001C48DE" w:rsidP="001C48DE">
            <w:pPr>
              <w:pStyle w:val="BodyText"/>
            </w:pPr>
            <w:r w:rsidRPr="001C48DE">
              <w:t>UEENEEG101A Solve problems in electromagnetic devices and related circuits</w:t>
            </w:r>
          </w:p>
          <w:p w:rsidR="00000000" w:rsidRPr="001C48DE" w:rsidP="001C48DE">
            <w:pPr>
              <w:pStyle w:val="BodyText"/>
            </w:pPr>
            <w:r w:rsidRPr="001C48DE">
              <w:t>UEENEEG102A Solve problems in low voltage a</w:t>
            </w:r>
            <w:r w:rsidRPr="001C48DE">
              <w:t>.c. circuits</w:t>
            </w:r>
          </w:p>
          <w:p w:rsidR="00000000" w:rsidRPr="001C48DE" w:rsidP="001C48DE">
            <w:pPr>
              <w:pStyle w:val="BodyText"/>
            </w:pPr>
            <w:r w:rsidRPr="001C48DE">
              <w:t>UEENEEG106A Terminate cables, cords and accessories for low voltage circuits</w:t>
            </w:r>
          </w:p>
          <w:p w:rsidR="00000000" w:rsidRPr="001C48DE" w:rsidP="001C48DE">
            <w:pPr>
              <w:pStyle w:val="BodyText"/>
            </w:pPr>
            <w:r w:rsidRPr="001C48DE">
              <w:t xml:space="preserve">or </w:t>
            </w:r>
          </w:p>
          <w:p w:rsidR="00000000" w:rsidRPr="001C48DE" w:rsidP="001C48DE">
            <w:pPr>
              <w:pStyle w:val="BodyText"/>
            </w:pPr>
            <w:r w:rsidRPr="001C48DE">
              <w:t>UEENEEJ153A Find and rectify faults motors and associated controls in refrigeration and air conditioning systems</w:t>
            </w:r>
          </w:p>
          <w:p w:rsidR="00000000" w:rsidRPr="001C48DE" w:rsidP="001C48DE">
            <w:pPr>
              <w:pStyle w:val="BodyText"/>
            </w:pPr>
            <w:r w:rsidRPr="001C48DE">
              <w:t>UEENEEE107A Use drawings, diagrams, schedules, st</w:t>
            </w:r>
            <w:r w:rsidRPr="001C48DE">
              <w:t>andards, codes and specifications</w:t>
            </w:r>
          </w:p>
          <w:p w:rsidR="00000000" w:rsidRPr="001C48DE" w:rsidP="001C48DE">
            <w:pPr>
              <w:pStyle w:val="BodyText"/>
            </w:pPr>
            <w:r w:rsidRPr="001C48DE">
              <w:t>UEENEEJ103A Establish the basic operating conditions of vapour compression systems</w:t>
            </w:r>
          </w:p>
          <w:p w:rsidR="00000000" w:rsidRPr="001C48DE" w:rsidP="001C48DE">
            <w:pPr>
              <w:pStyle w:val="BodyText"/>
            </w:pPr>
            <w:r w:rsidRPr="001C48DE">
              <w:t>UEENEEJ108A Recover, pressure test, evacuate, charge and leak test refrigerants</w:t>
            </w:r>
          </w:p>
          <w:p w:rsidR="00000000" w:rsidRPr="001C48DE" w:rsidP="001C48DE">
            <w:pPr>
              <w:pStyle w:val="BodyText"/>
            </w:pPr>
            <w:r w:rsidRPr="001C48DE">
              <w:t>UEENEEJ194A Solve problems in low voltage refrigeration cir</w:t>
            </w:r>
            <w:r w:rsidRPr="001C48DE">
              <w:t>cuits</w:t>
            </w:r>
          </w:p>
          <w:p w:rsidR="00000000" w:rsidRPr="001C48DE" w:rsidP="001C48DE">
            <w:pPr>
              <w:pStyle w:val="BodyText"/>
            </w:pPr>
            <w:r w:rsidRPr="001C48DE">
              <w:t>UEENEEE101A Apply Occupational Health and Safety regulations, codes and practices in the workplace</w:t>
            </w:r>
          </w:p>
          <w:p w:rsidR="00000000" w:rsidRPr="001C48DE" w:rsidP="001C48DE">
            <w:pPr>
              <w:pStyle w:val="BodyText"/>
            </w:pPr>
            <w:r w:rsidRPr="001C48DE">
              <w:t>UEENEEE103A Solve problems in ELV single path circuits</w:t>
            </w:r>
          </w:p>
        </w:tc>
      </w:tr>
    </w:tbl>
    <w:p w:rsidR="00492239" w:rsidP="001C48DE">
      <w:pPr>
        <w:pStyle w:val="BodyText"/>
      </w:pPr>
    </w:p>
    <w:p w:rsidR="00492239" w:rsidP="001C48DE">
      <w:pPr>
        <w:pStyle w:val="BodyText"/>
      </w:pPr>
    </w:p>
    <w:p w:rsidR="00000000" w:rsidRPr="001C48DE" w:rsidP="001C48DE">
      <w:pPr>
        <w:pStyle w:val="Heading1"/>
      </w:pPr>
      <w:bookmarkStart w:id="6" w:name="O_709895"/>
      <w:bookmarkEnd w:id="6"/>
      <w:r w:rsidRPr="001C48DE">
        <w:t>Employability Skills Information</w:t>
      </w:r>
    </w:p>
    <w:tbl>
      <w:tblPr>
        <w:tblW w:w="0" w:type="auto"/>
        <w:tblLayout w:type="fixed"/>
        <w:tblCellMar>
          <w:left w:w="62" w:type="dxa"/>
          <w:right w:w="62" w:type="dxa"/>
        </w:tblCellMar>
        <w:tblLook w:val="0000"/>
      </w:tblPr>
      <w:tblGrid>
        <w:gridCol w:w="2700"/>
        <w:gridCol w:w="5760"/>
      </w:tblGrid>
      <w:tr w:rsidTr="004922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3</w:t>
            </w:r>
            <w:r w:rsidRPr="001C48DE">
              <w:t>)</w:t>
            </w:r>
          </w:p>
          <w:p w:rsidR="00000000" w:rsidRPr="001C48DE" w:rsidP="001C48DE">
            <w:pPr>
              <w:pStyle w:val="BodyText"/>
            </w:pPr>
            <w:r w:rsidRPr="001C48DE">
              <w:t>This unit contains Employability Skills</w:t>
            </w:r>
          </w:p>
          <w:p w:rsidR="00000000" w:rsidRPr="001C48DE" w:rsidP="001C48DE">
            <w:pPr>
              <w:pStyle w:val="BodyText"/>
            </w:pPr>
            <w:r w:rsidRPr="001C48DE">
              <w:t>The required outcomes described in this unit of competency contain applicable facets of Employability Skills. The Employability Skills Summary of the qualification in which this unit of competency is packaged will as</w:t>
            </w:r>
            <w:r w:rsidRPr="001C48DE">
              <w:t>sist in identifying Employability Skill requirements.</w:t>
            </w:r>
          </w:p>
        </w:tc>
      </w:tr>
    </w:tbl>
    <w:p w:rsidR="00492239" w:rsidP="001C48DE">
      <w:pPr>
        <w:pStyle w:val="BodyText"/>
      </w:pPr>
    </w:p>
    <w:p w:rsidR="00492239" w:rsidP="001C48DE">
      <w:pPr>
        <w:pStyle w:val="BodyText"/>
      </w:pPr>
    </w:p>
    <w:p w:rsidR="00000000" w:rsidRPr="001C48DE" w:rsidP="001C48DE">
      <w:pPr>
        <w:pStyle w:val="Heading1"/>
      </w:pPr>
      <w:bookmarkStart w:id="7" w:name="O_709894"/>
      <w:bookmarkEnd w:id="7"/>
      <w:r w:rsidRPr="001C48DE">
        <w:t>Elements and Performance Criteria Pre-Content</w:t>
      </w:r>
    </w:p>
    <w:tbl>
      <w:tblPr>
        <w:tblW w:w="0" w:type="auto"/>
        <w:tblLayout w:type="fixed"/>
        <w:tblCellMar>
          <w:left w:w="62" w:type="dxa"/>
          <w:right w:w="62" w:type="dxa"/>
        </w:tblCellMar>
        <w:tblLook w:val="0000"/>
      </w:tblPr>
      <w:tblGrid>
        <w:gridCol w:w="2268"/>
        <w:gridCol w:w="6240"/>
      </w:tblGrid>
      <w:tr w:rsidTr="0049223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6</w:t>
            </w:r>
            <w:r w:rsidRPr="001C48DE">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Performance criteria describe the required performance needed to demonstrate achie</w:t>
            </w:r>
            <w:r w:rsidRPr="001C48DE">
              <w:t>vement of the element. Assessment of performance is to be consistent with the evidence guide.</w:t>
            </w:r>
          </w:p>
        </w:tc>
      </w:tr>
    </w:tbl>
    <w:p w:rsidR="00000000" w:rsidRPr="001C48DE" w:rsidP="001C48DE">
      <w:pPr>
        <w:pStyle w:val="BodyText"/>
      </w:pPr>
    </w:p>
    <w:p w:rsidR="00000000" w:rsidRPr="001C48DE" w:rsidP="001C48DE">
      <w:pPr>
        <w:pStyle w:val="AllowPageBreak"/>
      </w:pPr>
    </w:p>
    <w:p w:rsidR="00000000" w:rsidRPr="001C48DE" w:rsidP="001C48DE">
      <w:pPr>
        <w:pStyle w:val="Heading1"/>
      </w:pPr>
      <w:bookmarkStart w:id="8" w:name="O_709893"/>
      <w:bookmarkEnd w:id="8"/>
      <w:r w:rsidRPr="001C48DE">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492239">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PERFORMANCE CRITERIA</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1</w:t>
            </w:r>
          </w:p>
        </w:tc>
        <w:tc>
          <w:tcPr>
            <w:tcW w:w="1728" w:type="dxa"/>
            <w:vMerge w:val="restart"/>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Prepare to service microwave ovens.</w:t>
            </w: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1.1</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OHS procedures for a given</w:t>
            </w:r>
            <w:r w:rsidRPr="001C48DE">
              <w:t xml:space="preserve"> work area are identified, obtained and understood</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1.2</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OHS risk control measures and procedures in preparation for the work are followed</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1.3</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The extent of work to be undertaken is determined from service/fault request and/or discussions with appropriate person(s)</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1.4</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Advice is sought from the work supervisor to ensure the work is coordinated effectively with others</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1.5</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Sources of material</w:t>
            </w:r>
            <w:r w:rsidRPr="001C48DE">
              <w:t>s/parts that may be required for the work are established in accordance with established procedures</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1.6</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 xml:space="preserve">Tools, equipment and testing devices needed to locate faults are obtained in accordance with established procedures and checked for correct </w:t>
            </w:r>
            <w:r w:rsidRPr="001C48DE">
              <w:t>operation and safety</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w:t>
            </w:r>
          </w:p>
        </w:tc>
        <w:tc>
          <w:tcPr>
            <w:tcW w:w="1728"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Service microwave ovens</w:t>
            </w: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2.1</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OHS risk control measures and procedures for carrying out the work are followed</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2.2</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The need to test or measure live is determined in strict accordance with OHS requirements and when necessary conducte</w:t>
            </w:r>
            <w:r w:rsidRPr="001C48DE">
              <w:t>d within established safety procedures</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2.3</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Appliance is checked as being correctly isolated where necessary in strict accordance OHS requirements and procedures</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2.4</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Safety hazards resulting from the defect or fault are documented and risk control measures devised and implemented in consultation with appropriate personnel</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2.5</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Appliances are tested for efficient operation and components affecting efficiency are inspected for wear or defects in accordance with standards, manufacturer service manuals and industry codes of practice</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2.6</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Appliance faults and their cause are identi</w:t>
            </w:r>
            <w:r w:rsidRPr="001C48DE">
              <w:t>fied through the application of refrigerated appliances and using measured and calculated values of appliance parameters</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2.7</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Appliance is dismantled where necessary and parts stored to protect them against loss or damage</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2.8</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Defective, worn or faulty</w:t>
            </w:r>
            <w:r w:rsidRPr="001C48DE">
              <w:t xml:space="preserve"> appliance components are rechecked and their status confirmed</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2.9</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Replacement parts required to rectify defects/faults are sourced and obtained in accordance with established procedures</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2.10</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Effectiveness of the repair is tested in accordance with established procedures</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2.11</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Apparatus is reassembled, finally tested and prepared for return to service</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2.12</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Unexpected situations are dealt with safely and with the approval of an authorised p</w:t>
            </w:r>
            <w:r w:rsidRPr="001C48DE">
              <w:t>erson</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2.13</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Servicing activities are carried out without damage to apparatus, circuits, the surrounding environment or services and using sustainable energy practices</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3</w:t>
            </w:r>
          </w:p>
        </w:tc>
        <w:tc>
          <w:tcPr>
            <w:tcW w:w="1728" w:type="dxa"/>
            <w:vMerge w:val="restart"/>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3.1</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OHS risk control work completion measures and procedures are followed</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3.2</w:t>
            </w:r>
          </w:p>
        </w:tc>
        <w:tc>
          <w:tcPr>
            <w:tcW w:w="53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Work site is cleaned and made safe in accordance with established procedures</w:t>
            </w:r>
          </w:p>
        </w:tc>
      </w:tr>
      <w:tr w:rsidTr="0049223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3.3</w:t>
            </w:r>
          </w:p>
        </w:tc>
        <w:tc>
          <w:tcPr>
            <w:tcW w:w="534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Service report is completed and verified by an appropriate person in accordance with established procedures</w:t>
            </w:r>
          </w:p>
        </w:tc>
      </w:tr>
    </w:tbl>
    <w:p w:rsidR="00492239" w:rsidP="001C48DE">
      <w:pPr>
        <w:pStyle w:val="BodyText"/>
      </w:pPr>
    </w:p>
    <w:p w:rsidR="00492239" w:rsidP="001C48DE">
      <w:pPr>
        <w:pStyle w:val="BodyText"/>
      </w:pPr>
    </w:p>
    <w:p w:rsidR="00000000" w:rsidRPr="001C48DE" w:rsidP="001C48DE">
      <w:pPr>
        <w:pStyle w:val="Heading1"/>
      </w:pPr>
      <w:bookmarkStart w:id="9" w:name="O_709892"/>
      <w:bookmarkEnd w:id="9"/>
      <w:r w:rsidRPr="001C48DE">
        <w:t>Required Skills and Knowledge</w:t>
      </w:r>
    </w:p>
    <w:tbl>
      <w:tblPr>
        <w:tblW w:w="0" w:type="auto"/>
        <w:tblLayout w:type="fixed"/>
        <w:tblCellMar>
          <w:left w:w="62" w:type="dxa"/>
          <w:right w:w="62" w:type="dxa"/>
        </w:tblCellMar>
        <w:tblLook w:val="0000"/>
      </w:tblPr>
      <w:tblGrid>
        <w:gridCol w:w="8508"/>
      </w:tblGrid>
      <w:tr w:rsidTr="00492239">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REQUIRED SKILLS AND KNOWLEDGE</w:t>
            </w:r>
          </w:p>
        </w:tc>
      </w:tr>
      <w:tr w:rsidTr="00492239">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7)</w:t>
            </w:r>
            <w:r w:rsidRPr="001C48DE">
              <w:t xml:space="preserve"> T</w:t>
            </w:r>
            <w:r w:rsidRPr="001C48DE">
              <w:t>his describes the essential skills and knowledge and their level, required for this unit.</w:t>
            </w:r>
          </w:p>
        </w:tc>
      </w:tr>
      <w:tr w:rsidTr="00492239">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 xml:space="preserve">Evidence shall show that knowledge has been acquired of safe working practices and servicing microwave ovens. </w:t>
            </w:r>
          </w:p>
          <w:p w:rsidR="00000000" w:rsidRPr="001C48DE" w:rsidP="001C48DE">
            <w:pPr>
              <w:pStyle w:val="BodyText"/>
            </w:pPr>
            <w:r w:rsidRPr="001C48DE">
              <w:t xml:space="preserve">All knowledge and skills detailed in this unit should </w:t>
            </w:r>
            <w:r w:rsidRPr="001C48DE">
              <w:t>be contextualised to current industry practices and technologies.</w:t>
            </w:r>
          </w:p>
          <w:p w:rsidR="00000000" w:rsidRPr="001C48DE" w:rsidP="001C48DE">
            <w:pPr>
              <w:pStyle w:val="BodyText"/>
            </w:pPr>
            <w:r w:rsidRPr="001C48DE">
              <w:rPr>
                <w:rStyle w:val="SpecialBold"/>
              </w:rPr>
              <w:t>KS01-EJ173A</w:t>
            </w:r>
            <w:r w:rsidRPr="001C48DE">
              <w:rPr>
                <w:rStyle w:val="SpecialBold"/>
              </w:rPr>
              <w:tab/>
              <w:t xml:space="preserve">               Microwave ovens</w:t>
            </w:r>
          </w:p>
          <w:p w:rsidR="00000000" w:rsidRPr="001C48DE" w:rsidP="001C48DE">
            <w:pPr>
              <w:pStyle w:val="BodyText"/>
            </w:pPr>
            <w:r w:rsidRPr="001C48DE">
              <w:t>Evidence shall show an understanding of microwave ovens, applying safe working practices and relevant Standards, Codes and Regulations to an extent</w:t>
            </w:r>
            <w:r w:rsidRPr="001C48DE">
              <w:t xml:space="preserve"> indicated by the following aspects:</w:t>
            </w:r>
          </w:p>
          <w:p w:rsidR="00000000" w:rsidRPr="001C48DE" w:rsidP="001C48DE">
            <w:pPr>
              <w:pStyle w:val="BodyText"/>
            </w:pPr>
            <w:r w:rsidRPr="001C48DE">
              <w:t>T1          Microwave cooking basics encompassing:</w:t>
            </w:r>
          </w:p>
          <w:p w:rsidR="00000000" w:rsidRPr="001C48DE" w:rsidP="001C48DE">
            <w:pPr>
              <w:pStyle w:val="ListBullet"/>
            </w:pPr>
            <w:r w:rsidRPr="001C48DE">
              <w:t xml:space="preserve">Properties of microwaves </w:t>
            </w:r>
          </w:p>
          <w:p w:rsidR="00000000" w:rsidRPr="001C48DE" w:rsidP="001C48DE">
            <w:pPr>
              <w:pStyle w:val="ListBullet"/>
            </w:pPr>
            <w:r w:rsidRPr="001C48DE">
              <w:t xml:space="preserve">Biological effects of microwaves </w:t>
            </w:r>
          </w:p>
          <w:p w:rsidR="00000000" w:rsidRPr="001C48DE" w:rsidP="001C48DE">
            <w:pPr>
              <w:pStyle w:val="ListBullet"/>
            </w:pPr>
            <w:r w:rsidRPr="001C48DE">
              <w:t>Fundamental microwave oven operations</w:t>
            </w:r>
          </w:p>
          <w:p w:rsidR="00000000" w:rsidRPr="001C48DE" w:rsidP="001C48DE">
            <w:pPr>
              <w:pStyle w:val="BodyText"/>
            </w:pPr>
            <w:r w:rsidRPr="001C48DE">
              <w:t>T2          Microwave oven performance encompassing:</w:t>
            </w:r>
          </w:p>
          <w:p w:rsidR="00000000" w:rsidRPr="001C48DE" w:rsidP="001C48DE">
            <w:pPr>
              <w:pStyle w:val="ListBullet"/>
            </w:pPr>
            <w:r w:rsidRPr="001C48DE">
              <w:t xml:space="preserve">Radiation leakage </w:t>
            </w:r>
          </w:p>
          <w:p w:rsidR="00000000" w:rsidRPr="001C48DE" w:rsidP="001C48DE">
            <w:pPr>
              <w:pStyle w:val="ListBullet"/>
            </w:pPr>
            <w:r w:rsidRPr="001C48DE">
              <w:t xml:space="preserve">Power output measurement </w:t>
            </w:r>
          </w:p>
          <w:p w:rsidR="00000000" w:rsidRPr="001C48DE" w:rsidP="001C48DE">
            <w:pPr>
              <w:pStyle w:val="ListBullet"/>
            </w:pPr>
            <w:r w:rsidRPr="001C48DE">
              <w:t xml:space="preserve">Oven leakage safety system </w:t>
            </w:r>
          </w:p>
          <w:p w:rsidR="00000000" w:rsidRPr="001C48DE" w:rsidP="001C48DE">
            <w:pPr>
              <w:pStyle w:val="ListBullet"/>
            </w:pPr>
            <w:r w:rsidRPr="001C48DE">
              <w:t xml:space="preserve">Magnetron tests and measurements </w:t>
            </w:r>
          </w:p>
          <w:p w:rsidR="00000000" w:rsidRPr="001C48DE" w:rsidP="001C48DE">
            <w:pPr>
              <w:pStyle w:val="ListBullet"/>
            </w:pPr>
            <w:r w:rsidRPr="001C48DE">
              <w:t xml:space="preserve">Interlocks </w:t>
            </w:r>
          </w:p>
          <w:p w:rsidR="00000000" w:rsidRPr="001C48DE" w:rsidP="001C48DE">
            <w:pPr>
              <w:pStyle w:val="ListBullet"/>
            </w:pPr>
            <w:r w:rsidRPr="001C48DE">
              <w:t xml:space="preserve">Thermal cut outs and thermostats </w:t>
            </w:r>
          </w:p>
          <w:p w:rsidR="00000000" w:rsidRPr="001C48DE" w:rsidP="001C48DE">
            <w:pPr>
              <w:pStyle w:val="ListBullet"/>
            </w:pPr>
            <w:r w:rsidRPr="001C48DE">
              <w:t xml:space="preserve">Stirrer cooling and turntable systems </w:t>
            </w:r>
          </w:p>
          <w:p w:rsidR="00000000" w:rsidRPr="001C48DE" w:rsidP="001C48DE">
            <w:pPr>
              <w:pStyle w:val="BodyText"/>
            </w:pPr>
            <w:r w:rsidRPr="001C48DE">
              <w:t>T3         Power control systems encompassing:</w:t>
            </w:r>
          </w:p>
          <w:p w:rsidR="00000000" w:rsidRPr="001C48DE" w:rsidP="001C48DE">
            <w:pPr>
              <w:pStyle w:val="ListBullet"/>
            </w:pPr>
            <w:r w:rsidRPr="001C48DE">
              <w:t>Hazards of micro</w:t>
            </w:r>
            <w:r w:rsidRPr="001C48DE">
              <w:t xml:space="preserve">waves and associated high voltages </w:t>
            </w:r>
          </w:p>
          <w:p w:rsidR="00000000" w:rsidRPr="001C48DE" w:rsidP="001C48DE">
            <w:pPr>
              <w:pStyle w:val="ListBullet"/>
            </w:pPr>
            <w:r w:rsidRPr="001C48DE">
              <w:t xml:space="preserve">High/low power selection </w:t>
            </w:r>
          </w:p>
          <w:p w:rsidR="00000000" w:rsidRPr="001C48DE" w:rsidP="001C48DE">
            <w:pPr>
              <w:pStyle w:val="ListBullet"/>
            </w:pPr>
            <w:r w:rsidRPr="001C48DE">
              <w:t xml:space="preserve">Duty cycle control systems </w:t>
            </w:r>
          </w:p>
          <w:p w:rsidR="00000000" w:rsidRPr="001C48DE" w:rsidP="001C48DE">
            <w:pPr>
              <w:pStyle w:val="ListBullet"/>
            </w:pPr>
            <w:r w:rsidRPr="001C48DE">
              <w:t xml:space="preserve">Basic circuit diagrams </w:t>
            </w:r>
          </w:p>
          <w:p w:rsidR="00000000" w:rsidRPr="001C48DE" w:rsidP="001C48DE">
            <w:pPr>
              <w:pStyle w:val="ListBullet"/>
            </w:pPr>
            <w:r w:rsidRPr="001C48DE">
              <w:t xml:space="preserve">New microwave oven technology such as inverter microwave ovens </w:t>
            </w:r>
          </w:p>
          <w:p w:rsidR="00000000" w:rsidRPr="001C48DE" w:rsidP="001C48DE">
            <w:pPr>
              <w:pStyle w:val="BodyText"/>
            </w:pPr>
            <w:r w:rsidRPr="001C48DE">
              <w:t>T4         Auto-cook facilities encompassing:</w:t>
            </w:r>
          </w:p>
          <w:p w:rsidR="00000000" w:rsidRPr="001C48DE" w:rsidP="001C48DE">
            <w:pPr>
              <w:pStyle w:val="ListBullet"/>
            </w:pPr>
            <w:r w:rsidRPr="001C48DE">
              <w:t>Temperature control cooking sys</w:t>
            </w:r>
            <w:r w:rsidRPr="001C48DE">
              <w:t xml:space="preserve">tems </w:t>
            </w:r>
          </w:p>
          <w:p w:rsidR="00000000" w:rsidRPr="001C48DE" w:rsidP="001C48DE">
            <w:pPr>
              <w:pStyle w:val="ListBullet"/>
            </w:pPr>
            <w:r w:rsidRPr="001C48DE">
              <w:t xml:space="preserve">Humidity sensor cooking systems </w:t>
            </w:r>
          </w:p>
          <w:p w:rsidR="00000000" w:rsidRPr="001C48DE" w:rsidP="001C48DE">
            <w:pPr>
              <w:pStyle w:val="ListBullet"/>
            </w:pPr>
            <w:r w:rsidRPr="001C48DE">
              <w:t xml:space="preserve">Infrared sensor cooking systems </w:t>
            </w:r>
          </w:p>
          <w:p w:rsidR="00000000" w:rsidRPr="001C48DE" w:rsidP="001C48DE">
            <w:pPr>
              <w:pStyle w:val="ListBullet"/>
            </w:pPr>
            <w:r w:rsidRPr="001C48DE">
              <w:t xml:space="preserve">Convection microwave oven systems </w:t>
            </w:r>
          </w:p>
          <w:p w:rsidR="00000000" w:rsidRPr="001C48DE" w:rsidP="001C48DE">
            <w:pPr>
              <w:pStyle w:val="BodyText"/>
            </w:pPr>
            <w:r w:rsidRPr="001C48DE">
              <w:t>T5         Service, fault finding and repair encompassing:</w:t>
            </w:r>
          </w:p>
          <w:p w:rsidR="00000000" w:rsidRPr="001C48DE" w:rsidP="001C48DE">
            <w:pPr>
              <w:pStyle w:val="ListBullet"/>
            </w:pPr>
            <w:r w:rsidRPr="001C48DE">
              <w:t xml:space="preserve">Manufacturers' data </w:t>
            </w:r>
          </w:p>
          <w:p w:rsidR="00000000" w:rsidRPr="001C48DE" w:rsidP="001C48DE">
            <w:pPr>
              <w:pStyle w:val="ListBullet"/>
            </w:pPr>
            <w:r w:rsidRPr="001C48DE">
              <w:t xml:space="preserve">Safety checks </w:t>
            </w:r>
          </w:p>
          <w:p w:rsidR="00000000" w:rsidRPr="001C48DE" w:rsidP="001C48DE">
            <w:pPr>
              <w:pStyle w:val="ListBullet"/>
            </w:pPr>
            <w:r w:rsidRPr="001C48DE">
              <w:t xml:space="preserve">Operating sequence </w:t>
            </w:r>
          </w:p>
          <w:p w:rsidR="00000000" w:rsidRPr="001C48DE" w:rsidP="001C48DE">
            <w:pPr>
              <w:pStyle w:val="ListBullet"/>
            </w:pPr>
            <w:r w:rsidRPr="001C48DE">
              <w:t xml:space="preserve">Typical fault symptoms </w:t>
            </w:r>
          </w:p>
          <w:p w:rsidR="00000000" w:rsidRPr="001C48DE" w:rsidP="001C48DE">
            <w:pPr>
              <w:pStyle w:val="ListBullet"/>
            </w:pPr>
            <w:r w:rsidRPr="001C48DE">
              <w:t xml:space="preserve">Test equipment </w:t>
            </w:r>
          </w:p>
          <w:p w:rsidR="00000000" w:rsidRPr="001C48DE" w:rsidP="001C48DE">
            <w:pPr>
              <w:pStyle w:val="ListBullet"/>
            </w:pPr>
            <w:r w:rsidRPr="001C48DE">
              <w:t xml:space="preserve">Fault identification </w:t>
            </w:r>
          </w:p>
          <w:p w:rsidR="00000000" w:rsidRPr="001C48DE" w:rsidP="001C48DE">
            <w:pPr>
              <w:pStyle w:val="ListBullet"/>
            </w:pPr>
            <w:r w:rsidRPr="001C48DE">
              <w:t xml:space="preserve">Fault location using test equipment and service manuals </w:t>
            </w:r>
          </w:p>
          <w:p w:rsidR="00000000" w:rsidRPr="001C48DE" w:rsidP="001C48DE">
            <w:pPr>
              <w:pStyle w:val="ListBullet"/>
            </w:pPr>
            <w:r w:rsidRPr="001C48DE">
              <w:t>Repairs techniques</w:t>
            </w:r>
          </w:p>
        </w:tc>
      </w:tr>
    </w:tbl>
    <w:p w:rsidR="00492239" w:rsidP="001C48DE">
      <w:pPr>
        <w:pStyle w:val="BodyText"/>
      </w:pPr>
    </w:p>
    <w:p w:rsidR="00492239" w:rsidP="001C48DE">
      <w:pPr>
        <w:pStyle w:val="BodyText"/>
      </w:pPr>
    </w:p>
    <w:p w:rsidR="00000000" w:rsidRPr="001C48DE" w:rsidP="001C48DE">
      <w:pPr>
        <w:pStyle w:val="Heading1"/>
      </w:pPr>
      <w:bookmarkStart w:id="10" w:name="O_709891"/>
      <w:bookmarkEnd w:id="10"/>
      <w:r w:rsidRPr="001C48DE">
        <w:t>Evidence Guide</w:t>
      </w:r>
    </w:p>
    <w:tbl>
      <w:tblPr>
        <w:tblW w:w="0" w:type="auto"/>
        <w:tblLayout w:type="fixed"/>
        <w:tblCellMar>
          <w:left w:w="62" w:type="dxa"/>
          <w:right w:w="62" w:type="dxa"/>
        </w:tblCellMar>
        <w:tblLook w:val="0000"/>
      </w:tblPr>
      <w:tblGrid>
        <w:gridCol w:w="2160"/>
        <w:gridCol w:w="288"/>
        <w:gridCol w:w="540"/>
        <w:gridCol w:w="5520"/>
      </w:tblGrid>
      <w:tr w:rsidTr="00492239">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EVIDENCE GUIDE</w:t>
            </w:r>
          </w:p>
        </w:tc>
      </w:tr>
      <w:tr w:rsidTr="00492239">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9</w:t>
            </w:r>
            <w:r w:rsidRPr="001C48DE">
              <w:t>) The evidence guide provides advice on assessment and must be read in conjunction with the Performance Criteria, Required Skills and Knowledge, the Range Statement and the Assessment Guidelines for this Training Package. .</w:t>
            </w:r>
          </w:p>
          <w:p w:rsidR="00000000" w:rsidP="001C48DE">
            <w:pPr>
              <w:pStyle w:val="BodyText"/>
              <w:rPr>
                <w:lang w:val="en-NZ"/>
              </w:rPr>
            </w:pPr>
            <w:r w:rsidRPr="001C48DE">
              <w:t>The Evidence Guide forms an inte</w:t>
            </w:r>
            <w:r w:rsidRPr="001C48DE">
              <w:t>gral part of this Unit. It must be used in conjunction with all parts of this unit and performed in accordance with the Assessment Guidelines of this Training Package.</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9</w:t>
            </w:r>
            <w:r w:rsidRPr="001C48DE">
              <w:t>.</w:t>
            </w:r>
            <w:r w:rsidRPr="001C48DE">
              <w:rPr>
                <w:rStyle w:val="SpecialBold"/>
              </w:rPr>
              <w:t>1</w:t>
            </w:r>
            <w:r w:rsidRPr="001C48DE">
              <w:t xml:space="preserve">) </w:t>
            </w:r>
          </w:p>
          <w:p w:rsidR="00000000" w:rsidRPr="001C48DE" w:rsidP="001C48DE">
            <w:pPr>
              <w:pStyle w:val="BodyText"/>
            </w:pPr>
            <w:r w:rsidRPr="001C48DE">
              <w:t>Longitudinal competency development approaches to asses</w:t>
            </w:r>
            <w:r w:rsidRPr="001C48DE">
              <w:t>sment, such as Profiling, require data to be reliably gathered in a form that can be consistently interpreted over time. This approach is best utilised in Apprenticeship programs and reduces assessment intervention. It is the industry-preferred model for a</w:t>
            </w:r>
            <w:r w:rsidRPr="001C48DE">
              <w:t>pprenticeships. However, where summative (or final) assessment is used it is to include the application of the competency in the normal work environment or, at a minimum, the application of the competency in a realistically simulated work environment. In s</w:t>
            </w:r>
            <w:r w:rsidRPr="001C48DE">
              <w:t>ome circumstances, assessment in part or full can occur outside the workplace. However, it must be in accordance with industry and regulatory policy.</w:t>
            </w:r>
          </w:p>
          <w:p w:rsidR="00000000" w:rsidRPr="001C48DE" w:rsidP="001C48DE">
            <w:pPr>
              <w:pStyle w:val="BodyText"/>
            </w:pPr>
            <w:r w:rsidRPr="001C48DE">
              <w:t>Methods chosen for a particular assessment will be influenced by various factors. These include the extent</w:t>
            </w:r>
            <w:r w:rsidRPr="001C48DE">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1C48DE" w:rsidP="001C48DE">
            <w:pPr>
              <w:pStyle w:val="BodyText"/>
            </w:pPr>
            <w:r w:rsidRPr="001C48DE">
              <w:t>The critical safety natu</w:t>
            </w:r>
            <w:r w:rsidRPr="001C48DE">
              <w:t>re of working with electricity, electrical equipment, gas or any other hazardous substance/material carries risk in deeming a person competent. Sources of evidence need to be 'rich' in nature to minimise error in judgment.</w:t>
            </w:r>
          </w:p>
          <w:p w:rsidR="00000000" w:rsidP="001C48DE">
            <w:pPr>
              <w:pStyle w:val="BodyText"/>
              <w:rPr>
                <w:lang w:val="en-NZ"/>
              </w:rPr>
            </w:pPr>
            <w:r w:rsidRPr="001C48DE">
              <w:t>Activities associated with normal</w:t>
            </w:r>
            <w:r w:rsidRPr="001C48DE">
              <w:t xml:space="preserve"> everyday work influence decisions about how/how much the data gathered will contribute to its 'richness'. Some skills are more critical to safety and operational requirements while the same skills may be more or less frequently practised. These points are</w:t>
            </w:r>
            <w:r w:rsidRPr="001C48DE">
              <w:t xml:space="preserve"> raised for the assessors to consider when choosing an assessment method and developing assessment instruments. Sample assessment instruments are included for Assessors in the Assessment Guidelines of this Training Package.</w:t>
            </w:r>
          </w:p>
        </w:tc>
      </w:tr>
      <w:tr w:rsidTr="0049223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Critical</w:t>
            </w:r>
            <w:r w:rsidRPr="001C48DE">
              <w:rPr>
                <w:rStyle w:val="SpecialBold"/>
              </w:rPr>
              <w:t xml:space="preserve"> aspects of evidence required to demonstrate 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9</w:t>
            </w:r>
            <w:r w:rsidRPr="001C48DE">
              <w:t>.</w:t>
            </w:r>
            <w:r w:rsidRPr="001C48DE">
              <w:rPr>
                <w:rStyle w:val="SpecialBold"/>
              </w:rPr>
              <w:t>2</w:t>
            </w:r>
            <w:r w:rsidRPr="001C48DE">
              <w:t xml:space="preserve">) </w:t>
            </w:r>
          </w:p>
          <w:p w:rsidR="00000000" w:rsidP="001C48DE">
            <w:pPr>
              <w:pStyle w:val="BodyText"/>
              <w:rPr>
                <w:lang w:val="en-NZ"/>
              </w:rPr>
            </w:pPr>
            <w:r w:rsidRPr="001C48DE">
              <w:t>Before the critical aspects of evidence are considered all prerequisites must be met.</w:t>
            </w:r>
          </w:p>
        </w:tc>
      </w:tr>
      <w:tr w:rsidTr="0049223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Evidence for competence in this unit shall be considered holistically.  Each Element and as</w:t>
            </w:r>
            <w:r w:rsidRPr="001C48DE">
              <w:t>sociated performance criteria shall be demonstrated on at least two occasions in accordance with the 'Assessment Guidelines - UEE07'.  Evidence shall also comprise:</w:t>
            </w:r>
          </w:p>
          <w:p w:rsidR="00000000" w:rsidP="001C48DE">
            <w:pPr>
              <w:pStyle w:val="ListBullet"/>
              <w:rPr>
                <w:lang w:val="en-NZ"/>
              </w:rPr>
            </w:pPr>
            <w:r w:rsidRPr="001C48DE">
              <w:t>A representative body of work performance demonstrated within the timeframes typically exp</w:t>
            </w:r>
            <w:r w:rsidRPr="001C48DE">
              <w:t>ected of the discipline, work function and industrial environment. In particular this shall incorporate evidence that shows a candidate is able to:</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1C48DE" w:rsidP="001C48DE">
            <w:pPr>
              <w:pStyle w:val="ListBullet2"/>
            </w:pPr>
            <w:r w:rsidRPr="001C48DE">
              <w:t xml:space="preserve">Implement Occupational Health and Safety workplace procedures and practices including </w:t>
            </w:r>
            <w:r w:rsidRPr="001C48DE">
              <w:t>the use of risk control measures as specified in the performance criteria and range statement</w:t>
            </w:r>
          </w:p>
          <w:p w:rsidR="00000000" w:rsidRPr="001C48DE" w:rsidP="001C48DE">
            <w:pPr>
              <w:pStyle w:val="ListBullet2"/>
            </w:pPr>
            <w:r w:rsidRPr="001C48DE">
              <w:t>Apply sustainable energy principles and practices as specified in the performance criteria and range statement</w:t>
            </w:r>
          </w:p>
          <w:p w:rsidR="00000000" w:rsidRPr="001C48DE" w:rsidP="001C48DE">
            <w:pPr>
              <w:pStyle w:val="ListBullet2"/>
            </w:pPr>
            <w:r w:rsidRPr="001C48DE">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1C48DE" w:rsidP="001C48DE">
            <w:pPr>
              <w:pStyle w:val="ListBullet2"/>
            </w:pPr>
            <w:r w:rsidRPr="001C48DE">
              <w:t>Demonst</w:t>
            </w:r>
            <w:r w:rsidRPr="001C48DE">
              <w:t>rate an appropriate level of skills enabling employment</w:t>
            </w:r>
          </w:p>
          <w:p w:rsidR="00000000" w:rsidP="001C48DE">
            <w:pPr>
              <w:pStyle w:val="ListBullet2"/>
              <w:rPr>
                <w:lang w:val="en-NZ"/>
              </w:rPr>
            </w:pPr>
            <w:r w:rsidRPr="001C48DE">
              <w:t>Conduct work observing the relevant Anti Discrimination legislation, regulations, polices and workplace procedures</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1C48DE">
            <w:pPr>
              <w:pStyle w:val="ListBullet"/>
              <w:rPr>
                <w:lang w:val="en-NZ"/>
              </w:rPr>
            </w:pPr>
            <w:r w:rsidRPr="001C48DE">
              <w:t>Demonstrated consistent performance across a representative range of contexts fr</w:t>
            </w:r>
            <w:r w:rsidRPr="001C48DE">
              <w:t>om the prescribed items below:</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1C48DE">
            <w:pPr>
              <w:pStyle w:val="ListBullet2"/>
              <w:rPr>
                <w:lang w:val="en-NZ"/>
              </w:rPr>
            </w:pPr>
            <w:r w:rsidRPr="001C48DE">
              <w:t>Service microwave ovens as described in 8) and including:</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A</w:t>
            </w:r>
          </w:p>
        </w:tc>
        <w:tc>
          <w:tcPr>
            <w:tcW w:w="552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Determining the nature of the work from service request</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B</w:t>
            </w:r>
          </w:p>
        </w:tc>
        <w:tc>
          <w:tcPr>
            <w:tcW w:w="552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Identifying defective components affecting appliance efficiency</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C</w:t>
            </w:r>
          </w:p>
        </w:tc>
        <w:tc>
          <w:tcPr>
            <w:tcW w:w="552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Finding faults efficiently</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D</w:t>
            </w:r>
          </w:p>
        </w:tc>
        <w:tc>
          <w:tcPr>
            <w:tcW w:w="552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Rectifying defects/faults effectively</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E</w:t>
            </w:r>
          </w:p>
        </w:tc>
        <w:tc>
          <w:tcPr>
            <w:tcW w:w="552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Testing appliance functions effectively</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F</w:t>
            </w:r>
          </w:p>
        </w:tc>
        <w:tc>
          <w:tcPr>
            <w:tcW w:w="552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Completing service report accurately</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G</w:t>
            </w:r>
          </w:p>
        </w:tc>
        <w:tc>
          <w:tcPr>
            <w:tcW w:w="552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Dealing with unplanned events by drawing on essential knowledge and skills to provide appropriate solutions incorporated in the holistic assessment with the above listed items</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9</w:t>
            </w:r>
            <w:r w:rsidRPr="001C48DE">
              <w:t>.</w:t>
            </w:r>
            <w:r w:rsidRPr="001C48DE">
              <w:rPr>
                <w:rStyle w:val="SpecialBold"/>
              </w:rPr>
              <w:t>3</w:t>
            </w:r>
            <w:r w:rsidRPr="001C48DE">
              <w:t xml:space="preserve">) </w:t>
            </w:r>
          </w:p>
          <w:p w:rsidR="00000000" w:rsidRPr="001C48DE" w:rsidP="001C48DE">
            <w:pPr>
              <w:pStyle w:val="BodyText"/>
            </w:pPr>
            <w:r w:rsidRPr="001C48DE">
              <w:t>This unit should be asse</w:t>
            </w:r>
            <w:r w:rsidRPr="001C48DE">
              <w:t>ssed as it relates to normal work practice using procedures, information and resources typical of a workplace. This should include:</w:t>
            </w:r>
          </w:p>
          <w:p w:rsidR="00000000" w:rsidRPr="001C48DE" w:rsidP="001C48DE">
            <w:pPr>
              <w:pStyle w:val="ListBullet"/>
            </w:pPr>
            <w:r w:rsidRPr="001C48DE">
              <w:t>OHS policy and work procedures and instructions.</w:t>
            </w:r>
          </w:p>
          <w:p w:rsidR="00000000" w:rsidRPr="001C48DE" w:rsidP="001C48DE">
            <w:pPr>
              <w:pStyle w:val="ListBullet"/>
            </w:pPr>
            <w:r w:rsidRPr="001C48DE">
              <w:t>Suitable work environment, facilities, equipment and materials to undertak</w:t>
            </w:r>
            <w:r w:rsidRPr="001C48DE">
              <w:t>e actual work as prescribed by this unit.</w:t>
            </w:r>
          </w:p>
          <w:p w:rsidR="00000000" w:rsidRPr="001C48DE" w:rsidP="001C48DE">
            <w:pPr>
              <w:pStyle w:val="BodyText"/>
            </w:pPr>
            <w:r w:rsidRPr="001C48DE">
              <w:t>These should be part of the formal learning/assessment environment.</w:t>
            </w:r>
          </w:p>
          <w:p w:rsidR="00000000" w:rsidRPr="001C48DE" w:rsidP="001C48DE">
            <w:pPr>
              <w:pStyle w:val="BodyText"/>
            </w:pPr>
            <w:r w:rsidRPr="001C48DE">
              <w:t>Note:</w:t>
            </w:r>
          </w:p>
          <w:p w:rsidR="00000000" w:rsidP="001C48DE">
            <w:pPr>
              <w:pStyle w:val="BodyText"/>
              <w:rPr>
                <w:lang w:val="en-NZ"/>
              </w:rPr>
            </w:pPr>
            <w:r w:rsidRPr="001C48DE">
              <w:t>Where simulation is con</w:t>
            </w:r>
            <w:r w:rsidRPr="001C48DE">
              <w:t>sidered a suitable strategy for assessment, conditions must be authentic and as far as possible reproduce and replicate the workplace and be consistent with the approved industry simulation policy.</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Evidence should show demonstrated competency in servic</w:t>
            </w:r>
            <w:r w:rsidRPr="001C48DE">
              <w:t>ing microwave ovens.</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9</w:t>
            </w:r>
            <w:r w:rsidRPr="001C48DE">
              <w:t>.</w:t>
            </w:r>
            <w:r w:rsidRPr="001C48DE">
              <w:rPr>
                <w:rStyle w:val="SpecialBold"/>
              </w:rPr>
              <w:t>4</w:t>
            </w:r>
            <w:r w:rsidRPr="001C48DE">
              <w:t xml:space="preserve">) </w:t>
            </w:r>
          </w:p>
          <w:p w:rsidR="00000000" w:rsidRPr="001C48DE" w:rsidP="001C48DE">
            <w:pPr>
              <w:pStyle w:val="BodyText"/>
            </w:pPr>
            <w:r w:rsidRPr="001C48DE">
              <w:t>This unit shall be assessed by methods given in Volume 1, Part 3 'Assessment Guidelines'.</w:t>
            </w:r>
          </w:p>
          <w:p w:rsidR="00000000" w:rsidP="001C48DE">
            <w:pPr>
              <w:pStyle w:val="BodyText"/>
              <w:rPr>
                <w:lang w:val="en-NZ"/>
              </w:rPr>
            </w:pPr>
            <w:r w:rsidRPr="001C48DE">
              <w:t xml:space="preserve">Note: </w:t>
            </w:r>
            <w:r w:rsidRPr="001C48DE">
              <w:br/>
              <w:t>Competent performance with inherent safe working practices is expected in the Industry to which this unit ap</w:t>
            </w:r>
            <w:r w:rsidRPr="001C48DE">
              <w:t xml:space="preserve">plies. This requires assessment in a structured environment which is intended primarily for learning/assessment and incorporates all necessary equipment and facilities for learners to develop and demonstrate the essential knowledge and skills described in </w:t>
            </w:r>
            <w:r w:rsidRPr="001C48DE">
              <w:t>this unit.</w:t>
            </w:r>
          </w:p>
        </w:tc>
      </w:tr>
      <w:tr w:rsidTr="0049223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9</w:t>
            </w:r>
            <w:r w:rsidRPr="001C48DE">
              <w:t>.</w:t>
            </w:r>
            <w:r w:rsidRPr="001C48DE">
              <w:rPr>
                <w:rStyle w:val="SpecialBold"/>
              </w:rPr>
              <w:t>5</w:t>
            </w:r>
            <w:r w:rsidRPr="001C48DE">
              <w:t>)</w:t>
            </w:r>
          </w:p>
        </w:tc>
      </w:tr>
      <w:tr w:rsidTr="0049223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There are no concurrent assessment recommendations for this unit.</w:t>
            </w:r>
          </w:p>
        </w:tc>
      </w:tr>
    </w:tbl>
    <w:p w:rsidR="00492239" w:rsidP="001C48DE">
      <w:pPr>
        <w:pStyle w:val="BodyText"/>
      </w:pPr>
    </w:p>
    <w:p w:rsidR="00492239" w:rsidP="001C48DE">
      <w:pPr>
        <w:pStyle w:val="BodyText"/>
      </w:pPr>
    </w:p>
    <w:p w:rsidR="00000000" w:rsidRPr="001C48DE" w:rsidP="001C48DE">
      <w:pPr>
        <w:pStyle w:val="Heading1"/>
      </w:pPr>
      <w:bookmarkStart w:id="11" w:name="O_709890"/>
      <w:bookmarkEnd w:id="11"/>
      <w:r w:rsidRPr="001C48DE">
        <w:t>Range Statement</w:t>
      </w:r>
    </w:p>
    <w:tbl>
      <w:tblPr>
        <w:tblW w:w="0" w:type="auto"/>
        <w:tblLayout w:type="fixed"/>
        <w:tblCellMar>
          <w:left w:w="62" w:type="dxa"/>
          <w:right w:w="62" w:type="dxa"/>
        </w:tblCellMar>
        <w:tblLook w:val="0000"/>
      </w:tblPr>
      <w:tblGrid>
        <w:gridCol w:w="2160"/>
        <w:gridCol w:w="6348"/>
      </w:tblGrid>
      <w:tr w:rsidTr="00492239">
        <w:tblPrEx>
          <w:tblW w:w="0" w:type="auto"/>
          <w:tblLayout w:type="fixed"/>
          <w:tblCellMar>
            <w:left w:w="62" w:type="dxa"/>
            <w:right w:w="62" w:type="dxa"/>
          </w:tblCellMar>
          <w:tblLook w:val="0000"/>
        </w:tblPrEx>
        <w:trPr>
          <w:tblHeader/>
        </w:trPr>
        <w:tc>
          <w:tcPr>
            <w:tcW w:w="8508" w:type="dxa"/>
            <w:gridSpan w:val="2"/>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RANGE STATEMENT</w:t>
            </w:r>
          </w:p>
        </w:tc>
      </w:tr>
      <w:tr w:rsidTr="00492239">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8</w:t>
            </w:r>
            <w:r w:rsidRPr="001C48DE">
              <w:t>) This relates to the unit as a whole providing the range of contexts and conditions to which the performance criteria apply. It allows for different work environments and situations that will affect performance.</w:t>
            </w:r>
          </w:p>
        </w:tc>
      </w:tr>
      <w:tr w:rsidTr="00492239">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This unit must be demonstrated in relatio</w:t>
            </w:r>
            <w:r w:rsidRPr="001C48DE">
              <w:t>n to servicing microwave ovens with any four of the following defects/faults in electric heating systems in each of two different types of appliance:</w:t>
            </w:r>
          </w:p>
        </w:tc>
      </w:tr>
      <w:tr w:rsidTr="004922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p>
        </w:tc>
        <w:tc>
          <w:tcPr>
            <w:tcW w:w="6348" w:type="dxa"/>
            <w:tcBorders>
              <w:top w:val="nil"/>
              <w:left w:val="nil"/>
              <w:bottom w:val="nil"/>
              <w:right w:val="nil"/>
            </w:tcBorders>
            <w:tcMar>
              <w:top w:w="0" w:type="dxa"/>
              <w:left w:w="62" w:type="dxa"/>
              <w:bottom w:w="0" w:type="dxa"/>
              <w:right w:w="62" w:type="dxa"/>
            </w:tcMar>
          </w:tcPr>
          <w:p w:rsidR="00000000" w:rsidRPr="001C48DE" w:rsidP="001C48DE">
            <w:pPr>
              <w:pStyle w:val="ListBullet"/>
            </w:pPr>
            <w:r w:rsidRPr="001C48DE">
              <w:t xml:space="preserve">Higher energy use than previously experienced </w:t>
            </w:r>
          </w:p>
          <w:p w:rsidR="00000000" w:rsidRPr="001C48DE" w:rsidP="001C48DE">
            <w:pPr>
              <w:pStyle w:val="ListBullet"/>
            </w:pPr>
            <w:r w:rsidRPr="001C48DE">
              <w:t>Not cold enough.</w:t>
            </w:r>
          </w:p>
          <w:p w:rsidR="00000000" w:rsidRPr="001C48DE" w:rsidP="001C48DE">
            <w:pPr>
              <w:pStyle w:val="ListBullet"/>
            </w:pPr>
            <w:r w:rsidRPr="001C48DE">
              <w:t>Appliance light not working.</w:t>
            </w:r>
          </w:p>
          <w:p w:rsidR="00000000" w:rsidP="001C48DE">
            <w:pPr>
              <w:pStyle w:val="ListBullet"/>
              <w:rPr>
                <w:lang w:val="en-NZ"/>
              </w:rPr>
            </w:pPr>
            <w:r w:rsidRPr="001C48DE">
              <w:t>Electric shock received from appliance cabinet.</w:t>
            </w:r>
          </w:p>
        </w:tc>
      </w:tr>
      <w:tr w:rsidTr="00492239">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Generic terms used throughout this Vocational Standard shall be regarded as part of the Range Statement in which competency is demonstrated. The definition of these and other terms that apply are given in Vo</w:t>
            </w:r>
            <w:r w:rsidRPr="001C48DE">
              <w:t>lume 2, Part 2.1.</w:t>
            </w:r>
          </w:p>
        </w:tc>
      </w:tr>
    </w:tbl>
    <w:p w:rsidR="00492239" w:rsidP="001C48DE">
      <w:pPr>
        <w:pStyle w:val="BodyText"/>
      </w:pPr>
    </w:p>
    <w:p w:rsidR="00492239" w:rsidP="001C48DE">
      <w:pPr>
        <w:pStyle w:val="BodyText"/>
      </w:pPr>
    </w:p>
    <w:p w:rsidR="00000000" w:rsidRPr="001C48DE" w:rsidP="001C48DE">
      <w:pPr>
        <w:pStyle w:val="Heading1"/>
      </w:pPr>
      <w:bookmarkStart w:id="12" w:name="O_709889"/>
      <w:bookmarkEnd w:id="12"/>
      <w:r w:rsidRPr="001C48DE">
        <w:t>Unit Sector(s)</w:t>
      </w:r>
    </w:p>
    <w:p w:rsidR="00000000" w:rsidRPr="001C48DE" w:rsidP="001C48DE">
      <w:pPr>
        <w:pStyle w:val="BodyText"/>
      </w:pPr>
      <w:r w:rsidRPr="001C48DE">
        <w:t>Not Applicable</w:t>
      </w:r>
    </w:p>
    <w:p w:rsidR="00000000" w:rsidRPr="001C48DE" w:rsidP="001C48DE">
      <w:pPr>
        <w:pStyle w:val="AllowPageBreak"/>
      </w:pPr>
    </w:p>
    <w:p w:rsidR="00000000" w:rsidRPr="001C48DE" w:rsidP="001C48DE">
      <w:pPr>
        <w:pStyle w:val="Heading1"/>
      </w:pPr>
      <w:bookmarkStart w:id="13" w:name="O_709888"/>
      <w:bookmarkEnd w:id="13"/>
      <w:r w:rsidRPr="001C48D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9223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2</w:t>
            </w:r>
            <w:r w:rsidRPr="001C48DE">
              <w:t>.</w:t>
            </w:r>
            <w:r w:rsidRPr="001C48DE">
              <w:rPr>
                <w:rStyle w:val="SpecialBold"/>
              </w:rPr>
              <w:t>2</w:t>
            </w:r>
            <w:r w:rsidRPr="001C48DE">
              <w:t xml:space="preserve">) </w:t>
            </w:r>
            <w:r w:rsidRPr="001C48DE">
              <w:rPr>
                <w:rStyle w:val="SpecialBold"/>
              </w:rPr>
              <w:t>Literacy and numeracy skills</w:t>
            </w:r>
          </w:p>
          <w:p w:rsidR="00000000" w:rsidP="001C48DE">
            <w:pPr>
              <w:pStyle w:val="BodyText"/>
              <w:rPr>
                <w:lang w:val="en-NZ"/>
              </w:rPr>
            </w:pPr>
            <w:r w:rsidRPr="001C48DE">
              <w:t>Participants are bes</w:t>
            </w:r>
            <w:r w:rsidRPr="001C48DE">
              <w:t>t equipped to achieve competency in this unit if they have reading, writing and numeracy skills indicated by the following scales. Description of each scale is given in Volume 2, Part 3 'Literacy and Numeracy'</w:t>
            </w:r>
          </w:p>
        </w:tc>
      </w:tr>
      <w:tr w:rsidTr="0049223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Reading</w:t>
            </w:r>
          </w:p>
        </w:tc>
        <w:tc>
          <w:tcPr>
            <w:tcW w:w="1182"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3</w:t>
            </w:r>
          </w:p>
        </w:tc>
        <w:tc>
          <w:tcPr>
            <w:tcW w:w="1739"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Writing</w:t>
            </w:r>
          </w:p>
        </w:tc>
        <w:tc>
          <w:tcPr>
            <w:tcW w:w="1182"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3</w:t>
            </w:r>
          </w:p>
        </w:tc>
        <w:tc>
          <w:tcPr>
            <w:tcW w:w="1721"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t>Numeracy</w:t>
            </w:r>
          </w:p>
        </w:tc>
        <w:tc>
          <w:tcPr>
            <w:tcW w:w="1182"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3</w:t>
            </w:r>
          </w:p>
        </w:tc>
      </w:tr>
    </w:tbl>
    <w:p w:rsidR="00492239" w:rsidP="001C48DE">
      <w:pPr>
        <w:pStyle w:val="BodyText"/>
      </w:pPr>
    </w:p>
    <w:p w:rsidR="00492239" w:rsidP="001C48DE">
      <w:pPr>
        <w:pStyle w:val="BodyText"/>
      </w:pPr>
    </w:p>
    <w:p w:rsidR="00000000" w:rsidRPr="001C48DE" w:rsidP="001C48DE">
      <w:pPr>
        <w:pStyle w:val="Heading1"/>
      </w:pPr>
      <w:bookmarkStart w:id="14" w:name="O_709887"/>
      <w:bookmarkEnd w:id="14"/>
      <w:r w:rsidRPr="001C48DE">
        <w:t>Custom Content Section</w:t>
      </w:r>
    </w:p>
    <w:tbl>
      <w:tblPr>
        <w:tblW w:w="0" w:type="auto"/>
        <w:tblLayout w:type="fixed"/>
        <w:tblCellMar>
          <w:left w:w="62" w:type="dxa"/>
          <w:right w:w="62" w:type="dxa"/>
        </w:tblCellMar>
        <w:tblLook w:val="0000"/>
      </w:tblPr>
      <w:tblGrid>
        <w:gridCol w:w="2700"/>
        <w:gridCol w:w="5760"/>
      </w:tblGrid>
      <w:tr w:rsidTr="004922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C48DE">
            <w:pPr>
              <w:pStyle w:val="BodyText"/>
              <w:rPr>
                <w:lang w:val="en-NZ"/>
              </w:rPr>
            </w:pPr>
            <w:r w:rsidRPr="001C48DE">
              <w:rPr>
                <w:rStyle w:val="SpecialBold"/>
              </w:rPr>
              <w:t>5</w:t>
            </w:r>
            <w:r w:rsidRPr="001C48DE">
              <w:t>)</w:t>
            </w:r>
          </w:p>
        </w:tc>
      </w:tr>
      <w:tr w:rsidTr="004922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48DE" w:rsidP="001C48DE">
            <w:pPr>
              <w:pStyle w:val="BodyText"/>
            </w:pPr>
            <w:r w:rsidRPr="001C48DE">
              <w:t>Refrigeration and Air Conditioning</w:t>
            </w:r>
          </w:p>
        </w:tc>
      </w:tr>
    </w:tbl>
    <w:p w:rsidR="00492239" w:rsidP="001C48DE">
      <w:pPr>
        <w:pStyle w:val="BodyText"/>
      </w:pPr>
    </w:p>
    <w:p w:rsidR="00492239" w:rsidP="001C48DE">
      <w:pPr>
        <w:pStyle w:val="BodyText"/>
      </w:pPr>
    </w:p>
    <w:p w:rsidR="00000000" w:rsidRPr="001C48DE" w:rsidP="001C48DE"/>
    <w:sectPr w:rsidSect="001C4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8DE" w:rsidRPr="00492239" w:rsidP="004922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239" w:rsidP="001C4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92239" w:rsidP="001C48D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492239" w:rsidP="001C48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8DE" w:rsidRPr="00492239" w:rsidP="004922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239" w:rsidRPr="002D2AF8" w:rsidP="001C48DE">
    <w:pPr>
      <w:pStyle w:val="Header"/>
      <w:framePr w:wrap="around"/>
    </w:pPr>
    <w:r>
      <w:fldChar w:fldCharType="begin"/>
    </w:r>
    <w:r>
      <w:instrText xml:space="preserve"> TITLE   \* MERGEFORMAT </w:instrText>
    </w:r>
    <w:r>
      <w:fldChar w:fldCharType="separate"/>
    </w:r>
    <w:r>
      <w:t>UEENEEJ173A Service and repair microwave ovens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492239" w:rsidP="001C4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AD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C8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EC7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8DE"/>
    <w:pPr>
      <w:spacing w:before="360" w:after="60"/>
      <w:outlineLvl w:val="0"/>
    </w:pPr>
    <w:rPr>
      <w:sz w:val="32"/>
    </w:rPr>
  </w:style>
  <w:style w:type="paragraph" w:styleId="Heading2">
    <w:name w:val="heading 2"/>
    <w:basedOn w:val="HeadingBase"/>
    <w:next w:val="BodyText"/>
    <w:link w:val="Heading2Char"/>
    <w:qFormat/>
    <w:rsid w:val="001C48DE"/>
    <w:pPr>
      <w:keepLines/>
      <w:spacing w:before="240" w:after="120"/>
      <w:outlineLvl w:val="1"/>
    </w:pPr>
    <w:rPr>
      <w:sz w:val="28"/>
      <w:szCs w:val="40"/>
    </w:rPr>
  </w:style>
  <w:style w:type="paragraph" w:styleId="Heading3">
    <w:name w:val="heading 3"/>
    <w:basedOn w:val="HeadingBase"/>
    <w:next w:val="BodyText"/>
    <w:link w:val="Heading3Char"/>
    <w:qFormat/>
    <w:rsid w:val="001C48DE"/>
    <w:pPr>
      <w:spacing w:before="180" w:after="120"/>
      <w:outlineLvl w:val="2"/>
    </w:pPr>
    <w:rPr>
      <w:spacing w:val="-10"/>
      <w:kern w:val="32"/>
    </w:rPr>
  </w:style>
  <w:style w:type="paragraph" w:styleId="Heading4">
    <w:name w:val="heading 4"/>
    <w:basedOn w:val="HeadingBase"/>
    <w:next w:val="BodyText"/>
    <w:link w:val="Heading4Char"/>
    <w:qFormat/>
    <w:rsid w:val="001C48DE"/>
    <w:pPr>
      <w:spacing w:before="160" w:after="120"/>
      <w:outlineLvl w:val="3"/>
    </w:pPr>
    <w:rPr>
      <w:sz w:val="22"/>
    </w:rPr>
  </w:style>
  <w:style w:type="paragraph" w:styleId="Heading5">
    <w:name w:val="heading 5"/>
    <w:basedOn w:val="HeadingBase"/>
    <w:next w:val="Normal"/>
    <w:link w:val="Heading5Char"/>
    <w:qFormat/>
    <w:rsid w:val="001C48DE"/>
    <w:pPr>
      <w:spacing w:before="80"/>
      <w:outlineLvl w:val="4"/>
    </w:pPr>
    <w:rPr>
      <w:color w:val="918585"/>
      <w:sz w:val="20"/>
    </w:rPr>
  </w:style>
  <w:style w:type="paragraph" w:styleId="Heading6">
    <w:name w:val="heading 6"/>
    <w:basedOn w:val="HeadingBase"/>
    <w:next w:val="Normal"/>
    <w:link w:val="Heading6Char"/>
    <w:qFormat/>
    <w:rsid w:val="001C48DE"/>
    <w:pPr>
      <w:spacing w:before="60"/>
      <w:outlineLvl w:val="5"/>
    </w:pPr>
    <w:rPr>
      <w:color w:val="918585"/>
      <w:sz w:val="20"/>
    </w:rPr>
  </w:style>
  <w:style w:type="paragraph" w:styleId="Heading7">
    <w:name w:val="heading 7"/>
    <w:basedOn w:val="Normal"/>
    <w:next w:val="Normal"/>
    <w:link w:val="Heading7Char"/>
    <w:qFormat/>
    <w:rsid w:val="001C48DE"/>
    <w:pPr>
      <w:ind w:left="720"/>
      <w:outlineLvl w:val="6"/>
    </w:pPr>
    <w:rPr>
      <w:i/>
    </w:rPr>
  </w:style>
  <w:style w:type="paragraph" w:styleId="Heading8">
    <w:name w:val="heading 8"/>
    <w:basedOn w:val="Normal"/>
    <w:next w:val="Normal"/>
    <w:link w:val="Heading8Char"/>
    <w:qFormat/>
    <w:rsid w:val="001C48DE"/>
    <w:pPr>
      <w:ind w:left="720"/>
      <w:outlineLvl w:val="7"/>
    </w:pPr>
    <w:rPr>
      <w:i/>
    </w:rPr>
  </w:style>
  <w:style w:type="paragraph" w:styleId="Heading9">
    <w:name w:val="heading 9"/>
    <w:basedOn w:val="Normal"/>
    <w:next w:val="Normal"/>
    <w:link w:val="Heading9Char"/>
    <w:qFormat/>
    <w:rsid w:val="001C48DE"/>
    <w:pPr>
      <w:ind w:left="720"/>
      <w:outlineLvl w:val="8"/>
    </w:pPr>
    <w:rPr>
      <w:i/>
    </w:rPr>
  </w:style>
  <w:style w:type="character" w:default="1" w:styleId="DefaultParagraphFont">
    <w:name w:val="Default Paragraph Font"/>
    <w:uiPriority w:val="1"/>
    <w:unhideWhenUsed/>
    <w:rsid w:val="001C4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8DE"/>
  </w:style>
  <w:style w:type="character" w:customStyle="1" w:styleId="Heading1Char">
    <w:name w:val="Heading 1 Char"/>
    <w:basedOn w:val="DefaultParagraphFont"/>
    <w:link w:val="Heading1"/>
    <w:rsid w:val="001C48DE"/>
    <w:rPr>
      <w:rFonts w:ascii="Times New Roman" w:eastAsia="Times New Roman" w:hAnsi="Times New Roman" w:cs="Times New Roman"/>
      <w:b/>
      <w:sz w:val="32"/>
      <w:szCs w:val="20"/>
      <w:lang w:eastAsia="en-US"/>
    </w:rPr>
  </w:style>
  <w:style w:type="paragraph" w:styleId="BodyText">
    <w:name w:val="Body Text"/>
    <w:basedOn w:val="Normal"/>
    <w:link w:val="BodyTextChar"/>
    <w:rsid w:val="001C48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48DE"/>
    <w:rPr>
      <w:rFonts w:ascii="Times New Roman" w:eastAsia="Times New Roman" w:hAnsi="Times New Roman" w:cs="Times New Roman"/>
      <w:sz w:val="24"/>
      <w:lang w:eastAsia="en-US"/>
    </w:rPr>
  </w:style>
  <w:style w:type="paragraph" w:styleId="ListBullet">
    <w:name w:val="List Bullet"/>
    <w:basedOn w:val="List"/>
    <w:rsid w:val="001C48DE"/>
    <w:pPr>
      <w:numPr>
        <w:numId w:val="13"/>
      </w:numPr>
      <w:tabs>
        <w:tab w:val="clear" w:pos="340"/>
      </w:tabs>
      <w:spacing w:before="40" w:after="40"/>
    </w:pPr>
  </w:style>
  <w:style w:type="character" w:customStyle="1" w:styleId="SpecialBold">
    <w:name w:val="Special Bold"/>
    <w:basedOn w:val="DefaultParagraphFont"/>
    <w:rsid w:val="001C48DE"/>
    <w:rPr>
      <w:b/>
      <w:spacing w:val="0"/>
    </w:rPr>
  </w:style>
  <w:style w:type="paragraph" w:styleId="ListBullet2">
    <w:name w:val="List Bullet 2"/>
    <w:basedOn w:val="List2"/>
    <w:rsid w:val="001C48DE"/>
    <w:pPr>
      <w:numPr>
        <w:numId w:val="14"/>
      </w:numPr>
      <w:tabs>
        <w:tab w:val="clear" w:pos="680"/>
      </w:tabs>
    </w:pPr>
  </w:style>
  <w:style w:type="paragraph" w:customStyle="1" w:styleId="SuperHeading">
    <w:name w:val="SuperHeading"/>
    <w:basedOn w:val="Normal"/>
    <w:rsid w:val="001C48DE"/>
    <w:pPr>
      <w:spacing w:before="240" w:after="120"/>
      <w:outlineLvl w:val="0"/>
    </w:pPr>
    <w:rPr>
      <w:rFonts w:ascii="Times New Roman" w:hAnsi="Times New Roman"/>
      <w:b/>
      <w:sz w:val="32"/>
    </w:rPr>
  </w:style>
  <w:style w:type="paragraph" w:customStyle="1" w:styleId="AllowPageBreak">
    <w:name w:val="AllowPageBreak"/>
    <w:rsid w:val="001C4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8DE"/>
    <w:rPr>
      <w:rFonts w:ascii="Courier New" w:eastAsia="Times New Roman" w:hAnsi="Courier New" w:cs="Times New Roman"/>
      <w:i/>
      <w:szCs w:val="20"/>
      <w:lang w:eastAsia="en-US"/>
    </w:rPr>
  </w:style>
  <w:style w:type="paragraph" w:customStyle="1" w:styleId="HeadingBase">
    <w:name w:val="Heading Base"/>
    <w:rsid w:val="001C4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8DE"/>
    <w:pPr>
      <w:tabs>
        <w:tab w:val="right" w:leader="dot" w:pos="9072"/>
      </w:tabs>
      <w:ind w:left="567"/>
    </w:pPr>
    <w:rPr>
      <w:szCs w:val="22"/>
    </w:rPr>
  </w:style>
  <w:style w:type="paragraph" w:customStyle="1" w:styleId="TOCBase">
    <w:name w:val="TOC Base"/>
    <w:rsid w:val="001C4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8DE"/>
    <w:pPr>
      <w:tabs>
        <w:tab w:val="right" w:leader="dot" w:pos="9072"/>
      </w:tabs>
      <w:spacing w:before="40" w:after="40"/>
      <w:ind w:left="284"/>
    </w:pPr>
    <w:rPr>
      <w:rFonts w:ascii="Times New Roman" w:hAnsi="Times New Roman"/>
    </w:rPr>
  </w:style>
  <w:style w:type="paragraph" w:styleId="TOC1">
    <w:name w:val="toc 1"/>
    <w:basedOn w:val="TOCBase"/>
    <w:next w:val="Normal"/>
    <w:rsid w:val="001C48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8DE"/>
    <w:rPr>
      <w:rFonts w:ascii="Times New Roman" w:eastAsia="Times New Roman" w:hAnsi="Times New Roman" w:cs="Times New Roman"/>
      <w:sz w:val="16"/>
      <w:lang w:eastAsia="en-US"/>
    </w:rPr>
  </w:style>
  <w:style w:type="paragraph" w:styleId="Title">
    <w:name w:val="Title"/>
    <w:basedOn w:val="HeadingBase"/>
    <w:link w:val="TitleChar"/>
    <w:qFormat/>
    <w:rsid w:val="001C48DE"/>
    <w:pPr>
      <w:spacing w:before="5040"/>
      <w:jc w:val="center"/>
    </w:pPr>
    <w:rPr>
      <w:sz w:val="48"/>
      <w:szCs w:val="72"/>
      <w:lang w:val="en-US"/>
    </w:rPr>
  </w:style>
  <w:style w:type="character" w:customStyle="1" w:styleId="TitleChar">
    <w:name w:val="Title Char"/>
    <w:basedOn w:val="DefaultParagraphFont"/>
    <w:link w:val="Title"/>
    <w:rsid w:val="001C4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8DE"/>
    <w:pPr>
      <w:tabs>
        <w:tab w:val="left" w:pos="3600"/>
        <w:tab w:val="left" w:pos="3958"/>
      </w:tabs>
    </w:pPr>
  </w:style>
  <w:style w:type="paragraph" w:styleId="List">
    <w:name w:val="List"/>
    <w:basedOn w:val="BodyText"/>
    <w:next w:val="BodyText"/>
    <w:rsid w:val="001C48DE"/>
    <w:pPr>
      <w:tabs>
        <w:tab w:val="left" w:pos="340"/>
      </w:tabs>
      <w:spacing w:before="60" w:after="60"/>
      <w:ind w:left="340" w:hanging="340"/>
    </w:pPr>
  </w:style>
  <w:style w:type="paragraph" w:customStyle="1" w:styleId="Note">
    <w:name w:val="Note"/>
    <w:basedOn w:val="BodyText"/>
    <w:rsid w:val="001C4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8DE"/>
    <w:pPr>
      <w:framePr w:wrap="auto" w:hAnchor="text" w:y="6049"/>
    </w:pPr>
    <w:rPr>
      <w:color w:val="000000"/>
      <w:sz w:val="40"/>
    </w:rPr>
  </w:style>
  <w:style w:type="paragraph" w:customStyle="1" w:styleId="TOCTitle">
    <w:name w:val="TOCTitle"/>
    <w:basedOn w:val="Heading1"/>
    <w:rsid w:val="001C48DE"/>
    <w:pPr>
      <w:spacing w:after="240"/>
      <w:jc w:val="center"/>
      <w:outlineLvl w:val="9"/>
    </w:pPr>
    <w:rPr>
      <w:caps/>
    </w:rPr>
  </w:style>
  <w:style w:type="paragraph" w:customStyle="1" w:styleId="Version">
    <w:name w:val="Version"/>
    <w:rsid w:val="001C4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8DE"/>
    <w:pPr>
      <w:keepNext w:val="0"/>
      <w:tabs>
        <w:tab w:val="right" w:pos="4176"/>
      </w:tabs>
      <w:ind w:left="198" w:hanging="198"/>
    </w:pPr>
    <w:rPr>
      <w:rFonts w:ascii="Garamond" w:hAnsi="Garamond"/>
    </w:rPr>
  </w:style>
  <w:style w:type="paragraph" w:styleId="IndexHeading">
    <w:name w:val="index heading"/>
    <w:basedOn w:val="Normal"/>
    <w:next w:val="Index1"/>
    <w:semiHidden/>
    <w:rsid w:val="001C48DE"/>
    <w:pPr>
      <w:spacing w:before="120" w:after="120"/>
    </w:pPr>
    <w:rPr>
      <w:rFonts w:ascii="Arial" w:hAnsi="Arial"/>
      <w:b/>
      <w:color w:val="918585"/>
      <w:sz w:val="24"/>
    </w:rPr>
  </w:style>
  <w:style w:type="paragraph" w:styleId="Header">
    <w:name w:val="header"/>
    <w:basedOn w:val="Normal"/>
    <w:link w:val="HeaderChar"/>
    <w:rsid w:val="001C4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8DE"/>
    <w:rPr>
      <w:rFonts w:ascii="Times New Roman" w:eastAsia="Times New Roman" w:hAnsi="Times New Roman" w:cs="Times New Roman"/>
      <w:sz w:val="16"/>
      <w:szCs w:val="20"/>
      <w:lang w:val="en-GB" w:eastAsia="en-US"/>
    </w:rPr>
  </w:style>
  <w:style w:type="paragraph" w:customStyle="1" w:styleId="Chapter">
    <w:name w:val="Chapter"/>
    <w:basedOn w:val="Normal"/>
    <w:rsid w:val="001C48DE"/>
    <w:pPr>
      <w:spacing w:before="240"/>
    </w:pPr>
    <w:rPr>
      <w:rFonts w:ascii="Times New Roman" w:hAnsi="Times New Roman"/>
      <w:smallCaps/>
      <w:spacing w:val="80"/>
      <w:sz w:val="28"/>
    </w:rPr>
  </w:style>
  <w:style w:type="paragraph" w:customStyle="1" w:styleId="InChapter">
    <w:name w:val="InChapter"/>
    <w:basedOn w:val="Heading3"/>
    <w:rsid w:val="001C48DE"/>
    <w:pPr>
      <w:spacing w:after="240"/>
      <w:outlineLvl w:val="9"/>
    </w:pPr>
    <w:rPr>
      <w:noProof/>
    </w:rPr>
  </w:style>
  <w:style w:type="paragraph" w:styleId="Index2">
    <w:name w:val="index 2"/>
    <w:basedOn w:val="Normal"/>
    <w:next w:val="Normal"/>
    <w:semiHidden/>
    <w:rsid w:val="001C48DE"/>
    <w:pPr>
      <w:tabs>
        <w:tab w:val="right" w:pos="4176"/>
      </w:tabs>
      <w:ind w:left="568" w:hanging="284"/>
    </w:pPr>
    <w:rPr>
      <w:rFonts w:ascii="Garamond" w:hAnsi="Garamond"/>
    </w:rPr>
  </w:style>
  <w:style w:type="paragraph" w:customStyle="1" w:styleId="Byline">
    <w:name w:val="Byline"/>
    <w:rsid w:val="001C4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8DE"/>
    <w:pPr>
      <w:tabs>
        <w:tab w:val="clear" w:pos="3600"/>
        <w:tab w:val="clear" w:pos="3958"/>
      </w:tabs>
      <w:jc w:val="right"/>
    </w:pPr>
  </w:style>
  <w:style w:type="character" w:styleId="Emphasis">
    <w:name w:val="Emphasis"/>
    <w:basedOn w:val="DefaultParagraphFont"/>
    <w:qFormat/>
    <w:rsid w:val="001C48DE"/>
    <w:rPr>
      <w:i/>
    </w:rPr>
  </w:style>
  <w:style w:type="paragraph" w:styleId="Caption">
    <w:name w:val="caption"/>
    <w:basedOn w:val="BodyText"/>
    <w:next w:val="Normal"/>
    <w:qFormat/>
    <w:rsid w:val="001C48DE"/>
    <w:pPr>
      <w:framePr w:w="2268" w:hSpace="181" w:vSpace="181" w:wrap="around" w:vAnchor="text" w:hAnchor="page" w:x="1135" w:y="285" w:anchorLock="1"/>
    </w:pPr>
    <w:rPr>
      <w:i/>
    </w:rPr>
  </w:style>
  <w:style w:type="paragraph" w:customStyle="1" w:styleId="MiniTOCTitle">
    <w:name w:val="MiniTOCTitle"/>
    <w:basedOn w:val="Heading4"/>
    <w:rsid w:val="001C48DE"/>
    <w:pPr>
      <w:spacing w:before="240"/>
      <w:outlineLvl w:val="9"/>
    </w:pPr>
    <w:rPr>
      <w:noProof/>
      <w:sz w:val="24"/>
    </w:rPr>
  </w:style>
  <w:style w:type="paragraph" w:customStyle="1" w:styleId="MiniTOCItem">
    <w:name w:val="MiniTOCItem"/>
    <w:basedOn w:val="ListBullet"/>
    <w:rsid w:val="001C48DE"/>
    <w:pPr>
      <w:numPr>
        <w:numId w:val="0"/>
      </w:numPr>
      <w:tabs>
        <w:tab w:val="right" w:leader="dot" w:pos="6521"/>
      </w:tabs>
      <w:spacing w:before="0" w:after="0"/>
    </w:pPr>
  </w:style>
  <w:style w:type="paragraph" w:customStyle="1" w:styleId="TOFTitle">
    <w:name w:val="TOFTitle"/>
    <w:basedOn w:val="TOCTitle"/>
    <w:rsid w:val="001C48DE"/>
  </w:style>
  <w:style w:type="paragraph" w:styleId="TableofFigures">
    <w:name w:val="table of figures"/>
    <w:basedOn w:val="Normal"/>
    <w:next w:val="Normal"/>
    <w:semiHidden/>
    <w:rsid w:val="001C48DE"/>
    <w:pPr>
      <w:tabs>
        <w:tab w:val="right" w:leader="dot" w:pos="9072"/>
      </w:tabs>
      <w:ind w:left="970" w:hanging="403"/>
    </w:pPr>
    <w:rPr>
      <w:rFonts w:ascii="Times New Roman" w:hAnsi="Times New Roman"/>
      <w:b/>
    </w:rPr>
  </w:style>
  <w:style w:type="paragraph" w:styleId="ListNumber">
    <w:name w:val="List Number"/>
    <w:basedOn w:val="List"/>
    <w:rsid w:val="001C48DE"/>
    <w:pPr>
      <w:numPr>
        <w:numId w:val="11"/>
      </w:numPr>
    </w:pPr>
  </w:style>
  <w:style w:type="character" w:customStyle="1" w:styleId="WingdingSymbols">
    <w:name w:val="Wingding Symbols"/>
    <w:rsid w:val="001C48DE"/>
    <w:rPr>
      <w:rFonts w:ascii="Wingdings" w:hAnsi="Wingdings"/>
    </w:rPr>
  </w:style>
  <w:style w:type="paragraph" w:customStyle="1" w:styleId="TableHeading">
    <w:name w:val="Table Heading"/>
    <w:basedOn w:val="HeadingBase"/>
    <w:rsid w:val="001C48DE"/>
    <w:pPr>
      <w:keepLines/>
      <w:pBdr>
        <w:bottom w:val="single" w:sz="6" w:space="1" w:color="918585"/>
      </w:pBdr>
      <w:spacing w:before="240"/>
    </w:pPr>
  </w:style>
  <w:style w:type="character" w:customStyle="1" w:styleId="HotSpot">
    <w:name w:val="HotSpot"/>
    <w:rsid w:val="001C48DE"/>
    <w:rPr>
      <w:color w:val="0033CC"/>
      <w:u w:val="none"/>
    </w:rPr>
  </w:style>
  <w:style w:type="paragraph" w:customStyle="1" w:styleId="BodyTextRight">
    <w:name w:val="Body Text Right"/>
    <w:basedOn w:val="BodyText"/>
    <w:rsid w:val="001C48DE"/>
    <w:pPr>
      <w:spacing w:before="0" w:after="0"/>
      <w:jc w:val="right"/>
    </w:pPr>
  </w:style>
  <w:style w:type="paragraph" w:styleId="Index3">
    <w:name w:val="index 3"/>
    <w:basedOn w:val="ListNumber2"/>
    <w:next w:val="Normal"/>
    <w:semiHidden/>
    <w:rsid w:val="001C48DE"/>
    <w:pPr>
      <w:numPr>
        <w:numId w:val="0"/>
      </w:numPr>
      <w:tabs>
        <w:tab w:val="right" w:leader="dot" w:pos="4176"/>
      </w:tabs>
    </w:pPr>
  </w:style>
  <w:style w:type="paragraph" w:styleId="ListNumber2">
    <w:name w:val="List Number 2"/>
    <w:basedOn w:val="List2"/>
    <w:rsid w:val="001C48DE"/>
    <w:pPr>
      <w:numPr>
        <w:numId w:val="10"/>
      </w:numPr>
      <w:tabs>
        <w:tab w:val="clear" w:pos="1060"/>
      </w:tabs>
    </w:pPr>
  </w:style>
  <w:style w:type="paragraph" w:customStyle="1" w:styleId="MarginNote">
    <w:name w:val="Margin Note"/>
    <w:basedOn w:val="BodyText"/>
    <w:rsid w:val="001C4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8DE"/>
    <w:rPr>
      <w:sz w:val="32"/>
    </w:rPr>
  </w:style>
  <w:style w:type="paragraph" w:customStyle="1" w:styleId="HeadingProcedure">
    <w:name w:val="Heading Procedure"/>
    <w:basedOn w:val="HeadingBase"/>
    <w:next w:val="Normal"/>
    <w:rsid w:val="001C48DE"/>
    <w:pPr>
      <w:tabs>
        <w:tab w:val="left" w:pos="0"/>
      </w:tabs>
      <w:spacing w:before="120" w:after="60"/>
    </w:pPr>
    <w:rPr>
      <w:i/>
      <w:color w:val="918585"/>
      <w:sz w:val="22"/>
    </w:rPr>
  </w:style>
  <w:style w:type="paragraph" w:customStyle="1" w:styleId="TableBodyText">
    <w:name w:val="Table Body Text"/>
    <w:basedOn w:val="BodyText"/>
    <w:rsid w:val="001C48DE"/>
    <w:pPr>
      <w:spacing w:before="60" w:after="60"/>
    </w:pPr>
  </w:style>
  <w:style w:type="paragraph" w:styleId="ListContinue">
    <w:name w:val="List Continue"/>
    <w:basedOn w:val="List"/>
    <w:rsid w:val="001C48DE"/>
    <w:pPr>
      <w:ind w:firstLine="0"/>
    </w:pPr>
  </w:style>
  <w:style w:type="paragraph" w:customStyle="1" w:styleId="ListNote">
    <w:name w:val="List Note"/>
    <w:basedOn w:val="List"/>
    <w:rsid w:val="001C48DE"/>
    <w:pPr>
      <w:pBdr>
        <w:top w:val="single" w:sz="6" w:space="2" w:color="918585"/>
        <w:bottom w:val="single" w:sz="6" w:space="2" w:color="918585"/>
      </w:pBdr>
      <w:tabs>
        <w:tab w:val="left" w:pos="1021"/>
      </w:tabs>
      <w:ind w:firstLine="0"/>
    </w:pPr>
  </w:style>
  <w:style w:type="paragraph" w:customStyle="1" w:styleId="Warning">
    <w:name w:val="Warning"/>
    <w:basedOn w:val="BodyText"/>
    <w:rsid w:val="001C48DE"/>
    <w:pPr>
      <w:shd w:val="clear" w:color="auto" w:fill="D9D9D9"/>
      <w:tabs>
        <w:tab w:val="left" w:pos="992"/>
      </w:tabs>
      <w:ind w:left="119" w:right="119"/>
    </w:pPr>
    <w:rPr>
      <w:sz w:val="20"/>
    </w:rPr>
  </w:style>
  <w:style w:type="paragraph" w:customStyle="1" w:styleId="MarginIcons">
    <w:name w:val="Margin Icons"/>
    <w:basedOn w:val="BodyText"/>
    <w:rsid w:val="001C4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8DE"/>
    <w:rPr>
      <w:rFonts w:ascii="Courier New" w:hAnsi="Courier New"/>
    </w:rPr>
  </w:style>
  <w:style w:type="paragraph" w:customStyle="1" w:styleId="NoteBullet">
    <w:name w:val="Note Bullet"/>
    <w:basedOn w:val="Note"/>
    <w:rsid w:val="001C48DE"/>
    <w:pPr>
      <w:tabs>
        <w:tab w:val="clear" w:pos="680"/>
      </w:tabs>
      <w:spacing w:before="60" w:after="60"/>
    </w:pPr>
  </w:style>
  <w:style w:type="paragraph" w:customStyle="1" w:styleId="SubHeading2">
    <w:name w:val="SubHeading2"/>
    <w:basedOn w:val="HeadingBase"/>
    <w:rsid w:val="001C48DE"/>
    <w:pPr>
      <w:spacing w:before="240" w:after="60"/>
    </w:pPr>
    <w:rPr>
      <w:sz w:val="20"/>
    </w:rPr>
  </w:style>
  <w:style w:type="paragraph" w:customStyle="1" w:styleId="SubHeading1">
    <w:name w:val="SubHeading1"/>
    <w:basedOn w:val="HeadingBase"/>
    <w:rsid w:val="001C48DE"/>
    <w:pPr>
      <w:spacing w:before="240" w:after="60"/>
    </w:pPr>
    <w:rPr>
      <w:color w:val="918585"/>
      <w:sz w:val="22"/>
    </w:rPr>
  </w:style>
  <w:style w:type="paragraph" w:customStyle="1" w:styleId="SideHeading">
    <w:name w:val="Side Heading"/>
    <w:basedOn w:val="HeadingBase"/>
    <w:rsid w:val="001C4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8DE"/>
    <w:pPr>
      <w:numPr>
        <w:numId w:val="12"/>
      </w:numPr>
    </w:pPr>
  </w:style>
  <w:style w:type="paragraph" w:styleId="PlainText">
    <w:name w:val="Plain Text"/>
    <w:basedOn w:val="Normal"/>
    <w:link w:val="PlainTextChar"/>
    <w:rsid w:val="001C48DE"/>
    <w:rPr>
      <w:sz w:val="20"/>
    </w:rPr>
  </w:style>
  <w:style w:type="character" w:customStyle="1" w:styleId="PlainTextChar">
    <w:name w:val="Plain Text Char"/>
    <w:basedOn w:val="DefaultParagraphFont"/>
    <w:link w:val="PlainText"/>
    <w:rsid w:val="001C48DE"/>
    <w:rPr>
      <w:rFonts w:ascii="Courier New" w:eastAsia="Times New Roman" w:hAnsi="Courier New" w:cs="Times New Roman"/>
      <w:sz w:val="20"/>
      <w:szCs w:val="20"/>
      <w:lang w:eastAsia="en-US"/>
    </w:rPr>
  </w:style>
  <w:style w:type="character" w:customStyle="1" w:styleId="MenuOption">
    <w:name w:val="Menu Option"/>
    <w:basedOn w:val="DefaultParagraphFont"/>
    <w:rsid w:val="001C48DE"/>
    <w:rPr>
      <w:b/>
      <w:smallCaps/>
    </w:rPr>
  </w:style>
  <w:style w:type="paragraph" w:customStyle="1" w:styleId="TableListNumber">
    <w:name w:val="Table List Number"/>
    <w:basedOn w:val="ListNumber"/>
    <w:rsid w:val="001C48DE"/>
    <w:pPr>
      <w:numPr>
        <w:numId w:val="0"/>
      </w:numPr>
    </w:pPr>
  </w:style>
  <w:style w:type="paragraph" w:styleId="TOC4">
    <w:name w:val="toc 4"/>
    <w:basedOn w:val="TOCBase"/>
    <w:next w:val="Normal"/>
    <w:semiHidden/>
    <w:rsid w:val="001C48DE"/>
    <w:pPr>
      <w:tabs>
        <w:tab w:val="right" w:leader="dot" w:pos="9071"/>
      </w:tabs>
      <w:ind w:left="1701"/>
    </w:pPr>
  </w:style>
  <w:style w:type="paragraph" w:customStyle="1" w:styleId="ListAlpha">
    <w:name w:val="List Alpha"/>
    <w:basedOn w:val="List"/>
    <w:rsid w:val="001C48DE"/>
    <w:pPr>
      <w:numPr>
        <w:numId w:val="9"/>
      </w:numPr>
    </w:pPr>
  </w:style>
  <w:style w:type="paragraph" w:customStyle="1" w:styleId="ListAlpha2">
    <w:name w:val="List Alpha 2"/>
    <w:basedOn w:val="List2"/>
    <w:rsid w:val="001C48DE"/>
    <w:pPr>
      <w:numPr>
        <w:numId w:val="8"/>
      </w:numPr>
    </w:pPr>
  </w:style>
  <w:style w:type="paragraph" w:styleId="List2">
    <w:name w:val="List 2"/>
    <w:basedOn w:val="BodyText"/>
    <w:rsid w:val="001C48DE"/>
    <w:pPr>
      <w:tabs>
        <w:tab w:val="left" w:pos="680"/>
      </w:tabs>
      <w:spacing w:before="60" w:after="60"/>
      <w:ind w:left="680" w:hanging="340"/>
    </w:pPr>
  </w:style>
  <w:style w:type="paragraph" w:styleId="List3">
    <w:name w:val="List 3"/>
    <w:basedOn w:val="BodyText"/>
    <w:rsid w:val="001C48DE"/>
    <w:pPr>
      <w:tabs>
        <w:tab w:val="left" w:pos="1021"/>
      </w:tabs>
      <w:spacing w:before="60" w:after="60"/>
      <w:ind w:left="1020" w:hanging="340"/>
    </w:pPr>
  </w:style>
  <w:style w:type="paragraph" w:styleId="List4">
    <w:name w:val="List 4"/>
    <w:basedOn w:val="BodyText"/>
    <w:rsid w:val="001C48DE"/>
    <w:pPr>
      <w:tabs>
        <w:tab w:val="left" w:pos="1361"/>
      </w:tabs>
      <w:spacing w:before="60" w:after="60"/>
      <w:ind w:left="1361" w:hanging="340"/>
    </w:pPr>
  </w:style>
  <w:style w:type="paragraph" w:styleId="List5">
    <w:name w:val="List 5"/>
    <w:basedOn w:val="BodyText"/>
    <w:rsid w:val="001C48DE"/>
    <w:pPr>
      <w:tabs>
        <w:tab w:val="left" w:pos="1701"/>
      </w:tabs>
      <w:spacing w:before="60" w:after="60"/>
      <w:ind w:left="1701" w:hanging="340"/>
    </w:pPr>
  </w:style>
  <w:style w:type="paragraph" w:styleId="ListBullet3">
    <w:name w:val="List Bullet 3"/>
    <w:basedOn w:val="List3"/>
    <w:rsid w:val="001C48DE"/>
    <w:pPr>
      <w:numPr>
        <w:numId w:val="15"/>
      </w:numPr>
      <w:tabs>
        <w:tab w:val="clear" w:pos="1021"/>
      </w:tabs>
      <w:ind w:left="1037" w:hanging="357"/>
    </w:pPr>
  </w:style>
  <w:style w:type="paragraph" w:styleId="ListBullet4">
    <w:name w:val="List Bullet 4"/>
    <w:basedOn w:val="List4"/>
    <w:rsid w:val="001C48DE"/>
    <w:pPr>
      <w:numPr>
        <w:numId w:val="3"/>
      </w:numPr>
      <w:tabs>
        <w:tab w:val="clear" w:pos="1361"/>
      </w:tabs>
    </w:pPr>
  </w:style>
  <w:style w:type="paragraph" w:styleId="ListBullet5">
    <w:name w:val="List Bullet 5"/>
    <w:basedOn w:val="List5"/>
    <w:rsid w:val="001C48DE"/>
    <w:pPr>
      <w:numPr>
        <w:numId w:val="4"/>
      </w:numPr>
    </w:pPr>
  </w:style>
  <w:style w:type="paragraph" w:styleId="ListContinue2">
    <w:name w:val="List Continue 2"/>
    <w:basedOn w:val="List2"/>
    <w:rsid w:val="001C48DE"/>
    <w:pPr>
      <w:ind w:firstLine="0"/>
    </w:pPr>
  </w:style>
  <w:style w:type="paragraph" w:styleId="ListContinue3">
    <w:name w:val="List Continue 3"/>
    <w:basedOn w:val="List3"/>
    <w:rsid w:val="001C48DE"/>
    <w:pPr>
      <w:ind w:left="1021" w:firstLine="0"/>
    </w:pPr>
  </w:style>
  <w:style w:type="paragraph" w:styleId="ListContinue4">
    <w:name w:val="List Continue 4"/>
    <w:basedOn w:val="List4"/>
    <w:rsid w:val="001C48DE"/>
    <w:pPr>
      <w:ind w:firstLine="0"/>
    </w:pPr>
  </w:style>
  <w:style w:type="paragraph" w:styleId="ListContinue5">
    <w:name w:val="List Continue 5"/>
    <w:basedOn w:val="List5"/>
    <w:rsid w:val="001C48DE"/>
    <w:pPr>
      <w:ind w:firstLine="0"/>
    </w:pPr>
  </w:style>
  <w:style w:type="paragraph" w:styleId="ListNumber3">
    <w:name w:val="List Number 3"/>
    <w:basedOn w:val="List3"/>
    <w:rsid w:val="001C48DE"/>
    <w:pPr>
      <w:numPr>
        <w:numId w:val="5"/>
      </w:numPr>
    </w:pPr>
  </w:style>
  <w:style w:type="paragraph" w:styleId="ListNumber4">
    <w:name w:val="List Number 4"/>
    <w:basedOn w:val="List4"/>
    <w:rsid w:val="001C48DE"/>
    <w:pPr>
      <w:numPr>
        <w:numId w:val="6"/>
      </w:numPr>
    </w:pPr>
  </w:style>
  <w:style w:type="paragraph" w:styleId="ListNumber5">
    <w:name w:val="List Number 5"/>
    <w:basedOn w:val="List5"/>
    <w:rsid w:val="001C48DE"/>
    <w:pPr>
      <w:numPr>
        <w:numId w:val="7"/>
      </w:numPr>
    </w:pPr>
  </w:style>
  <w:style w:type="paragraph" w:styleId="BlockText">
    <w:name w:val="Block Text"/>
    <w:basedOn w:val="Normal"/>
    <w:rsid w:val="001C48DE"/>
    <w:pPr>
      <w:spacing w:after="120"/>
      <w:ind w:left="1440" w:right="1440"/>
    </w:pPr>
  </w:style>
  <w:style w:type="character" w:customStyle="1" w:styleId="Subscript">
    <w:name w:val="Subscript"/>
    <w:basedOn w:val="DefaultParagraphFont"/>
    <w:rsid w:val="001C48DE"/>
    <w:rPr>
      <w:sz w:val="16"/>
      <w:vertAlign w:val="subscript"/>
    </w:rPr>
  </w:style>
  <w:style w:type="character" w:customStyle="1" w:styleId="Superscript">
    <w:name w:val="Superscript"/>
    <w:basedOn w:val="DefaultParagraphFont"/>
    <w:rsid w:val="001C48DE"/>
    <w:rPr>
      <w:sz w:val="16"/>
      <w:vertAlign w:val="superscript"/>
    </w:rPr>
  </w:style>
  <w:style w:type="character" w:customStyle="1" w:styleId="Symbols">
    <w:name w:val="Symbols"/>
    <w:basedOn w:val="DefaultParagraphFont"/>
    <w:rsid w:val="001C48DE"/>
    <w:rPr>
      <w:rFonts w:ascii="Symbol" w:hAnsi="Symbol"/>
    </w:rPr>
  </w:style>
  <w:style w:type="character" w:customStyle="1" w:styleId="MenuOptions">
    <w:name w:val="Menu Options"/>
    <w:basedOn w:val="DefaultParagraphFont"/>
    <w:rsid w:val="001C48DE"/>
    <w:rPr>
      <w:rFonts w:ascii="Arial Narrow" w:hAnsi="Arial Narrow"/>
      <w:smallCaps/>
    </w:rPr>
  </w:style>
  <w:style w:type="character" w:customStyle="1" w:styleId="Buttons">
    <w:name w:val="Buttons"/>
    <w:basedOn w:val="DefaultParagraphFont"/>
    <w:rsid w:val="001C48DE"/>
    <w:rPr>
      <w:b/>
    </w:rPr>
  </w:style>
  <w:style w:type="character" w:customStyle="1" w:styleId="Underlined">
    <w:name w:val="Underlined"/>
    <w:basedOn w:val="DefaultParagraphFont"/>
    <w:rsid w:val="001C48DE"/>
    <w:rPr>
      <w:u w:val="single"/>
    </w:rPr>
  </w:style>
  <w:style w:type="paragraph" w:customStyle="1" w:styleId="TableBodyTextRight">
    <w:name w:val="Table Body Text Right"/>
    <w:basedOn w:val="TableBodyText"/>
    <w:rsid w:val="001C48DE"/>
    <w:pPr>
      <w:widowControl w:val="0"/>
      <w:autoSpaceDE w:val="0"/>
      <w:autoSpaceDN w:val="0"/>
      <w:adjustRightInd w:val="0"/>
      <w:jc w:val="right"/>
    </w:pPr>
    <w:rPr>
      <w:rFonts w:cs="Arial"/>
      <w:szCs w:val="18"/>
    </w:rPr>
  </w:style>
  <w:style w:type="paragraph" w:customStyle="1" w:styleId="CopyrightText">
    <w:name w:val="Copyright Text"/>
    <w:basedOn w:val="BodyText"/>
    <w:rsid w:val="001C48DE"/>
    <w:rPr>
      <w:sz w:val="18"/>
    </w:rPr>
  </w:style>
  <w:style w:type="paragraph" w:customStyle="1" w:styleId="BodySmallRight">
    <w:name w:val="Body Small Right"/>
    <w:basedOn w:val="BodyTextRight"/>
    <w:rsid w:val="001C48DE"/>
    <w:rPr>
      <w:sz w:val="18"/>
      <w:szCs w:val="18"/>
    </w:rPr>
  </w:style>
  <w:style w:type="paragraph" w:customStyle="1" w:styleId="MarginEdition">
    <w:name w:val="Margin Edition"/>
    <w:basedOn w:val="MarginNote"/>
    <w:rsid w:val="001C48DE"/>
    <w:pPr>
      <w:spacing w:before="0" w:after="0"/>
    </w:pPr>
    <w:rPr>
      <w:rFonts w:ascii="Times New Roman" w:hAnsi="Times New Roman"/>
      <w:color w:val="999999"/>
    </w:rPr>
  </w:style>
  <w:style w:type="paragraph" w:customStyle="1" w:styleId="Spacer">
    <w:name w:val="Spacer"/>
    <w:basedOn w:val="Normal"/>
    <w:rsid w:val="001C48DE"/>
    <w:rPr>
      <w:sz w:val="2"/>
      <w:szCs w:val="2"/>
    </w:rPr>
  </w:style>
  <w:style w:type="character" w:customStyle="1" w:styleId="Small">
    <w:name w:val="Small"/>
    <w:basedOn w:val="DefaultParagraphFont"/>
    <w:rsid w:val="001C48DE"/>
    <w:rPr>
      <w:sz w:val="16"/>
    </w:rPr>
  </w:style>
  <w:style w:type="paragraph" w:customStyle="1" w:styleId="WideTable">
    <w:name w:val="Wide Table"/>
    <w:basedOn w:val="Normal"/>
    <w:rsid w:val="001C48DE"/>
    <w:pPr>
      <w:ind w:left="-1418"/>
    </w:pPr>
    <w:rPr>
      <w:sz w:val="2"/>
      <w:szCs w:val="2"/>
    </w:rPr>
  </w:style>
  <w:style w:type="character" w:styleId="PageNumber">
    <w:name w:val="page number"/>
    <w:basedOn w:val="DefaultParagraphFont"/>
    <w:rsid w:val="001C48DE"/>
  </w:style>
  <w:style w:type="paragraph" w:styleId="Quote">
    <w:name w:val="Quote"/>
    <w:basedOn w:val="Heading1"/>
    <w:link w:val="QuoteChar"/>
    <w:qFormat/>
    <w:rsid w:val="001C48DE"/>
    <w:rPr>
      <w:b w:val="0"/>
      <w:sz w:val="72"/>
      <w:szCs w:val="72"/>
      <w:lang w:val="en-NZ"/>
    </w:rPr>
  </w:style>
  <w:style w:type="character" w:customStyle="1" w:styleId="QuoteChar">
    <w:name w:val="Quote Char"/>
    <w:basedOn w:val="DefaultParagraphFont"/>
    <w:link w:val="Quote"/>
    <w:rsid w:val="001C4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8DE"/>
    <w:pPr>
      <w:pageBreakBefore/>
    </w:pPr>
  </w:style>
  <w:style w:type="paragraph" w:customStyle="1" w:styleId="Border">
    <w:name w:val="Border"/>
    <w:basedOn w:val="Normal"/>
    <w:qFormat/>
    <w:rsid w:val="001C4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8DE"/>
    <w:rPr>
      <w:b/>
      <w:bCs/>
      <w:i/>
      <w:iCs/>
      <w:color w:val="auto"/>
    </w:rPr>
  </w:style>
  <w:style w:type="paragraph" w:styleId="IntenseQuote">
    <w:name w:val="Intense Quote"/>
    <w:basedOn w:val="Normal"/>
    <w:next w:val="Normal"/>
    <w:link w:val="IntenseQuoteChar"/>
    <w:uiPriority w:val="30"/>
    <w:qFormat/>
    <w:rsid w:val="001C4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8DE"/>
    <w:rPr>
      <w:smallCaps/>
      <w:color w:val="auto"/>
      <w:u w:val="single"/>
    </w:rPr>
  </w:style>
  <w:style w:type="character" w:styleId="IntenseReference">
    <w:name w:val="Intense Reference"/>
    <w:basedOn w:val="DefaultParagraphFont"/>
    <w:uiPriority w:val="32"/>
    <w:qFormat/>
    <w:rsid w:val="001C48DE"/>
    <w:rPr>
      <w:b/>
      <w:bCs/>
      <w:smallCaps/>
      <w:color w:val="auto"/>
      <w:spacing w:val="5"/>
      <w:u w:val="single"/>
    </w:rPr>
  </w:style>
  <w:style w:type="paragraph" w:customStyle="1" w:styleId="2ColumnHeading">
    <w:name w:val="2Column Heading"/>
    <w:basedOn w:val="BodyText"/>
    <w:qFormat/>
    <w:rsid w:val="001C48DE"/>
    <w:pPr>
      <w:spacing w:after="60"/>
      <w:ind w:left="-2268"/>
    </w:pPr>
    <w:rPr>
      <w:b/>
    </w:rPr>
  </w:style>
  <w:style w:type="paragraph" w:customStyle="1" w:styleId="Heading1TOC">
    <w:name w:val="Heading1 TOC"/>
    <w:basedOn w:val="Normal"/>
    <w:qFormat/>
    <w:rsid w:val="001C48DE"/>
    <w:pPr>
      <w:spacing w:before="240" w:after="120"/>
    </w:pPr>
    <w:rPr>
      <w:rFonts w:ascii="Times New Roman" w:hAnsi="Times New Roman"/>
      <w:b/>
      <w:sz w:val="32"/>
    </w:rPr>
  </w:style>
  <w:style w:type="paragraph" w:customStyle="1" w:styleId="Heading2TOC">
    <w:name w:val="Heading2 TOC"/>
    <w:basedOn w:val="Normal"/>
    <w:qFormat/>
    <w:rsid w:val="001C48DE"/>
    <w:pPr>
      <w:spacing w:before="240" w:after="60"/>
    </w:pPr>
    <w:rPr>
      <w:rFonts w:ascii="Times New Roman" w:hAnsi="Times New Roman"/>
      <w:b/>
      <w:sz w:val="28"/>
    </w:rPr>
  </w:style>
  <w:style w:type="character" w:customStyle="1" w:styleId="Underline">
    <w:name w:val="Underline"/>
    <w:basedOn w:val="DefaultParagraphFont"/>
    <w:qFormat/>
    <w:rsid w:val="001C48DE"/>
    <w:rPr>
      <w:u w:val="single"/>
    </w:rPr>
  </w:style>
  <w:style w:type="character" w:customStyle="1" w:styleId="BoldandItalics">
    <w:name w:val="Bold and Italics"/>
    <w:qFormat/>
    <w:rsid w:val="001C48DE"/>
    <w:rPr>
      <w:b/>
      <w:i/>
      <w:u w:val="none"/>
    </w:rPr>
  </w:style>
  <w:style w:type="paragraph" w:styleId="BalloonText">
    <w:name w:val="Balloon Text"/>
    <w:basedOn w:val="Normal"/>
    <w:link w:val="BalloonTextChar"/>
    <w:rsid w:val="001C48DE"/>
    <w:rPr>
      <w:rFonts w:ascii="Tahoma" w:hAnsi="Tahoma" w:cs="Tahoma"/>
      <w:sz w:val="16"/>
      <w:szCs w:val="16"/>
    </w:rPr>
  </w:style>
  <w:style w:type="character" w:customStyle="1" w:styleId="BalloonTextChar">
    <w:name w:val="Balloon Text Char"/>
    <w:basedOn w:val="DefaultParagraphFont"/>
    <w:link w:val="BalloonText"/>
    <w:rsid w:val="001C4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8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4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8DE"/>
    <w:rPr>
      <w:b/>
      <w:color w:val="660033"/>
      <w:spacing w:val="0"/>
    </w:rPr>
  </w:style>
  <w:style w:type="paragraph" w:customStyle="1" w:styleId="Nameditemlist">
    <w:name w:val="Named item list"/>
    <w:basedOn w:val="BodyText"/>
    <w:qFormat/>
    <w:rsid w:val="001C48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2177</Words>
  <Characters>13291</Characters>
  <Application>Microsoft Office Word</Application>
  <DocSecurity>0</DocSecurity>
  <Lines>516</Lines>
  <Paragraphs>225</Paragraphs>
  <ScaleCrop>false</ScaleCrop>
  <Company>Author-it Software Corporation Ltd.</Company>
  <LinksUpToDate>false</LinksUpToDate>
  <CharactersWithSpaces>15383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UEENEEJ173A Service and repair microwave ovens</dc:title>
  <dc:subject>Approved</dc:subject>
  <dc:creator>E-OZ Training Standards</dc:creator>
  <cp:keywords>Release 4</cp:keywords>
  <dc:description>Review Date: 12 April 2008</dc:description>
  <cp:lastModifiedBy>TPCMS</cp:lastModifiedBy>
  <cp:revision>3</cp:revision>
  <dcterms:created xsi:type="dcterms:W3CDTF">2014-12-16T11:52:54Z</dcterms:created>
  <dcterms:modified xsi:type="dcterms:W3CDTF">2014-12-16T00:20:00Z</dcterms:modified>
</cp:coreProperties>
</file>