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84C3A" w:rsidP="00784C3A">
      <w:pPr>
        <w:pStyle w:val="Title"/>
      </w:pPr>
      <w:bookmarkStart w:id="0" w:name="_GoBack"/>
      <w:bookmarkEnd w:id="0"/>
      <w:r>
        <w:fldChar w:fldCharType="begin"/>
      </w:r>
      <w:r>
        <w:instrText xml:space="preserve"> TITLE   \* MERGEFORMAT </w:instrText>
      </w:r>
      <w:r>
        <w:fldChar w:fldCharType="separate"/>
      </w:r>
      <w:r>
        <w:t>UEENEEJ168A Maintain microbial control of refrigeration and air conditioning systems</w:t>
      </w:r>
      <w:r>
        <w:fldChar w:fldCharType="end"/>
      </w:r>
    </w:p>
    <w:p w:rsidR="00784C3A" w:rsidP="00784C3A">
      <w:pPr>
        <w:pStyle w:val="Version"/>
        <w:sectPr w:rsidSect="0037010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70109" w:rsidP="00370109">
      <w:pPr>
        <w:pStyle w:val="SuperHeading"/>
      </w:pPr>
      <w:r w:rsidRPr="00370109">
        <w:t>UEENEEJ168A Maintain microbial control of refrigeration and air conditioning systems</w:t>
      </w:r>
    </w:p>
    <w:p w:rsidR="00000000" w:rsidRPr="00370109" w:rsidP="00370109">
      <w:pPr>
        <w:pStyle w:val="Heading1"/>
      </w:pPr>
      <w:bookmarkStart w:id="1" w:name="O_440375"/>
      <w:bookmarkEnd w:id="1"/>
      <w:r w:rsidRPr="00370109">
        <w:t>Modification History</w:t>
      </w:r>
    </w:p>
    <w:p w:rsidR="00000000" w:rsidRPr="00370109" w:rsidP="00370109">
      <w:pPr>
        <w:pStyle w:val="BodyText"/>
      </w:pPr>
      <w:r w:rsidRPr="00370109">
        <w:t>Not Applicable</w:t>
      </w:r>
    </w:p>
    <w:p w:rsidR="00000000" w:rsidRPr="00370109" w:rsidP="00370109">
      <w:pPr>
        <w:pStyle w:val="AllowPageBreak"/>
      </w:pPr>
    </w:p>
    <w:p w:rsidR="00000000" w:rsidRPr="00370109" w:rsidP="00370109">
      <w:pPr>
        <w:pStyle w:val="Heading1"/>
      </w:pPr>
      <w:bookmarkStart w:id="2" w:name="O_440368"/>
      <w:bookmarkEnd w:id="2"/>
      <w:r w:rsidRPr="00370109">
        <w:t>Unit Descriptor</w:t>
      </w:r>
    </w:p>
    <w:tbl>
      <w:tblPr>
        <w:tblW w:w="0" w:type="auto"/>
        <w:tblLayout w:type="fixed"/>
        <w:tblCellMar>
          <w:left w:w="62" w:type="dxa"/>
          <w:right w:w="62" w:type="dxa"/>
        </w:tblCellMar>
        <w:tblLook w:val="0000"/>
      </w:tblPr>
      <w:tblGrid>
        <w:gridCol w:w="2700"/>
        <w:gridCol w:w="5760"/>
      </w:tblGrid>
      <w:tr w:rsidTr="00784C3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70109" w:rsidP="00370109">
            <w:pPr>
              <w:pStyle w:val="BodyText"/>
            </w:pPr>
            <w:r w:rsidRPr="00370109">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370109" w:rsidP="00370109">
            <w:pPr>
              <w:pStyle w:val="BodyText"/>
            </w:pPr>
            <w:r w:rsidRPr="00370109">
              <w:rPr>
                <w:rStyle w:val="SpecialBold"/>
              </w:rPr>
              <w:t>1</w:t>
            </w:r>
            <w:r w:rsidRPr="00370109">
              <w:t xml:space="preserve">) </w:t>
            </w:r>
          </w:p>
          <w:p w:rsidR="00000000" w:rsidP="00370109">
            <w:pPr>
              <w:pStyle w:val="BodyText"/>
              <w:rPr>
                <w:lang w:val="en-NZ"/>
              </w:rPr>
            </w:pPr>
            <w:r w:rsidRPr="00370109">
              <w:rPr>
                <w:rStyle w:val="SpecialBold"/>
              </w:rPr>
              <w:t>1</w:t>
            </w:r>
            <w:r w:rsidRPr="00370109">
              <w:t>.</w:t>
            </w:r>
            <w:r w:rsidRPr="00370109">
              <w:rPr>
                <w:rStyle w:val="SpecialBold"/>
              </w:rPr>
              <w:t>1</w:t>
            </w:r>
            <w:r w:rsidRPr="00370109">
              <w:t xml:space="preserve">) </w:t>
            </w:r>
            <w:r w:rsidRPr="00370109">
              <w:rPr>
                <w:rStyle w:val="SpecialBold"/>
              </w:rPr>
              <w:t>Descriptor</w:t>
            </w:r>
          </w:p>
        </w:tc>
      </w:tr>
      <w:tr w:rsidTr="00784C3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70109" w:rsidP="00370109">
            <w:pPr>
              <w:pStyle w:val="BodyText"/>
            </w:pPr>
            <w:r w:rsidRPr="00370109">
              <w:t>This unit covers the quality assurance and risk management compliance processes for maintenance of the air and water systems associated with refrigeration and air conditioning. It encompasses working safely and to technical, quality and risk management sta</w:t>
            </w:r>
            <w:r w:rsidRPr="00370109">
              <w:t>ndards, work specifications and maintenance schedules, sample inspections, evaluating components and completing the necessary maintenance documentation.</w:t>
            </w:r>
          </w:p>
        </w:tc>
      </w:tr>
    </w:tbl>
    <w:p w:rsidR="00784C3A" w:rsidP="00370109">
      <w:pPr>
        <w:pStyle w:val="BodyText"/>
      </w:pPr>
    </w:p>
    <w:p w:rsidR="00784C3A" w:rsidP="00370109">
      <w:pPr>
        <w:pStyle w:val="BodyText"/>
      </w:pPr>
    </w:p>
    <w:p w:rsidR="00000000" w:rsidRPr="00370109" w:rsidP="00370109">
      <w:pPr>
        <w:pStyle w:val="Heading1"/>
      </w:pPr>
      <w:bookmarkStart w:id="3" w:name="O_440388"/>
      <w:bookmarkEnd w:id="3"/>
      <w:r w:rsidRPr="00370109">
        <w:t>Application of the Unit</w:t>
      </w:r>
    </w:p>
    <w:tbl>
      <w:tblPr>
        <w:tblW w:w="0" w:type="auto"/>
        <w:tblLayout w:type="fixed"/>
        <w:tblCellMar>
          <w:left w:w="62" w:type="dxa"/>
          <w:right w:w="62" w:type="dxa"/>
        </w:tblCellMar>
        <w:tblLook w:val="0000"/>
      </w:tblPr>
      <w:tblGrid>
        <w:gridCol w:w="2700"/>
        <w:gridCol w:w="5760"/>
      </w:tblGrid>
      <w:tr w:rsidTr="00784C3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70109" w:rsidP="00370109">
            <w:pPr>
              <w:pStyle w:val="BodyText"/>
            </w:pPr>
            <w:r w:rsidRPr="00370109">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370109">
            <w:pPr>
              <w:pStyle w:val="BodyText"/>
              <w:rPr>
                <w:lang w:val="en-NZ"/>
              </w:rPr>
            </w:pPr>
            <w:r w:rsidRPr="00370109">
              <w:rPr>
                <w:rStyle w:val="SpecialBold"/>
              </w:rPr>
              <w:t>4</w:t>
            </w:r>
            <w:r w:rsidRPr="00370109">
              <w:t>)</w:t>
            </w:r>
          </w:p>
        </w:tc>
      </w:tr>
      <w:tr w:rsidTr="00784C3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70109" w:rsidP="00370109">
            <w:pPr>
              <w:pStyle w:val="BodyText"/>
            </w:pPr>
            <w:r w:rsidRPr="00370109">
              <w:t>This unit apply to any qualifi</w:t>
            </w:r>
            <w:r w:rsidRPr="00370109">
              <w:t>cation in this standard at an AQF 2 level.</w:t>
            </w:r>
          </w:p>
        </w:tc>
      </w:tr>
    </w:tbl>
    <w:p w:rsidR="00784C3A" w:rsidP="00370109">
      <w:pPr>
        <w:pStyle w:val="BodyText"/>
      </w:pPr>
    </w:p>
    <w:p w:rsidR="00784C3A" w:rsidP="00370109">
      <w:pPr>
        <w:pStyle w:val="BodyText"/>
      </w:pPr>
    </w:p>
    <w:p w:rsidR="00000000" w:rsidRPr="00370109" w:rsidP="00370109">
      <w:pPr>
        <w:pStyle w:val="Heading1"/>
      </w:pPr>
      <w:bookmarkStart w:id="4" w:name="O_440376"/>
      <w:bookmarkEnd w:id="4"/>
      <w:r w:rsidRPr="00370109">
        <w:t>Licensing/Regulatory Information</w:t>
      </w:r>
    </w:p>
    <w:tbl>
      <w:tblPr>
        <w:tblW w:w="0" w:type="auto"/>
        <w:tblLayout w:type="fixed"/>
        <w:tblCellMar>
          <w:left w:w="62" w:type="dxa"/>
          <w:right w:w="62" w:type="dxa"/>
        </w:tblCellMar>
        <w:tblLook w:val="0000"/>
      </w:tblPr>
      <w:tblGrid>
        <w:gridCol w:w="8460"/>
      </w:tblGrid>
      <w:tr w:rsidTr="00784C3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370109">
            <w:pPr>
              <w:pStyle w:val="BodyText"/>
              <w:rPr>
                <w:lang w:val="en-NZ"/>
              </w:rPr>
            </w:pPr>
            <w:r w:rsidRPr="00370109">
              <w:rPr>
                <w:rStyle w:val="SpecialBold"/>
              </w:rPr>
              <w:t>1</w:t>
            </w:r>
            <w:r w:rsidRPr="00370109">
              <w:t>.</w:t>
            </w:r>
            <w:r w:rsidRPr="00370109">
              <w:rPr>
                <w:rStyle w:val="SpecialBold"/>
              </w:rPr>
              <w:t>2</w:t>
            </w:r>
            <w:r w:rsidRPr="00370109">
              <w:t xml:space="preserve">) </w:t>
            </w:r>
            <w:r w:rsidRPr="00370109">
              <w:rPr>
                <w:rStyle w:val="SpecialBold"/>
              </w:rPr>
              <w:t>License to practice</w:t>
            </w:r>
          </w:p>
        </w:tc>
      </w:tr>
      <w:tr w:rsidTr="00784C3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370109" w:rsidP="00370109">
            <w:pPr>
              <w:pStyle w:val="BodyText"/>
            </w:pPr>
            <w:r w:rsidRPr="00370109">
              <w:t>The skills and knowledge described in this unit require a license to practice in the work place</w:t>
            </w:r>
            <w:r w:rsidRPr="00370109">
              <w:t xml:space="preserve"> where plant and equipment operate at voltage above 50 V a.c. or 120 V d.c. Where refrigeration and air conditioning are involved practice in the workplace is subject to Federal/State/Territory regulations covering public health and the relevant codes of p</w:t>
            </w:r>
            <w:r w:rsidRPr="00370109">
              <w:t>ractice; in some jurisdictions a licence is required.</w:t>
            </w:r>
          </w:p>
          <w:p w:rsidR="00000000" w:rsidRPr="00370109" w:rsidP="00370109">
            <w:pPr>
              <w:pStyle w:val="BodyText"/>
            </w:pPr>
            <w:r w:rsidRPr="00370109">
              <w:t>Practice in the workplace is also subject to regulations directly related to occupational health and safe and contracts of training such as new apprenticeships.</w:t>
            </w:r>
          </w:p>
        </w:tc>
      </w:tr>
    </w:tbl>
    <w:p w:rsidR="00784C3A" w:rsidP="00370109">
      <w:pPr>
        <w:pStyle w:val="BodyText"/>
      </w:pPr>
    </w:p>
    <w:p w:rsidR="00784C3A" w:rsidP="00370109">
      <w:pPr>
        <w:pStyle w:val="BodyText"/>
      </w:pPr>
    </w:p>
    <w:p w:rsidR="00000000" w:rsidRPr="00370109" w:rsidP="00370109">
      <w:pPr>
        <w:pStyle w:val="Heading1"/>
      </w:pPr>
      <w:bookmarkStart w:id="5" w:name="O_440373"/>
      <w:bookmarkEnd w:id="5"/>
      <w:r w:rsidRPr="00370109">
        <w:t>Pre-Requisites</w:t>
      </w:r>
    </w:p>
    <w:tbl>
      <w:tblPr>
        <w:tblW w:w="0" w:type="auto"/>
        <w:tblLayout w:type="fixed"/>
        <w:tblCellMar>
          <w:left w:w="62" w:type="dxa"/>
          <w:right w:w="62" w:type="dxa"/>
        </w:tblCellMar>
        <w:tblLook w:val="0000"/>
      </w:tblPr>
      <w:tblGrid>
        <w:gridCol w:w="2700"/>
        <w:gridCol w:w="5760"/>
      </w:tblGrid>
      <w:tr w:rsidTr="00784C3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70109" w:rsidP="00370109">
            <w:pPr>
              <w:pStyle w:val="BodyText"/>
            </w:pPr>
            <w:r w:rsidRPr="00370109">
              <w:rPr>
                <w:rStyle w:val="SpecialBold"/>
              </w:rPr>
              <w:t>Prerequisite Unit</w:t>
            </w:r>
            <w:r w:rsidRPr="00370109">
              <w:t>(</w:t>
            </w:r>
            <w:r w:rsidRPr="00370109">
              <w:rPr>
                <w:rStyle w:val="SpecialBold"/>
              </w:rPr>
              <w:t>s</w:t>
            </w:r>
            <w:r w:rsidRPr="00370109">
              <w:t>)</w:t>
            </w:r>
          </w:p>
        </w:tc>
        <w:tc>
          <w:tcPr>
            <w:tcW w:w="5760" w:type="dxa"/>
            <w:tcBorders>
              <w:top w:val="nil"/>
              <w:left w:val="nil"/>
              <w:bottom w:val="nil"/>
              <w:right w:val="nil"/>
            </w:tcBorders>
            <w:tcMar>
              <w:top w:w="0" w:type="dxa"/>
              <w:left w:w="62" w:type="dxa"/>
              <w:bottom w:w="0" w:type="dxa"/>
              <w:right w:w="62" w:type="dxa"/>
            </w:tcMar>
          </w:tcPr>
          <w:p w:rsidR="00000000" w:rsidP="00370109">
            <w:pPr>
              <w:pStyle w:val="BodyText"/>
              <w:rPr>
                <w:lang w:val="en-NZ"/>
              </w:rPr>
            </w:pPr>
            <w:r w:rsidRPr="00370109">
              <w:rPr>
                <w:rStyle w:val="SpecialBold"/>
              </w:rPr>
              <w:t>2</w:t>
            </w:r>
            <w:r w:rsidRPr="00370109">
              <w:t xml:space="preserve">) </w:t>
            </w:r>
          </w:p>
        </w:tc>
      </w:tr>
      <w:tr w:rsidTr="00784C3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370109">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370109">
            <w:pPr>
              <w:pStyle w:val="BodyText"/>
              <w:rPr>
                <w:lang w:val="en-NZ"/>
              </w:rPr>
            </w:pPr>
            <w:r w:rsidRPr="00370109">
              <w:rPr>
                <w:rStyle w:val="SpecialBold"/>
              </w:rPr>
              <w:t>2</w:t>
            </w:r>
            <w:r w:rsidRPr="00370109">
              <w:t>.</w:t>
            </w:r>
            <w:r w:rsidRPr="00370109">
              <w:rPr>
                <w:rStyle w:val="SpecialBold"/>
              </w:rPr>
              <w:t>1</w:t>
            </w:r>
            <w:r w:rsidRPr="00370109">
              <w:t xml:space="preserve">) </w:t>
            </w:r>
            <w:r w:rsidRPr="00370109">
              <w:rPr>
                <w:rStyle w:val="SpecialBold"/>
              </w:rPr>
              <w:t>Competencies</w:t>
            </w:r>
          </w:p>
        </w:tc>
      </w:tr>
      <w:tr w:rsidTr="00784C3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70109" w:rsidP="00370109">
            <w:pPr>
              <w:pStyle w:val="BodyText"/>
            </w:pPr>
            <w:r w:rsidRPr="00370109">
              <w:t>There are no prerequisite competencies for this unit.</w:t>
            </w:r>
          </w:p>
        </w:tc>
      </w:tr>
    </w:tbl>
    <w:p w:rsidR="00784C3A" w:rsidP="00370109">
      <w:pPr>
        <w:pStyle w:val="BodyText"/>
      </w:pPr>
    </w:p>
    <w:p w:rsidR="00784C3A" w:rsidP="00370109">
      <w:pPr>
        <w:pStyle w:val="BodyText"/>
      </w:pPr>
    </w:p>
    <w:p w:rsidR="00000000" w:rsidRPr="00370109" w:rsidP="00370109">
      <w:pPr>
        <w:pStyle w:val="Heading1"/>
      </w:pPr>
      <w:bookmarkStart w:id="6" w:name="O_440381"/>
      <w:bookmarkEnd w:id="6"/>
      <w:r w:rsidRPr="00370109">
        <w:t>Employability Skills Information</w:t>
      </w:r>
    </w:p>
    <w:tbl>
      <w:tblPr>
        <w:tblW w:w="0" w:type="auto"/>
        <w:tblLayout w:type="fixed"/>
        <w:tblCellMar>
          <w:left w:w="62" w:type="dxa"/>
          <w:right w:w="62" w:type="dxa"/>
        </w:tblCellMar>
        <w:tblLook w:val="0000"/>
      </w:tblPr>
      <w:tblGrid>
        <w:gridCol w:w="2700"/>
        <w:gridCol w:w="5760"/>
      </w:tblGrid>
      <w:tr w:rsidTr="00784C3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370109" w:rsidP="00370109">
            <w:pPr>
              <w:pStyle w:val="BodyText"/>
            </w:pPr>
            <w:r w:rsidRPr="00370109">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370109" w:rsidP="00370109">
            <w:pPr>
              <w:pStyle w:val="BodyText"/>
            </w:pPr>
            <w:r w:rsidRPr="00370109">
              <w:rPr>
                <w:rStyle w:val="SpecialBold"/>
              </w:rPr>
              <w:t>3</w:t>
            </w:r>
            <w:r w:rsidRPr="00370109">
              <w:t>)</w:t>
            </w:r>
          </w:p>
          <w:p w:rsidR="00000000" w:rsidRPr="00370109" w:rsidP="00370109">
            <w:pPr>
              <w:pStyle w:val="BodyText"/>
            </w:pPr>
            <w:r w:rsidRPr="00370109">
              <w:t>This unit contains Employability Skills</w:t>
            </w:r>
          </w:p>
          <w:p w:rsidR="00000000" w:rsidRPr="00370109" w:rsidP="00370109">
            <w:pPr>
              <w:pStyle w:val="BodyText"/>
            </w:pPr>
            <w:r w:rsidRPr="00370109">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370109">
              <w:t>requirements.</w:t>
            </w:r>
          </w:p>
        </w:tc>
      </w:tr>
    </w:tbl>
    <w:p w:rsidR="00784C3A" w:rsidP="00370109">
      <w:pPr>
        <w:pStyle w:val="BodyText"/>
      </w:pPr>
    </w:p>
    <w:p w:rsidR="00784C3A" w:rsidP="00370109">
      <w:pPr>
        <w:pStyle w:val="BodyText"/>
      </w:pPr>
    </w:p>
    <w:p w:rsidR="00000000" w:rsidRPr="00370109" w:rsidP="00370109">
      <w:pPr>
        <w:pStyle w:val="Heading1"/>
      </w:pPr>
      <w:bookmarkStart w:id="7" w:name="O_440382"/>
      <w:bookmarkEnd w:id="7"/>
      <w:r w:rsidRPr="00370109">
        <w:t>Elements and Performance Criteria Pre-Content</w:t>
      </w:r>
    </w:p>
    <w:tbl>
      <w:tblPr>
        <w:tblW w:w="0" w:type="auto"/>
        <w:tblLayout w:type="fixed"/>
        <w:tblCellMar>
          <w:left w:w="62" w:type="dxa"/>
          <w:right w:w="62" w:type="dxa"/>
        </w:tblCellMar>
        <w:tblLook w:val="0000"/>
      </w:tblPr>
      <w:tblGrid>
        <w:gridCol w:w="2700"/>
        <w:gridCol w:w="5760"/>
      </w:tblGrid>
      <w:tr w:rsidTr="00784C3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70109">
            <w:pPr>
              <w:pStyle w:val="BodyText"/>
              <w:rPr>
                <w:lang w:val="en-NZ"/>
              </w:rPr>
            </w:pPr>
            <w:r w:rsidRPr="00370109">
              <w:rPr>
                <w:rStyle w:val="SpecialBold"/>
              </w:rPr>
              <w:t>6</w:t>
            </w:r>
            <w:r w:rsidRPr="00370109">
              <w:t>) Elements describe the essential outcomes of a unit</w:t>
            </w:r>
          </w:p>
        </w:tc>
        <w:tc>
          <w:tcPr>
            <w:tcW w:w="5760" w:type="dxa"/>
            <w:tcBorders>
              <w:top w:val="nil"/>
              <w:left w:val="nil"/>
              <w:bottom w:val="nil"/>
              <w:right w:val="nil"/>
            </w:tcBorders>
            <w:tcMar>
              <w:top w:w="0" w:type="dxa"/>
              <w:left w:w="62" w:type="dxa"/>
              <w:bottom w:w="0" w:type="dxa"/>
              <w:right w:w="62" w:type="dxa"/>
            </w:tcMar>
          </w:tcPr>
          <w:p w:rsidR="00000000" w:rsidRPr="00370109" w:rsidP="00370109">
            <w:pPr>
              <w:pStyle w:val="BodyText"/>
            </w:pPr>
            <w:r w:rsidRPr="00370109">
              <w:t>Performance criteria describe the required performance needed to demonstrate achievement of the element. Assessment of performance is to be consistent with the evidence guide.</w:t>
            </w:r>
          </w:p>
        </w:tc>
      </w:tr>
    </w:tbl>
    <w:p w:rsidR="00000000" w:rsidRPr="00370109" w:rsidP="00370109">
      <w:pPr>
        <w:pStyle w:val="BodyText"/>
      </w:pPr>
    </w:p>
    <w:p w:rsidR="00000000" w:rsidRPr="00370109" w:rsidP="00370109">
      <w:pPr>
        <w:pStyle w:val="AllowPageBreak"/>
      </w:pPr>
    </w:p>
    <w:p w:rsidR="00000000" w:rsidRPr="00370109" w:rsidP="00370109">
      <w:pPr>
        <w:pStyle w:val="Heading1"/>
      </w:pPr>
      <w:bookmarkStart w:id="8" w:name="O_440383"/>
      <w:bookmarkEnd w:id="8"/>
      <w:r w:rsidRPr="00370109">
        <w:t>Elements and Performance Criteria</w:t>
      </w:r>
    </w:p>
    <w:tbl>
      <w:tblPr>
        <w:tblW w:w="0" w:type="auto"/>
        <w:tblLayout w:type="fixed"/>
        <w:tblCellMar>
          <w:left w:w="62" w:type="dxa"/>
          <w:right w:w="62" w:type="dxa"/>
        </w:tblCellMar>
        <w:tblLook w:val="0000"/>
      </w:tblPr>
      <w:tblGrid>
        <w:gridCol w:w="540"/>
        <w:gridCol w:w="2160"/>
        <w:gridCol w:w="900"/>
        <w:gridCol w:w="4860"/>
      </w:tblGrid>
      <w:tr w:rsidTr="00784C3A">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370109" w:rsidP="00370109">
            <w:pPr>
              <w:pStyle w:val="BodyText"/>
            </w:pPr>
            <w:r w:rsidRPr="00370109">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370109">
            <w:pPr>
              <w:pStyle w:val="BodyText"/>
              <w:rPr>
                <w:lang w:val="en-NZ"/>
              </w:rPr>
            </w:pPr>
            <w:r w:rsidRPr="00370109">
              <w:rPr>
                <w:rStyle w:val="SpecialBold"/>
              </w:rPr>
              <w:t>PERFORMANCE CRITER</w:t>
            </w:r>
            <w:r w:rsidRPr="00370109">
              <w:rPr>
                <w:rStyle w:val="SpecialBold"/>
              </w:rPr>
              <w:t>IA</w:t>
            </w:r>
          </w:p>
        </w:tc>
      </w:tr>
      <w:tr w:rsidTr="00784C3A">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370109">
            <w:pPr>
              <w:pStyle w:val="BodyText"/>
              <w:rPr>
                <w:lang w:val="en-NZ"/>
              </w:rPr>
            </w:pPr>
            <w:r w:rsidRPr="00370109">
              <w:t>1</w:t>
            </w:r>
          </w:p>
        </w:tc>
        <w:tc>
          <w:tcPr>
            <w:tcW w:w="2160" w:type="dxa"/>
            <w:vMerge w:val="restart"/>
            <w:tcBorders>
              <w:top w:val="nil"/>
              <w:left w:val="nil"/>
              <w:bottom w:val="nil"/>
              <w:right w:val="nil"/>
            </w:tcBorders>
            <w:tcMar>
              <w:top w:w="0" w:type="dxa"/>
              <w:left w:w="62" w:type="dxa"/>
              <w:bottom w:w="0" w:type="dxa"/>
              <w:right w:w="62" w:type="dxa"/>
            </w:tcMar>
          </w:tcPr>
          <w:p w:rsidR="00000000" w:rsidP="00370109">
            <w:pPr>
              <w:pStyle w:val="BodyText"/>
              <w:rPr>
                <w:lang w:val="en-NZ"/>
              </w:rPr>
            </w:pPr>
            <w:r w:rsidRPr="00370109">
              <w:t>Prepare to maintain microbial control of air and water systems.</w:t>
            </w:r>
          </w:p>
        </w:tc>
        <w:tc>
          <w:tcPr>
            <w:tcW w:w="900" w:type="dxa"/>
            <w:tcBorders>
              <w:top w:val="nil"/>
              <w:left w:val="nil"/>
              <w:bottom w:val="nil"/>
              <w:right w:val="nil"/>
            </w:tcBorders>
            <w:tcMar>
              <w:top w:w="0" w:type="dxa"/>
              <w:left w:w="62" w:type="dxa"/>
              <w:bottom w:w="0" w:type="dxa"/>
              <w:right w:w="62" w:type="dxa"/>
            </w:tcMar>
          </w:tcPr>
          <w:p w:rsidR="00000000" w:rsidP="00370109">
            <w:pPr>
              <w:pStyle w:val="BodyText"/>
              <w:rPr>
                <w:lang w:val="en-NZ"/>
              </w:rPr>
            </w:pPr>
            <w:r w:rsidRPr="00370109">
              <w:t>1.1</w:t>
            </w:r>
          </w:p>
        </w:tc>
        <w:tc>
          <w:tcPr>
            <w:tcW w:w="4860" w:type="dxa"/>
            <w:tcBorders>
              <w:top w:val="nil"/>
              <w:left w:val="nil"/>
              <w:bottom w:val="nil"/>
              <w:right w:val="nil"/>
            </w:tcBorders>
            <w:tcMar>
              <w:top w:w="0" w:type="dxa"/>
              <w:left w:w="62" w:type="dxa"/>
              <w:bottom w:w="0" w:type="dxa"/>
              <w:right w:w="62" w:type="dxa"/>
            </w:tcMar>
          </w:tcPr>
          <w:p w:rsidR="00000000" w:rsidP="00370109">
            <w:pPr>
              <w:pStyle w:val="BodyText"/>
              <w:rPr>
                <w:lang w:val="en-NZ"/>
              </w:rPr>
            </w:pPr>
            <w:r w:rsidRPr="00370109">
              <w:t xml:space="preserve">OHS procedures for a given work area are identified, identified, obtained and understood </w:t>
            </w:r>
          </w:p>
        </w:tc>
      </w:tr>
      <w:tr w:rsidTr="00784C3A">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70109">
            <w:pPr>
              <w:pStyle w:val="BodyText"/>
              <w:rPr>
                <w:lang w:val="en-NZ"/>
              </w:rPr>
            </w:pPr>
            <w:r w:rsidRPr="00370109">
              <w:t>1.2</w:t>
            </w:r>
          </w:p>
        </w:tc>
        <w:tc>
          <w:tcPr>
            <w:tcW w:w="4860" w:type="dxa"/>
            <w:tcBorders>
              <w:top w:val="nil"/>
              <w:left w:val="nil"/>
              <w:bottom w:val="nil"/>
              <w:right w:val="nil"/>
            </w:tcBorders>
            <w:tcMar>
              <w:top w:w="0" w:type="dxa"/>
              <w:left w:w="62" w:type="dxa"/>
              <w:bottom w:w="0" w:type="dxa"/>
              <w:right w:w="62" w:type="dxa"/>
            </w:tcMar>
          </w:tcPr>
          <w:p w:rsidR="00000000" w:rsidP="00370109">
            <w:pPr>
              <w:pStyle w:val="BodyText"/>
              <w:rPr>
                <w:lang w:val="en-NZ"/>
              </w:rPr>
            </w:pPr>
            <w:r w:rsidRPr="00370109">
              <w:t>Establishe</w:t>
            </w:r>
            <w:r w:rsidRPr="00370109">
              <w:t>d OHS risk control measures and procedures are followed in preparation for the work.</w:t>
            </w:r>
          </w:p>
        </w:tc>
      </w:tr>
      <w:tr w:rsidTr="00784C3A">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70109">
            <w:pPr>
              <w:pStyle w:val="BodyText"/>
              <w:rPr>
                <w:lang w:val="en-NZ"/>
              </w:rPr>
            </w:pPr>
            <w:r w:rsidRPr="00370109">
              <w:t>1.3</w:t>
            </w:r>
          </w:p>
        </w:tc>
        <w:tc>
          <w:tcPr>
            <w:tcW w:w="4860" w:type="dxa"/>
            <w:tcBorders>
              <w:top w:val="nil"/>
              <w:left w:val="nil"/>
              <w:bottom w:val="nil"/>
              <w:right w:val="nil"/>
            </w:tcBorders>
            <w:tcMar>
              <w:top w:w="0" w:type="dxa"/>
              <w:left w:w="62" w:type="dxa"/>
              <w:bottom w:w="0" w:type="dxa"/>
              <w:right w:w="62" w:type="dxa"/>
            </w:tcMar>
          </w:tcPr>
          <w:p w:rsidR="00000000" w:rsidP="00370109">
            <w:pPr>
              <w:pStyle w:val="BodyText"/>
              <w:rPr>
                <w:lang w:val="en-NZ"/>
              </w:rPr>
            </w:pPr>
            <w:r w:rsidRPr="00370109">
              <w:t>Safety hazards which have not previously been identified are noted and established risk control measures are implemented.</w:t>
            </w:r>
          </w:p>
        </w:tc>
      </w:tr>
      <w:tr w:rsidTr="00784C3A">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70109">
            <w:pPr>
              <w:pStyle w:val="BodyText"/>
              <w:rPr>
                <w:lang w:val="en-NZ"/>
              </w:rPr>
            </w:pPr>
            <w:r w:rsidRPr="00370109">
              <w:t>1.4</w:t>
            </w:r>
          </w:p>
        </w:tc>
        <w:tc>
          <w:tcPr>
            <w:tcW w:w="4860" w:type="dxa"/>
            <w:tcBorders>
              <w:top w:val="nil"/>
              <w:left w:val="nil"/>
              <w:bottom w:val="nil"/>
              <w:right w:val="nil"/>
            </w:tcBorders>
            <w:tcMar>
              <w:top w:w="0" w:type="dxa"/>
              <w:left w:w="62" w:type="dxa"/>
              <w:bottom w:w="0" w:type="dxa"/>
              <w:right w:w="62" w:type="dxa"/>
            </w:tcMar>
          </w:tcPr>
          <w:p w:rsidR="00000000" w:rsidP="00370109">
            <w:pPr>
              <w:pStyle w:val="BodyText"/>
              <w:rPr>
                <w:lang w:val="en-NZ"/>
              </w:rPr>
            </w:pPr>
            <w:r w:rsidRPr="00370109">
              <w:t xml:space="preserve">The maintenance schedule and process compliance requirements are confirmed and work appropriately sequenced in accordance with established procedures. </w:t>
            </w:r>
          </w:p>
        </w:tc>
      </w:tr>
      <w:tr w:rsidTr="00784C3A">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70109">
            <w:pPr>
              <w:pStyle w:val="BodyText"/>
              <w:rPr>
                <w:lang w:val="en-NZ"/>
              </w:rPr>
            </w:pPr>
            <w:r w:rsidRPr="00370109">
              <w:t>1.5</w:t>
            </w:r>
          </w:p>
        </w:tc>
        <w:tc>
          <w:tcPr>
            <w:tcW w:w="4860" w:type="dxa"/>
            <w:tcBorders>
              <w:top w:val="nil"/>
              <w:left w:val="nil"/>
              <w:bottom w:val="nil"/>
              <w:right w:val="nil"/>
            </w:tcBorders>
            <w:tcMar>
              <w:top w:w="0" w:type="dxa"/>
              <w:left w:w="62" w:type="dxa"/>
              <w:bottom w:w="0" w:type="dxa"/>
              <w:right w:w="62" w:type="dxa"/>
            </w:tcMar>
          </w:tcPr>
          <w:p w:rsidR="00000000" w:rsidP="00370109">
            <w:pPr>
              <w:pStyle w:val="BodyText"/>
              <w:rPr>
                <w:lang w:val="en-NZ"/>
              </w:rPr>
            </w:pPr>
            <w:r w:rsidRPr="00370109">
              <w:t>Appropriate person(s) are consulted to ensure the work is coordinated effectively with others inv</w:t>
            </w:r>
            <w:r w:rsidRPr="00370109">
              <w:t>olved on the work site.</w:t>
            </w:r>
          </w:p>
        </w:tc>
      </w:tr>
      <w:tr w:rsidTr="00784C3A">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70109">
            <w:pPr>
              <w:pStyle w:val="BodyText"/>
              <w:rPr>
                <w:lang w:val="en-NZ"/>
              </w:rPr>
            </w:pPr>
            <w:r w:rsidRPr="00370109">
              <w:t>1.6</w:t>
            </w:r>
          </w:p>
        </w:tc>
        <w:tc>
          <w:tcPr>
            <w:tcW w:w="4860" w:type="dxa"/>
            <w:tcBorders>
              <w:top w:val="nil"/>
              <w:left w:val="nil"/>
              <w:bottom w:val="nil"/>
              <w:right w:val="nil"/>
            </w:tcBorders>
            <w:tcMar>
              <w:top w:w="0" w:type="dxa"/>
              <w:left w:w="62" w:type="dxa"/>
              <w:bottom w:w="0" w:type="dxa"/>
              <w:right w:w="62" w:type="dxa"/>
            </w:tcMar>
          </w:tcPr>
          <w:p w:rsidR="00000000" w:rsidP="00370109">
            <w:pPr>
              <w:pStyle w:val="BodyText"/>
              <w:rPr>
                <w:lang w:val="en-NZ"/>
              </w:rPr>
            </w:pPr>
            <w:r w:rsidRPr="00370109">
              <w:t>Location equipment to be maintained is determined from maintenance schedule procedures and/or system specifications and diagrams.</w:t>
            </w:r>
          </w:p>
        </w:tc>
      </w:tr>
      <w:tr w:rsidTr="00784C3A">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70109">
            <w:pPr>
              <w:pStyle w:val="BodyText"/>
              <w:rPr>
                <w:lang w:val="en-NZ"/>
              </w:rPr>
            </w:pPr>
            <w:r w:rsidRPr="00370109">
              <w:t>1.7</w:t>
            </w:r>
          </w:p>
        </w:tc>
        <w:tc>
          <w:tcPr>
            <w:tcW w:w="4860" w:type="dxa"/>
            <w:tcBorders>
              <w:top w:val="nil"/>
              <w:left w:val="nil"/>
              <w:bottom w:val="nil"/>
              <w:right w:val="nil"/>
            </w:tcBorders>
            <w:tcMar>
              <w:top w:w="0" w:type="dxa"/>
              <w:left w:w="62" w:type="dxa"/>
              <w:bottom w:w="0" w:type="dxa"/>
              <w:right w:w="62" w:type="dxa"/>
            </w:tcMar>
          </w:tcPr>
          <w:p w:rsidR="00000000" w:rsidP="00370109">
            <w:pPr>
              <w:pStyle w:val="BodyText"/>
              <w:rPr>
                <w:lang w:val="en-NZ"/>
              </w:rPr>
            </w:pPr>
            <w:r w:rsidRPr="00370109">
              <w:t xml:space="preserve">Resources needed to conduct the maintenance is obtained </w:t>
            </w:r>
            <w:r w:rsidRPr="00370109">
              <w:t>in accordance with established procedures and checked against job requirements.</w:t>
            </w:r>
          </w:p>
        </w:tc>
      </w:tr>
      <w:tr w:rsidTr="00784C3A">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70109">
            <w:pPr>
              <w:pStyle w:val="BodyText"/>
              <w:rPr>
                <w:lang w:val="en-NZ"/>
              </w:rPr>
            </w:pPr>
            <w:r w:rsidRPr="00370109">
              <w:t>1.8</w:t>
            </w:r>
          </w:p>
        </w:tc>
        <w:tc>
          <w:tcPr>
            <w:tcW w:w="4860" w:type="dxa"/>
            <w:tcBorders>
              <w:top w:val="nil"/>
              <w:left w:val="nil"/>
              <w:bottom w:val="nil"/>
              <w:right w:val="nil"/>
            </w:tcBorders>
            <w:tcMar>
              <w:top w:w="0" w:type="dxa"/>
              <w:left w:w="62" w:type="dxa"/>
              <w:bottom w:w="0" w:type="dxa"/>
              <w:right w:w="62" w:type="dxa"/>
            </w:tcMar>
          </w:tcPr>
          <w:p w:rsidR="00000000" w:rsidP="00370109">
            <w:pPr>
              <w:pStyle w:val="BodyText"/>
              <w:rPr>
                <w:lang w:val="en-NZ"/>
              </w:rPr>
            </w:pPr>
            <w:r w:rsidRPr="00370109">
              <w:t>Tools, equipment and testing devices needed to conduct the maintenance are obtained in accordance with established procedures and checked for correct operation and safet</w:t>
            </w:r>
            <w:r w:rsidRPr="00370109">
              <w:t>y.</w:t>
            </w:r>
          </w:p>
        </w:tc>
      </w:tr>
      <w:tr w:rsidTr="00784C3A">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370109">
            <w:pPr>
              <w:pStyle w:val="BodyText"/>
              <w:rPr>
                <w:lang w:val="en-NZ"/>
              </w:rPr>
            </w:pPr>
            <w:r w:rsidRPr="00370109">
              <w:t>2</w:t>
            </w:r>
          </w:p>
        </w:tc>
        <w:tc>
          <w:tcPr>
            <w:tcW w:w="2160" w:type="dxa"/>
            <w:vMerge w:val="restart"/>
            <w:tcBorders>
              <w:top w:val="nil"/>
              <w:left w:val="nil"/>
              <w:bottom w:val="nil"/>
              <w:right w:val="nil"/>
            </w:tcBorders>
            <w:tcMar>
              <w:top w:w="0" w:type="dxa"/>
              <w:left w:w="62" w:type="dxa"/>
              <w:bottom w:w="0" w:type="dxa"/>
              <w:right w:w="62" w:type="dxa"/>
            </w:tcMar>
          </w:tcPr>
          <w:p w:rsidR="00000000" w:rsidP="00370109">
            <w:pPr>
              <w:pStyle w:val="BodyText"/>
              <w:rPr>
                <w:lang w:val="en-NZ"/>
              </w:rPr>
            </w:pPr>
            <w:r w:rsidRPr="00370109">
              <w:t>Maintain microbial control of air and water systems.</w:t>
            </w:r>
          </w:p>
        </w:tc>
        <w:tc>
          <w:tcPr>
            <w:tcW w:w="900" w:type="dxa"/>
            <w:tcBorders>
              <w:top w:val="nil"/>
              <w:left w:val="nil"/>
              <w:bottom w:val="nil"/>
              <w:right w:val="nil"/>
            </w:tcBorders>
            <w:tcMar>
              <w:top w:w="0" w:type="dxa"/>
              <w:left w:w="62" w:type="dxa"/>
              <w:bottom w:w="0" w:type="dxa"/>
              <w:right w:w="62" w:type="dxa"/>
            </w:tcMar>
          </w:tcPr>
          <w:p w:rsidR="00000000" w:rsidP="00370109">
            <w:pPr>
              <w:pStyle w:val="BodyText"/>
              <w:rPr>
                <w:lang w:val="en-NZ"/>
              </w:rPr>
            </w:pPr>
            <w:r w:rsidRPr="00370109">
              <w:t>2.1</w:t>
            </w:r>
          </w:p>
        </w:tc>
        <w:tc>
          <w:tcPr>
            <w:tcW w:w="4860" w:type="dxa"/>
            <w:tcBorders>
              <w:top w:val="nil"/>
              <w:left w:val="nil"/>
              <w:bottom w:val="nil"/>
              <w:right w:val="nil"/>
            </w:tcBorders>
            <w:tcMar>
              <w:top w:w="0" w:type="dxa"/>
              <w:left w:w="62" w:type="dxa"/>
              <w:bottom w:w="0" w:type="dxa"/>
              <w:right w:w="62" w:type="dxa"/>
            </w:tcMar>
          </w:tcPr>
          <w:p w:rsidR="00000000" w:rsidP="00370109">
            <w:pPr>
              <w:pStyle w:val="BodyText"/>
              <w:rPr>
                <w:lang w:val="en-NZ"/>
              </w:rPr>
            </w:pPr>
            <w:r w:rsidRPr="00370109">
              <w:t>OHS risk control measures and procedures for carrying out the work are followed.</w:t>
            </w:r>
          </w:p>
        </w:tc>
      </w:tr>
      <w:tr w:rsidTr="00784C3A">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70109">
            <w:pPr>
              <w:pStyle w:val="BodyText"/>
              <w:rPr>
                <w:lang w:val="en-NZ"/>
              </w:rPr>
            </w:pPr>
            <w:r w:rsidRPr="00370109">
              <w:t>2.2</w:t>
            </w:r>
          </w:p>
        </w:tc>
        <w:tc>
          <w:tcPr>
            <w:tcW w:w="4860" w:type="dxa"/>
            <w:tcBorders>
              <w:top w:val="nil"/>
              <w:left w:val="nil"/>
              <w:bottom w:val="nil"/>
              <w:right w:val="nil"/>
            </w:tcBorders>
            <w:tcMar>
              <w:top w:w="0" w:type="dxa"/>
              <w:left w:w="62" w:type="dxa"/>
              <w:bottom w:w="0" w:type="dxa"/>
              <w:right w:w="62" w:type="dxa"/>
            </w:tcMar>
          </w:tcPr>
          <w:p w:rsidR="00000000" w:rsidP="00370109">
            <w:pPr>
              <w:pStyle w:val="BodyText"/>
              <w:rPr>
                <w:lang w:val="en-NZ"/>
              </w:rPr>
            </w:pPr>
            <w:r w:rsidRPr="00370109">
              <w:t>Circuits/machines/plant are checked as being isolated where necessary in strict accordance OHS requirements and procedures.</w:t>
            </w:r>
          </w:p>
        </w:tc>
      </w:tr>
      <w:tr w:rsidTr="00784C3A">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70109">
            <w:pPr>
              <w:pStyle w:val="BodyText"/>
              <w:rPr>
                <w:lang w:val="en-NZ"/>
              </w:rPr>
            </w:pPr>
            <w:r w:rsidRPr="00370109">
              <w:t>2.3</w:t>
            </w:r>
          </w:p>
        </w:tc>
        <w:tc>
          <w:tcPr>
            <w:tcW w:w="4860" w:type="dxa"/>
            <w:tcBorders>
              <w:top w:val="nil"/>
              <w:left w:val="nil"/>
              <w:bottom w:val="nil"/>
              <w:right w:val="nil"/>
            </w:tcBorders>
            <w:tcMar>
              <w:top w:w="0" w:type="dxa"/>
              <w:left w:w="62" w:type="dxa"/>
              <w:bottom w:w="0" w:type="dxa"/>
              <w:right w:w="62" w:type="dxa"/>
            </w:tcMar>
          </w:tcPr>
          <w:p w:rsidR="00000000" w:rsidP="00370109">
            <w:pPr>
              <w:pStyle w:val="BodyText"/>
              <w:rPr>
                <w:lang w:val="en-NZ"/>
              </w:rPr>
            </w:pPr>
            <w:r w:rsidRPr="00370109">
              <w:t>Water samples are taken and tested in accordance with established methods and routines.</w:t>
            </w:r>
          </w:p>
        </w:tc>
      </w:tr>
      <w:tr w:rsidTr="00784C3A">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70109">
            <w:pPr>
              <w:pStyle w:val="BodyText"/>
              <w:rPr>
                <w:lang w:val="en-NZ"/>
              </w:rPr>
            </w:pPr>
            <w:r w:rsidRPr="00370109">
              <w:t>2.4</w:t>
            </w:r>
          </w:p>
        </w:tc>
        <w:tc>
          <w:tcPr>
            <w:tcW w:w="4860" w:type="dxa"/>
            <w:tcBorders>
              <w:top w:val="nil"/>
              <w:left w:val="nil"/>
              <w:bottom w:val="nil"/>
              <w:right w:val="nil"/>
            </w:tcBorders>
            <w:tcMar>
              <w:top w:w="0" w:type="dxa"/>
              <w:left w:w="62" w:type="dxa"/>
              <w:bottom w:w="0" w:type="dxa"/>
              <w:right w:w="62" w:type="dxa"/>
            </w:tcMar>
          </w:tcPr>
          <w:p w:rsidR="00000000" w:rsidP="00370109">
            <w:pPr>
              <w:pStyle w:val="BodyText"/>
              <w:rPr>
                <w:lang w:val="en-NZ"/>
              </w:rPr>
            </w:pPr>
            <w:r w:rsidRPr="00370109">
              <w:t>Apparatus to be maintained is inspected and evaluated for compliance with requirements in accordance with maintenance schedule.</w:t>
            </w:r>
          </w:p>
        </w:tc>
      </w:tr>
      <w:tr w:rsidTr="00784C3A">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70109">
            <w:pPr>
              <w:pStyle w:val="BodyText"/>
              <w:rPr>
                <w:lang w:val="en-NZ"/>
              </w:rPr>
            </w:pPr>
            <w:r w:rsidRPr="00370109">
              <w:t>2.5</w:t>
            </w:r>
          </w:p>
        </w:tc>
        <w:tc>
          <w:tcPr>
            <w:tcW w:w="4860" w:type="dxa"/>
            <w:tcBorders>
              <w:top w:val="nil"/>
              <w:left w:val="nil"/>
              <w:bottom w:val="nil"/>
              <w:right w:val="nil"/>
            </w:tcBorders>
            <w:tcMar>
              <w:top w:w="0" w:type="dxa"/>
              <w:left w:w="62" w:type="dxa"/>
              <w:bottom w:w="0" w:type="dxa"/>
              <w:right w:w="62" w:type="dxa"/>
            </w:tcMar>
          </w:tcPr>
          <w:p w:rsidR="00000000" w:rsidP="00370109">
            <w:pPr>
              <w:pStyle w:val="BodyText"/>
              <w:rPr>
                <w:lang w:val="en-NZ"/>
              </w:rPr>
            </w:pPr>
            <w:r w:rsidRPr="00370109">
              <w:t>Non compliant apparatus/components/samples are documented and arrangements made for their rectification in accordance wit</w:t>
            </w:r>
            <w:r w:rsidRPr="00370109">
              <w:t>h established procedures.</w:t>
            </w:r>
          </w:p>
        </w:tc>
      </w:tr>
      <w:tr w:rsidTr="00784C3A">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70109">
            <w:pPr>
              <w:pStyle w:val="BodyText"/>
              <w:rPr>
                <w:lang w:val="en-NZ"/>
              </w:rPr>
            </w:pPr>
            <w:r w:rsidRPr="00370109">
              <w:t>2.6</w:t>
            </w:r>
          </w:p>
        </w:tc>
        <w:tc>
          <w:tcPr>
            <w:tcW w:w="4860" w:type="dxa"/>
            <w:tcBorders>
              <w:top w:val="nil"/>
              <w:left w:val="nil"/>
              <w:bottom w:val="nil"/>
              <w:right w:val="nil"/>
            </w:tcBorders>
            <w:tcMar>
              <w:top w:w="0" w:type="dxa"/>
              <w:left w:w="62" w:type="dxa"/>
              <w:bottom w:w="0" w:type="dxa"/>
              <w:right w:w="62" w:type="dxa"/>
            </w:tcMar>
          </w:tcPr>
          <w:p w:rsidR="00000000" w:rsidP="00370109">
            <w:pPr>
              <w:pStyle w:val="BodyText"/>
              <w:rPr>
                <w:lang w:val="en-NZ"/>
              </w:rPr>
            </w:pPr>
            <w:r w:rsidRPr="00370109">
              <w:t>Established methods for dealing with unexpected situations are discussed with appropriate person or persons and documented.</w:t>
            </w:r>
          </w:p>
        </w:tc>
      </w:tr>
      <w:tr w:rsidTr="00784C3A">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70109">
            <w:pPr>
              <w:pStyle w:val="BodyText"/>
              <w:rPr>
                <w:lang w:val="en-NZ"/>
              </w:rPr>
            </w:pPr>
            <w:r w:rsidRPr="00370109">
              <w:t>2.7</w:t>
            </w:r>
          </w:p>
        </w:tc>
        <w:tc>
          <w:tcPr>
            <w:tcW w:w="4860" w:type="dxa"/>
            <w:tcBorders>
              <w:top w:val="nil"/>
              <w:left w:val="nil"/>
              <w:bottom w:val="nil"/>
              <w:right w:val="nil"/>
            </w:tcBorders>
            <w:tcMar>
              <w:top w:w="0" w:type="dxa"/>
              <w:left w:w="62" w:type="dxa"/>
              <w:bottom w:w="0" w:type="dxa"/>
              <w:right w:w="62" w:type="dxa"/>
            </w:tcMar>
          </w:tcPr>
          <w:p w:rsidR="00000000" w:rsidP="00370109">
            <w:pPr>
              <w:pStyle w:val="BodyText"/>
              <w:rPr>
                <w:lang w:val="en-NZ"/>
              </w:rPr>
            </w:pPr>
            <w:r w:rsidRPr="00370109">
              <w:t>Ongoing checks of the quality of the maintenance are undertaken in accordance with establish</w:t>
            </w:r>
            <w:r w:rsidRPr="00370109">
              <w:t>ed procedures.</w:t>
            </w:r>
          </w:p>
        </w:tc>
      </w:tr>
      <w:tr w:rsidTr="00784C3A">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70109">
            <w:pPr>
              <w:pStyle w:val="BodyText"/>
              <w:rPr>
                <w:lang w:val="en-NZ"/>
              </w:rPr>
            </w:pPr>
            <w:r w:rsidRPr="00370109">
              <w:t>2.8</w:t>
            </w:r>
          </w:p>
        </w:tc>
        <w:tc>
          <w:tcPr>
            <w:tcW w:w="4860" w:type="dxa"/>
            <w:tcBorders>
              <w:top w:val="nil"/>
              <w:left w:val="nil"/>
              <w:bottom w:val="nil"/>
              <w:right w:val="nil"/>
            </w:tcBorders>
            <w:tcMar>
              <w:top w:w="0" w:type="dxa"/>
              <w:left w:w="62" w:type="dxa"/>
              <w:bottom w:w="0" w:type="dxa"/>
              <w:right w:w="62" w:type="dxa"/>
            </w:tcMar>
          </w:tcPr>
          <w:p w:rsidR="00000000" w:rsidP="00370109">
            <w:pPr>
              <w:pStyle w:val="BodyText"/>
              <w:rPr>
                <w:lang w:val="en-NZ"/>
              </w:rPr>
            </w:pPr>
            <w:r w:rsidRPr="00370109">
              <w:t>Maintenance process compliance is performed efficiently without waste of materials or damage to apparatus and the surrounding environment or services and using sustainable energy practices.</w:t>
            </w:r>
          </w:p>
        </w:tc>
      </w:tr>
      <w:tr w:rsidTr="00784C3A">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370109">
            <w:pPr>
              <w:pStyle w:val="BodyText"/>
              <w:rPr>
                <w:lang w:val="en-NZ"/>
              </w:rPr>
            </w:pPr>
            <w:r w:rsidRPr="00370109">
              <w:t>3</w:t>
            </w:r>
          </w:p>
        </w:tc>
        <w:tc>
          <w:tcPr>
            <w:tcW w:w="2160" w:type="dxa"/>
            <w:vMerge w:val="restart"/>
            <w:tcBorders>
              <w:top w:val="nil"/>
              <w:left w:val="nil"/>
              <w:bottom w:val="nil"/>
              <w:right w:val="nil"/>
            </w:tcBorders>
            <w:tcMar>
              <w:top w:w="0" w:type="dxa"/>
              <w:left w:w="62" w:type="dxa"/>
              <w:bottom w:w="0" w:type="dxa"/>
              <w:right w:w="62" w:type="dxa"/>
            </w:tcMar>
          </w:tcPr>
          <w:p w:rsidR="00000000" w:rsidP="00370109">
            <w:pPr>
              <w:pStyle w:val="BodyText"/>
              <w:rPr>
                <w:lang w:val="en-NZ"/>
              </w:rPr>
            </w:pPr>
            <w:r w:rsidRPr="00370109">
              <w:t>Complete of maintenance processes and documentation.</w:t>
            </w:r>
          </w:p>
        </w:tc>
        <w:tc>
          <w:tcPr>
            <w:tcW w:w="900" w:type="dxa"/>
            <w:tcBorders>
              <w:top w:val="nil"/>
              <w:left w:val="nil"/>
              <w:bottom w:val="nil"/>
              <w:right w:val="nil"/>
            </w:tcBorders>
            <w:tcMar>
              <w:top w:w="0" w:type="dxa"/>
              <w:left w:w="62" w:type="dxa"/>
              <w:bottom w:w="0" w:type="dxa"/>
              <w:right w:w="62" w:type="dxa"/>
            </w:tcMar>
          </w:tcPr>
          <w:p w:rsidR="00000000" w:rsidP="00370109">
            <w:pPr>
              <w:pStyle w:val="BodyText"/>
              <w:rPr>
                <w:lang w:val="en-NZ"/>
              </w:rPr>
            </w:pPr>
            <w:r w:rsidRPr="00370109">
              <w:t>3.1</w:t>
            </w:r>
          </w:p>
        </w:tc>
        <w:tc>
          <w:tcPr>
            <w:tcW w:w="4860" w:type="dxa"/>
            <w:tcBorders>
              <w:top w:val="nil"/>
              <w:left w:val="nil"/>
              <w:bottom w:val="nil"/>
              <w:right w:val="nil"/>
            </w:tcBorders>
            <w:tcMar>
              <w:top w:w="0" w:type="dxa"/>
              <w:left w:w="62" w:type="dxa"/>
              <w:bottom w:w="0" w:type="dxa"/>
              <w:right w:w="62" w:type="dxa"/>
            </w:tcMar>
          </w:tcPr>
          <w:p w:rsidR="00000000" w:rsidP="00370109">
            <w:pPr>
              <w:pStyle w:val="BodyText"/>
              <w:rPr>
                <w:lang w:val="en-NZ"/>
              </w:rPr>
            </w:pPr>
            <w:r w:rsidRPr="00370109">
              <w:t>OHS work completion risk control measures and procedures are followed.</w:t>
            </w:r>
          </w:p>
        </w:tc>
      </w:tr>
      <w:tr w:rsidTr="00784C3A">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70109">
            <w:pPr>
              <w:pStyle w:val="BodyText"/>
              <w:rPr>
                <w:lang w:val="en-NZ"/>
              </w:rPr>
            </w:pPr>
            <w:r w:rsidRPr="00370109">
              <w:t>3.2</w:t>
            </w:r>
          </w:p>
        </w:tc>
        <w:tc>
          <w:tcPr>
            <w:tcW w:w="4860" w:type="dxa"/>
            <w:tcBorders>
              <w:top w:val="nil"/>
              <w:left w:val="nil"/>
              <w:bottom w:val="nil"/>
              <w:right w:val="nil"/>
            </w:tcBorders>
            <w:tcMar>
              <w:top w:w="0" w:type="dxa"/>
              <w:left w:w="62" w:type="dxa"/>
              <w:bottom w:w="0" w:type="dxa"/>
              <w:right w:w="62" w:type="dxa"/>
            </w:tcMar>
          </w:tcPr>
          <w:p w:rsidR="00000000" w:rsidP="00370109">
            <w:pPr>
              <w:pStyle w:val="BodyText"/>
              <w:rPr>
                <w:lang w:val="en-NZ"/>
              </w:rPr>
            </w:pPr>
            <w:r w:rsidRPr="00370109">
              <w:t>Work site and equipment is cleaned and made safe in accordance with established procedures.</w:t>
            </w:r>
          </w:p>
        </w:tc>
      </w:tr>
      <w:tr w:rsidTr="00784C3A">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70109">
            <w:pPr>
              <w:pStyle w:val="BodyText"/>
              <w:rPr>
                <w:lang w:val="en-NZ"/>
              </w:rPr>
            </w:pPr>
            <w:r w:rsidRPr="00370109">
              <w:t>3.3</w:t>
            </w:r>
          </w:p>
        </w:tc>
        <w:tc>
          <w:tcPr>
            <w:tcW w:w="4860" w:type="dxa"/>
            <w:tcBorders>
              <w:top w:val="nil"/>
              <w:left w:val="nil"/>
              <w:bottom w:val="nil"/>
              <w:right w:val="nil"/>
            </w:tcBorders>
            <w:tcMar>
              <w:top w:w="0" w:type="dxa"/>
              <w:left w:w="62" w:type="dxa"/>
              <w:bottom w:w="0" w:type="dxa"/>
              <w:right w:w="62" w:type="dxa"/>
            </w:tcMar>
          </w:tcPr>
          <w:p w:rsidR="00000000" w:rsidP="00370109">
            <w:pPr>
              <w:pStyle w:val="BodyText"/>
              <w:rPr>
                <w:lang w:val="en-NZ"/>
              </w:rPr>
            </w:pPr>
            <w:r w:rsidRPr="00370109">
              <w:t>Final checks are made to verify that the maintenance complies with requirements.</w:t>
            </w:r>
          </w:p>
        </w:tc>
      </w:tr>
      <w:tr w:rsidTr="00784C3A">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70109">
            <w:pPr>
              <w:pStyle w:val="BodyText"/>
              <w:rPr>
                <w:lang w:val="en-NZ"/>
              </w:rPr>
            </w:pPr>
            <w:r w:rsidRPr="00370109">
              <w:t>3.4</w:t>
            </w:r>
          </w:p>
        </w:tc>
        <w:tc>
          <w:tcPr>
            <w:tcW w:w="4860" w:type="dxa"/>
            <w:tcBorders>
              <w:top w:val="nil"/>
              <w:left w:val="nil"/>
              <w:bottom w:val="nil"/>
              <w:right w:val="nil"/>
            </w:tcBorders>
            <w:tcMar>
              <w:top w:w="0" w:type="dxa"/>
              <w:left w:w="62" w:type="dxa"/>
              <w:bottom w:w="0" w:type="dxa"/>
              <w:right w:w="62" w:type="dxa"/>
            </w:tcMar>
          </w:tcPr>
          <w:p w:rsidR="00000000" w:rsidRPr="00370109" w:rsidP="00370109">
            <w:pPr>
              <w:pStyle w:val="BodyText"/>
            </w:pPr>
            <w:r w:rsidRPr="00370109">
              <w:t>Maintenance completion is documented and an appropriate person or persons notified in accordance with established procedures and regulations.</w:t>
            </w:r>
          </w:p>
        </w:tc>
      </w:tr>
    </w:tbl>
    <w:p w:rsidR="00784C3A" w:rsidP="00370109">
      <w:pPr>
        <w:pStyle w:val="BodyText"/>
      </w:pPr>
    </w:p>
    <w:p w:rsidR="00784C3A" w:rsidP="00370109">
      <w:pPr>
        <w:pStyle w:val="BodyText"/>
      </w:pPr>
    </w:p>
    <w:p w:rsidR="00000000" w:rsidRPr="00370109" w:rsidP="00370109">
      <w:pPr>
        <w:pStyle w:val="Heading1"/>
      </w:pPr>
      <w:bookmarkStart w:id="9" w:name="O_440370"/>
      <w:bookmarkEnd w:id="9"/>
      <w:r w:rsidRPr="00370109">
        <w:t>Requir</w:t>
      </w:r>
      <w:r w:rsidRPr="00370109">
        <w:t>ed Skills and Knowledge</w:t>
      </w:r>
    </w:p>
    <w:tbl>
      <w:tblPr>
        <w:tblW w:w="0" w:type="auto"/>
        <w:tblLayout w:type="fixed"/>
        <w:tblCellMar>
          <w:left w:w="62" w:type="dxa"/>
          <w:right w:w="62" w:type="dxa"/>
        </w:tblCellMar>
        <w:tblLook w:val="0000"/>
      </w:tblPr>
      <w:tblGrid>
        <w:gridCol w:w="8460"/>
      </w:tblGrid>
      <w:tr w:rsidTr="00784C3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370109">
            <w:pPr>
              <w:pStyle w:val="BodyText"/>
              <w:rPr>
                <w:lang w:val="en-NZ"/>
              </w:rPr>
            </w:pPr>
            <w:r w:rsidRPr="00370109">
              <w:rPr>
                <w:rStyle w:val="SpecialBold"/>
              </w:rPr>
              <w:t>REQUIRED SKILLS AND KNOWLEDGE</w:t>
            </w:r>
          </w:p>
        </w:tc>
      </w:tr>
      <w:tr w:rsidTr="00784C3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370109">
            <w:pPr>
              <w:pStyle w:val="BodyText"/>
              <w:rPr>
                <w:lang w:val="en-NZ"/>
              </w:rPr>
            </w:pPr>
            <w:r w:rsidRPr="00370109">
              <w:rPr>
                <w:rStyle w:val="SpecialBold"/>
              </w:rPr>
              <w:t>7)</w:t>
            </w:r>
            <w:r w:rsidRPr="00370109">
              <w:t xml:space="preserve"> This describes the essential skills and knowledge and their level, required for this unit.</w:t>
            </w:r>
          </w:p>
        </w:tc>
      </w:tr>
      <w:tr w:rsidTr="00784C3A">
        <w:tblPrEx>
          <w:tblW w:w="0" w:type="auto"/>
          <w:tblLayout w:type="fixed"/>
          <w:tblCellMar>
            <w:left w:w="62" w:type="dxa"/>
            <w:right w:w="62" w:type="dxa"/>
          </w:tblCellMar>
          <w:tblLook w:val="0000"/>
        </w:tblPrEx>
        <w:trPr>
          <w:trHeight w:val="8137"/>
        </w:trPr>
        <w:tc>
          <w:tcPr>
            <w:tcW w:w="8460" w:type="dxa"/>
            <w:tcBorders>
              <w:top w:val="nil"/>
              <w:left w:val="nil"/>
              <w:bottom w:val="nil"/>
              <w:right w:val="nil"/>
            </w:tcBorders>
            <w:tcMar>
              <w:top w:w="0" w:type="dxa"/>
              <w:left w:w="62" w:type="dxa"/>
              <w:bottom w:w="0" w:type="dxa"/>
              <w:right w:w="62" w:type="dxa"/>
            </w:tcMar>
          </w:tcPr>
          <w:p w:rsidR="00000000" w:rsidRPr="00370109" w:rsidP="00370109">
            <w:pPr>
              <w:pStyle w:val="BodyText"/>
            </w:pPr>
            <w:r w:rsidRPr="00370109">
              <w:t xml:space="preserve">Evidence shall show that knowledge has been acquired of safe working practices and maintaining microbial control of air and water systems. </w:t>
            </w:r>
          </w:p>
          <w:p w:rsidR="00000000" w:rsidRPr="00370109" w:rsidP="00370109">
            <w:pPr>
              <w:pStyle w:val="BodyText"/>
            </w:pPr>
            <w:r w:rsidRPr="00370109">
              <w:t>All knowledge and skills detailed in this unit should be contextualised to current industry practices and technologi</w:t>
            </w:r>
            <w:r w:rsidRPr="00370109">
              <w:t>es.</w:t>
            </w:r>
          </w:p>
          <w:p w:rsidR="00000000" w:rsidRPr="00370109" w:rsidP="00370109">
            <w:pPr>
              <w:pStyle w:val="BodyText"/>
            </w:pPr>
            <w:r w:rsidRPr="00370109">
              <w:rPr>
                <w:rStyle w:val="SpecialBold"/>
              </w:rPr>
              <w:t>KS01-EJ168A                         Microbial control</w:t>
            </w:r>
          </w:p>
          <w:p w:rsidR="00000000" w:rsidRPr="00370109" w:rsidP="00370109">
            <w:pPr>
              <w:pStyle w:val="BodyText"/>
            </w:pPr>
            <w:r w:rsidRPr="00370109">
              <w:t>Evidence shall show an understanding of microbial control, applying safe working practices and relevant Standards, Codes and Regulations to an extent indicated by the following aspects:</w:t>
            </w:r>
          </w:p>
          <w:p w:rsidR="00000000" w:rsidRPr="00370109" w:rsidP="00370109">
            <w:pPr>
              <w:pStyle w:val="BodyText"/>
            </w:pPr>
            <w:r w:rsidRPr="00370109">
              <w:t>T1         L</w:t>
            </w:r>
            <w:r w:rsidRPr="00370109">
              <w:t>egislation and regulatory requirements for microbial control</w:t>
            </w:r>
          </w:p>
          <w:p w:rsidR="00000000" w:rsidRPr="00370109" w:rsidP="00370109">
            <w:pPr>
              <w:pStyle w:val="BodyText"/>
            </w:pPr>
            <w:r w:rsidRPr="00370109">
              <w:t>T2        Types of air and water systems that require control of harmful microbes.</w:t>
            </w:r>
          </w:p>
          <w:p w:rsidR="00000000" w:rsidRPr="00370109" w:rsidP="00370109">
            <w:pPr>
              <w:pStyle w:val="BodyText"/>
            </w:pPr>
            <w:r w:rsidRPr="00370109">
              <w:t>T3         Harmful microbes and they effects if left uncontrolled</w:t>
            </w:r>
          </w:p>
          <w:p w:rsidR="00000000" w:rsidRPr="00370109" w:rsidP="00370109">
            <w:pPr>
              <w:pStyle w:val="BodyText"/>
            </w:pPr>
            <w:r w:rsidRPr="00370109">
              <w:t>T4         Methods of controlling harmful micr</w:t>
            </w:r>
            <w:r w:rsidRPr="00370109">
              <w:t>obes, including regular cleaning/decontamination of effected plant, sample testing and approved treatment.</w:t>
            </w:r>
          </w:p>
          <w:p w:rsidR="00000000" w:rsidRPr="00370109" w:rsidP="00370109">
            <w:pPr>
              <w:pStyle w:val="BodyText"/>
            </w:pPr>
            <w:r w:rsidRPr="00370109">
              <w:t>T5         Safe handling and application of treatment materials.</w:t>
            </w:r>
          </w:p>
          <w:p w:rsidR="00000000" w:rsidRPr="00370109" w:rsidP="00370109">
            <w:pPr>
              <w:pStyle w:val="BodyText"/>
            </w:pPr>
            <w:r w:rsidRPr="00370109">
              <w:t xml:space="preserve">T6         Maintenance </w:t>
            </w:r>
          </w:p>
          <w:p w:rsidR="00000000" w:rsidRPr="00370109" w:rsidP="00370109">
            <w:pPr>
              <w:pStyle w:val="ListBullet"/>
            </w:pPr>
            <w:r w:rsidRPr="00370109">
              <w:t>Principles and function</w:t>
            </w:r>
          </w:p>
          <w:p w:rsidR="00000000" w:rsidRPr="00370109" w:rsidP="00370109">
            <w:pPr>
              <w:pStyle w:val="ListBullet"/>
            </w:pPr>
            <w:r w:rsidRPr="00370109">
              <w:t>Systems and terminology</w:t>
            </w:r>
          </w:p>
          <w:p w:rsidR="00000000" w:rsidRPr="00370109" w:rsidP="00370109">
            <w:pPr>
              <w:pStyle w:val="ListBullet"/>
            </w:pPr>
            <w:r w:rsidRPr="00370109">
              <w:t xml:space="preserve">Data acquisition </w:t>
            </w:r>
          </w:p>
          <w:p w:rsidR="00000000" w:rsidRPr="00370109" w:rsidP="00370109">
            <w:pPr>
              <w:pStyle w:val="ListBullet2"/>
            </w:pPr>
            <w:r w:rsidRPr="00370109">
              <w:t xml:space="preserve"> plant history cards/files</w:t>
            </w:r>
          </w:p>
          <w:p w:rsidR="00000000" w:rsidRPr="00370109" w:rsidP="00370109">
            <w:pPr>
              <w:pStyle w:val="ListBullet2"/>
            </w:pPr>
            <w:r w:rsidRPr="00370109">
              <w:t>inspection techniques</w:t>
            </w:r>
          </w:p>
          <w:p w:rsidR="00000000" w:rsidRPr="00370109" w:rsidP="00370109">
            <w:pPr>
              <w:pStyle w:val="ListBullet2"/>
            </w:pPr>
            <w:r w:rsidRPr="00370109">
              <w:t>predictive maintenance</w:t>
            </w:r>
          </w:p>
          <w:p w:rsidR="00000000" w:rsidRPr="00370109" w:rsidP="00370109">
            <w:pPr>
              <w:pStyle w:val="ListBullet"/>
            </w:pPr>
            <w:r w:rsidRPr="00370109">
              <w:t xml:space="preserve">Maintenance plans </w:t>
            </w:r>
          </w:p>
          <w:p w:rsidR="00000000" w:rsidRPr="00370109" w:rsidP="00370109">
            <w:pPr>
              <w:pStyle w:val="ListBullet"/>
            </w:pPr>
            <w:r w:rsidRPr="00370109">
              <w:t>Recording methods</w:t>
            </w:r>
          </w:p>
        </w:tc>
      </w:tr>
    </w:tbl>
    <w:p w:rsidR="00784C3A" w:rsidP="00370109">
      <w:pPr>
        <w:pStyle w:val="BodyText"/>
      </w:pPr>
    </w:p>
    <w:p w:rsidR="00784C3A" w:rsidP="00370109">
      <w:pPr>
        <w:pStyle w:val="BodyText"/>
      </w:pPr>
    </w:p>
    <w:p w:rsidR="00000000" w:rsidRPr="00370109" w:rsidP="00370109">
      <w:pPr>
        <w:pStyle w:val="Heading1"/>
      </w:pPr>
      <w:bookmarkStart w:id="10" w:name="O_440380"/>
      <w:bookmarkEnd w:id="10"/>
      <w:r w:rsidRPr="00370109">
        <w:t>Evidence Guide</w:t>
      </w:r>
    </w:p>
    <w:tbl>
      <w:tblPr>
        <w:tblW w:w="0" w:type="auto"/>
        <w:tblLayout w:type="fixed"/>
        <w:tblCellMar>
          <w:left w:w="62" w:type="dxa"/>
          <w:right w:w="62" w:type="dxa"/>
        </w:tblCellMar>
        <w:tblLook w:val="0000"/>
      </w:tblPr>
      <w:tblGrid>
        <w:gridCol w:w="2160"/>
        <w:gridCol w:w="720"/>
        <w:gridCol w:w="540"/>
        <w:gridCol w:w="5040"/>
      </w:tblGrid>
      <w:tr w:rsidTr="00784C3A">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370109">
            <w:pPr>
              <w:pStyle w:val="BodyText"/>
              <w:rPr>
                <w:lang w:val="en-NZ"/>
              </w:rPr>
            </w:pPr>
            <w:r w:rsidRPr="00370109">
              <w:rPr>
                <w:rStyle w:val="SpecialBold"/>
              </w:rPr>
              <w:t>EVIDENCE GUIDE</w:t>
            </w:r>
          </w:p>
        </w:tc>
      </w:tr>
      <w:tr w:rsidTr="00784C3A">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370109" w:rsidP="00370109">
            <w:pPr>
              <w:pStyle w:val="BodyText"/>
            </w:pPr>
            <w:r w:rsidRPr="00370109">
              <w:rPr>
                <w:rStyle w:val="SpecialBold"/>
              </w:rPr>
              <w:t>9</w:t>
            </w:r>
            <w:r w:rsidRPr="00370109">
              <w:t>) The evidence guide provides advice on assessment and must be read in conjunction with the Performance Criteria, Required Skills and Knowledge, the Range Statement and the Assessment Guidelines for this Training Package. .</w:t>
            </w:r>
          </w:p>
          <w:p w:rsidR="00000000" w:rsidP="00370109">
            <w:pPr>
              <w:pStyle w:val="BodyText"/>
              <w:rPr>
                <w:lang w:val="en-NZ"/>
              </w:rPr>
            </w:pPr>
            <w:r w:rsidRPr="00370109">
              <w:t>The Evidence Guide forms an inte</w:t>
            </w:r>
            <w:r w:rsidRPr="00370109">
              <w:t>gral part of this Unit. It must be used in conjunction with all parts of this unit and performed in accordance with the Assessment Guidelines of this Training Package.</w:t>
            </w:r>
          </w:p>
        </w:tc>
      </w:tr>
      <w:tr w:rsidTr="00784C3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370109" w:rsidP="00370109">
            <w:pPr>
              <w:pStyle w:val="BodyText"/>
            </w:pPr>
            <w:r w:rsidRPr="00370109">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370109" w:rsidP="00370109">
            <w:pPr>
              <w:pStyle w:val="BodyText"/>
            </w:pPr>
            <w:r w:rsidRPr="00370109">
              <w:rPr>
                <w:rStyle w:val="SpecialBold"/>
              </w:rPr>
              <w:t>9</w:t>
            </w:r>
            <w:r w:rsidRPr="00370109">
              <w:t>.</w:t>
            </w:r>
            <w:r w:rsidRPr="00370109">
              <w:rPr>
                <w:rStyle w:val="SpecialBold"/>
              </w:rPr>
              <w:t>1</w:t>
            </w:r>
            <w:r w:rsidRPr="00370109">
              <w:t xml:space="preserve">) </w:t>
            </w:r>
          </w:p>
          <w:p w:rsidR="00000000" w:rsidRPr="00370109" w:rsidP="00370109">
            <w:pPr>
              <w:pStyle w:val="BodyText"/>
            </w:pPr>
            <w:r w:rsidRPr="00370109">
              <w:t>Longitudinal competency development approaches to asses</w:t>
            </w:r>
            <w:r w:rsidRPr="00370109">
              <w:t>sment, such as Profiling, require data to be reliably gathered in a form that can be consistently interpreted over time. This approach is best utilised in Apprenticeship programs and reduces assessment intervention. It is the industry-preferred model for a</w:t>
            </w:r>
            <w:r w:rsidRPr="00370109">
              <w:t>pprenticeships. However, where summative (or final) assessment is used it is to include the application of the competency in the normal work environment or, at a minimum, the application of the competency in a realistically simulated work environment. In s</w:t>
            </w:r>
            <w:r w:rsidRPr="00370109">
              <w:t>ome circumstances, assessment in part or full can occur outside the workplace. However, it must be in accordance with industry and regulatory policy.</w:t>
            </w:r>
          </w:p>
          <w:p w:rsidR="00000000" w:rsidRPr="00370109" w:rsidP="00370109">
            <w:pPr>
              <w:pStyle w:val="BodyText"/>
            </w:pPr>
            <w:r w:rsidRPr="00370109">
              <w:t>Methods chosen for a particular assessment will be influenced by various factors. These include the extent</w:t>
            </w:r>
            <w:r w:rsidRPr="00370109">
              <w:t xml:space="preserve"> of the assessment, the most effective locations for the assessment activities to take place, access to physical resources, additional safety measures that may be required and the critical nature of the competencies being assessed.</w:t>
            </w:r>
          </w:p>
          <w:p w:rsidR="00000000" w:rsidRPr="00370109" w:rsidP="00370109">
            <w:pPr>
              <w:pStyle w:val="BodyText"/>
            </w:pPr>
            <w:r w:rsidRPr="00370109">
              <w:t>The critical safety nature of working with electricity, electrical equipment, gas or any other hazardous substance/material carries risk in deeming a person competent. Sources of evidence need to be 'rich' in nature to minimise error in judgment.</w:t>
            </w:r>
          </w:p>
          <w:p w:rsidR="00000000" w:rsidP="00370109">
            <w:pPr>
              <w:pStyle w:val="BodyText"/>
              <w:rPr>
                <w:lang w:val="en-NZ"/>
              </w:rPr>
            </w:pPr>
            <w:r w:rsidRPr="00370109">
              <w:t>Activitie</w:t>
            </w:r>
            <w:r w:rsidRPr="00370109">
              <w:t>s associated with normal everyday work influence decisions about how/how much the data gathered will contribute to its 'richness'. Some skills are more critical to safety and operational requirements while the same skills may be more or less frequently pra</w:t>
            </w:r>
            <w:r w:rsidRPr="00370109">
              <w:t>ctised. These points are raised for the assessors to consider when choosing an assessment method and developing assessment instruments. Sample assessment instruments are included for Assessors in the Assessment Guidelines of this Training Package.</w:t>
            </w:r>
          </w:p>
        </w:tc>
      </w:tr>
      <w:tr w:rsidTr="00784C3A">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370109" w:rsidP="00370109">
            <w:pPr>
              <w:pStyle w:val="BodyText"/>
            </w:pPr>
            <w:r w:rsidRPr="00370109">
              <w:rPr>
                <w:rStyle w:val="SpecialBold"/>
              </w:rPr>
              <w:t>Criti</w:t>
            </w:r>
            <w:r w:rsidRPr="00370109">
              <w:rPr>
                <w:rStyle w:val="SpecialBold"/>
              </w:rPr>
              <w:t>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370109" w:rsidP="00370109">
            <w:pPr>
              <w:pStyle w:val="BodyText"/>
            </w:pPr>
            <w:r w:rsidRPr="00370109">
              <w:rPr>
                <w:rStyle w:val="SpecialBold"/>
              </w:rPr>
              <w:t>9</w:t>
            </w:r>
            <w:r w:rsidRPr="00370109">
              <w:t>.</w:t>
            </w:r>
            <w:r w:rsidRPr="00370109">
              <w:rPr>
                <w:rStyle w:val="SpecialBold"/>
              </w:rPr>
              <w:t>2</w:t>
            </w:r>
            <w:r w:rsidRPr="00370109">
              <w:t xml:space="preserve">) </w:t>
            </w:r>
          </w:p>
          <w:p w:rsidR="00000000" w:rsidP="00370109">
            <w:pPr>
              <w:pStyle w:val="BodyText"/>
              <w:rPr>
                <w:lang w:val="en-NZ"/>
              </w:rPr>
            </w:pPr>
            <w:r w:rsidRPr="00370109">
              <w:t>Before the critical aspects of evidence are considered all prerequisites must be met.</w:t>
            </w:r>
          </w:p>
        </w:tc>
      </w:tr>
      <w:tr w:rsidTr="00784C3A">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370109" w:rsidP="00370109">
            <w:pPr>
              <w:pStyle w:val="BodyText"/>
            </w:pPr>
            <w:r w:rsidRPr="00370109">
              <w:t>Evidence for competence in this unit shall be considered holistically.  Each Element and</w:t>
            </w:r>
            <w:r w:rsidRPr="00370109">
              <w:t xml:space="preserve"> associated performance criteria shall be demonstrated on at least two occasions in accordance with the 'Assessment Guidelines - UEE07'.  Evidence shall also comprise:</w:t>
            </w:r>
          </w:p>
          <w:p w:rsidR="00000000" w:rsidP="00370109">
            <w:pPr>
              <w:pStyle w:val="ListBullet"/>
              <w:rPr>
                <w:lang w:val="en-NZ"/>
              </w:rPr>
            </w:pPr>
            <w:r w:rsidRPr="00370109">
              <w:t>A representative body of work performance demonstrated within the timeframes typically e</w:t>
            </w:r>
            <w:r w:rsidRPr="00370109">
              <w:t>xpected of the discipline, work function and industrial environment. In particular this shall incorporate evidence that shows a candidate is able to:</w:t>
            </w:r>
          </w:p>
        </w:tc>
      </w:tr>
      <w:tr w:rsidTr="00784C3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370109">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370109" w:rsidP="00370109">
            <w:pPr>
              <w:pStyle w:val="ListBullet2"/>
            </w:pPr>
            <w:r w:rsidRPr="00370109">
              <w:t xml:space="preserve">Implement Occupational Health and Safety workplace procedures and practices including </w:t>
            </w:r>
            <w:r w:rsidRPr="00370109">
              <w:t>the use of risk control measures as specified in the performance criteria and range statement</w:t>
            </w:r>
          </w:p>
          <w:p w:rsidR="00000000" w:rsidRPr="00370109" w:rsidP="00370109">
            <w:pPr>
              <w:pStyle w:val="ListBullet2"/>
            </w:pPr>
            <w:r w:rsidRPr="00370109">
              <w:t>Apply sustainable energy principles and practices as specified in the performance criteria and range statement</w:t>
            </w:r>
          </w:p>
          <w:p w:rsidR="00000000" w:rsidRPr="00370109" w:rsidP="00370109">
            <w:pPr>
              <w:pStyle w:val="ListBullet2"/>
            </w:pPr>
            <w:r w:rsidRPr="00370109">
              <w:t>Demonstrate an understanding of the essential knowl</w:t>
            </w:r>
            <w:r w:rsidRPr="00370109">
              <w:t>edge and associated skills as described in this unit.  It may be required by some jurisdictions that RTOs provide a percentile graded result for the purpose of regulatory or licensing requirements.</w:t>
            </w:r>
          </w:p>
          <w:p w:rsidR="00000000" w:rsidRPr="00370109" w:rsidP="00370109">
            <w:pPr>
              <w:pStyle w:val="ListBullet2"/>
            </w:pPr>
            <w:r w:rsidRPr="00370109">
              <w:t>Demonstrate an appropriate level of skills enabling employ</w:t>
            </w:r>
            <w:r w:rsidRPr="00370109">
              <w:t>ment</w:t>
            </w:r>
          </w:p>
          <w:p w:rsidR="00000000" w:rsidP="00370109">
            <w:pPr>
              <w:pStyle w:val="ListBullet2"/>
              <w:rPr>
                <w:lang w:val="en-NZ"/>
              </w:rPr>
            </w:pPr>
            <w:r w:rsidRPr="00370109">
              <w:t>Conduct work observing the relevant Anti Discrimination legislation, regulations, polices and workplace procedures</w:t>
            </w:r>
          </w:p>
        </w:tc>
      </w:tr>
      <w:tr w:rsidTr="00784C3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370109">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370109">
            <w:pPr>
              <w:pStyle w:val="ListBullet"/>
              <w:rPr>
                <w:lang w:val="en-NZ"/>
              </w:rPr>
            </w:pPr>
            <w:r w:rsidRPr="00370109">
              <w:t>Demonstrated consistent performance across a representative range of contexts from the prescribed items below:</w:t>
            </w:r>
          </w:p>
        </w:tc>
      </w:tr>
      <w:tr w:rsidTr="00784C3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370109">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370109">
            <w:pPr>
              <w:pStyle w:val="ListBullet2"/>
              <w:rPr>
                <w:lang w:val="en-NZ"/>
              </w:rPr>
            </w:pPr>
            <w:r w:rsidRPr="00370109">
              <w:t>Maintain microbial control of air and water systems as described in 8) and including:</w:t>
            </w:r>
          </w:p>
        </w:tc>
      </w:tr>
      <w:tr w:rsidTr="00784C3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70109">
            <w:pPr>
              <w:pStyle w:val="BodyText"/>
              <w:rPr>
                <w:lang w:val="en-NZ"/>
              </w:rPr>
            </w:pPr>
            <w:r w:rsidRPr="00370109">
              <w:t>A</w:t>
            </w:r>
          </w:p>
        </w:tc>
        <w:tc>
          <w:tcPr>
            <w:tcW w:w="5040" w:type="dxa"/>
            <w:tcBorders>
              <w:top w:val="nil"/>
              <w:left w:val="nil"/>
              <w:bottom w:val="nil"/>
              <w:right w:val="nil"/>
            </w:tcBorders>
            <w:tcMar>
              <w:top w:w="0" w:type="dxa"/>
              <w:left w:w="62" w:type="dxa"/>
              <w:bottom w:w="0" w:type="dxa"/>
              <w:right w:w="62" w:type="dxa"/>
            </w:tcMar>
          </w:tcPr>
          <w:p w:rsidR="00000000" w:rsidP="00370109">
            <w:pPr>
              <w:pStyle w:val="BodyText"/>
              <w:rPr>
                <w:lang w:val="en-NZ"/>
              </w:rPr>
            </w:pPr>
            <w:r w:rsidRPr="00370109">
              <w:t>Interpreting maintenance schedule requirements correctly</w:t>
            </w:r>
          </w:p>
        </w:tc>
      </w:tr>
      <w:tr w:rsidTr="00784C3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70109">
            <w:pPr>
              <w:pStyle w:val="BodyText"/>
              <w:rPr>
                <w:lang w:val="en-NZ"/>
              </w:rPr>
            </w:pPr>
            <w:r w:rsidRPr="00370109">
              <w:t>B</w:t>
            </w:r>
          </w:p>
        </w:tc>
        <w:tc>
          <w:tcPr>
            <w:tcW w:w="5040" w:type="dxa"/>
            <w:tcBorders>
              <w:top w:val="nil"/>
              <w:left w:val="nil"/>
              <w:bottom w:val="nil"/>
              <w:right w:val="nil"/>
            </w:tcBorders>
            <w:tcMar>
              <w:top w:w="0" w:type="dxa"/>
              <w:left w:w="62" w:type="dxa"/>
              <w:bottom w:w="0" w:type="dxa"/>
              <w:right w:w="62" w:type="dxa"/>
            </w:tcMar>
          </w:tcPr>
          <w:p w:rsidR="00000000" w:rsidP="00370109">
            <w:pPr>
              <w:pStyle w:val="BodyText"/>
              <w:rPr>
                <w:lang w:val="en-NZ"/>
              </w:rPr>
            </w:pPr>
            <w:r w:rsidRPr="00370109">
              <w:t>Following quality assurance and risk management compliance processes</w:t>
            </w:r>
          </w:p>
        </w:tc>
      </w:tr>
      <w:tr w:rsidTr="00784C3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70109">
            <w:pPr>
              <w:pStyle w:val="BodyText"/>
              <w:rPr>
                <w:lang w:val="en-NZ"/>
              </w:rPr>
            </w:pPr>
            <w:r w:rsidRPr="00370109">
              <w:t>C</w:t>
            </w:r>
          </w:p>
        </w:tc>
        <w:tc>
          <w:tcPr>
            <w:tcW w:w="5040" w:type="dxa"/>
            <w:tcBorders>
              <w:top w:val="nil"/>
              <w:left w:val="nil"/>
              <w:bottom w:val="nil"/>
              <w:right w:val="nil"/>
            </w:tcBorders>
            <w:tcMar>
              <w:top w:w="0" w:type="dxa"/>
              <w:left w:w="62" w:type="dxa"/>
              <w:bottom w:w="0" w:type="dxa"/>
              <w:right w:w="62" w:type="dxa"/>
            </w:tcMar>
          </w:tcPr>
          <w:p w:rsidR="00000000" w:rsidP="00370109">
            <w:pPr>
              <w:pStyle w:val="BodyText"/>
              <w:rPr>
                <w:lang w:val="en-NZ"/>
              </w:rPr>
            </w:pPr>
            <w:r w:rsidRPr="00370109">
              <w:t>Following maintenance schedule</w:t>
            </w:r>
          </w:p>
        </w:tc>
      </w:tr>
      <w:tr w:rsidTr="00784C3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70109">
            <w:pPr>
              <w:pStyle w:val="BodyText"/>
              <w:rPr>
                <w:lang w:val="en-NZ"/>
              </w:rPr>
            </w:pPr>
            <w:r w:rsidRPr="00370109">
              <w:t>D</w:t>
            </w:r>
          </w:p>
        </w:tc>
        <w:tc>
          <w:tcPr>
            <w:tcW w:w="5040" w:type="dxa"/>
            <w:tcBorders>
              <w:top w:val="nil"/>
              <w:left w:val="nil"/>
              <w:bottom w:val="nil"/>
              <w:right w:val="nil"/>
            </w:tcBorders>
            <w:tcMar>
              <w:top w:w="0" w:type="dxa"/>
              <w:left w:w="62" w:type="dxa"/>
              <w:bottom w:w="0" w:type="dxa"/>
              <w:right w:w="62" w:type="dxa"/>
            </w:tcMar>
          </w:tcPr>
          <w:p w:rsidR="00000000" w:rsidP="00370109">
            <w:pPr>
              <w:pStyle w:val="BodyText"/>
              <w:rPr>
                <w:lang w:val="en-NZ"/>
              </w:rPr>
            </w:pPr>
            <w:r w:rsidRPr="00370109">
              <w:t>Sampling water condition</w:t>
            </w:r>
          </w:p>
        </w:tc>
      </w:tr>
      <w:tr w:rsidTr="00784C3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70109">
            <w:pPr>
              <w:pStyle w:val="BodyText"/>
              <w:rPr>
                <w:lang w:val="en-NZ"/>
              </w:rPr>
            </w:pPr>
            <w:r w:rsidRPr="00370109">
              <w:t>E</w:t>
            </w:r>
          </w:p>
        </w:tc>
        <w:tc>
          <w:tcPr>
            <w:tcW w:w="5040" w:type="dxa"/>
            <w:tcBorders>
              <w:top w:val="nil"/>
              <w:left w:val="nil"/>
              <w:bottom w:val="nil"/>
              <w:right w:val="nil"/>
            </w:tcBorders>
            <w:tcMar>
              <w:top w:w="0" w:type="dxa"/>
              <w:left w:w="62" w:type="dxa"/>
              <w:bottom w:w="0" w:type="dxa"/>
              <w:right w:w="62" w:type="dxa"/>
            </w:tcMar>
          </w:tcPr>
          <w:p w:rsidR="00000000" w:rsidP="00370109">
            <w:pPr>
              <w:pStyle w:val="BodyText"/>
              <w:rPr>
                <w:lang w:val="en-NZ"/>
              </w:rPr>
            </w:pPr>
            <w:r w:rsidRPr="00370109">
              <w:t>Inspecting and evaluating apparatus for quality assurance and risk compliance</w:t>
            </w:r>
          </w:p>
        </w:tc>
      </w:tr>
      <w:tr w:rsidTr="00784C3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70109">
            <w:pPr>
              <w:pStyle w:val="BodyText"/>
              <w:rPr>
                <w:lang w:val="en-NZ"/>
              </w:rPr>
            </w:pPr>
            <w:r w:rsidRPr="00370109">
              <w:t>F</w:t>
            </w:r>
          </w:p>
        </w:tc>
        <w:tc>
          <w:tcPr>
            <w:tcW w:w="5040" w:type="dxa"/>
            <w:tcBorders>
              <w:top w:val="nil"/>
              <w:left w:val="nil"/>
              <w:bottom w:val="nil"/>
              <w:right w:val="nil"/>
            </w:tcBorders>
            <w:tcMar>
              <w:top w:w="0" w:type="dxa"/>
              <w:left w:w="62" w:type="dxa"/>
              <w:bottom w:w="0" w:type="dxa"/>
              <w:right w:w="62" w:type="dxa"/>
            </w:tcMar>
          </w:tcPr>
          <w:p w:rsidR="00000000" w:rsidP="00370109">
            <w:pPr>
              <w:pStyle w:val="BodyText"/>
              <w:rPr>
                <w:lang w:val="en-NZ"/>
              </w:rPr>
            </w:pPr>
            <w:r w:rsidRPr="00370109">
              <w:t>Arranging for corrective action of non compliant apparatus</w:t>
            </w:r>
          </w:p>
        </w:tc>
      </w:tr>
      <w:tr w:rsidTr="00784C3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70109">
            <w:pPr>
              <w:pStyle w:val="BodyText"/>
              <w:rPr>
                <w:lang w:val="en-NZ"/>
              </w:rPr>
            </w:pPr>
            <w:r w:rsidRPr="00370109">
              <w:t>G</w:t>
            </w:r>
          </w:p>
        </w:tc>
        <w:tc>
          <w:tcPr>
            <w:tcW w:w="5040" w:type="dxa"/>
            <w:tcBorders>
              <w:top w:val="nil"/>
              <w:left w:val="nil"/>
              <w:bottom w:val="nil"/>
              <w:right w:val="nil"/>
            </w:tcBorders>
            <w:tcMar>
              <w:top w:w="0" w:type="dxa"/>
              <w:left w:w="62" w:type="dxa"/>
              <w:bottom w:w="0" w:type="dxa"/>
              <w:right w:w="62" w:type="dxa"/>
            </w:tcMar>
          </w:tcPr>
          <w:p w:rsidR="00000000" w:rsidP="00370109">
            <w:pPr>
              <w:pStyle w:val="BodyText"/>
              <w:rPr>
                <w:lang w:val="en-NZ"/>
              </w:rPr>
            </w:pPr>
            <w:r w:rsidRPr="00370109">
              <w:t>Documenting maintenance work.</w:t>
            </w:r>
          </w:p>
        </w:tc>
      </w:tr>
      <w:tr w:rsidTr="00784C3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70109">
            <w:pPr>
              <w:pStyle w:val="BodyText"/>
              <w:rPr>
                <w:lang w:val="en-NZ"/>
              </w:rPr>
            </w:pPr>
            <w:r w:rsidRPr="00370109">
              <w:t>H</w:t>
            </w:r>
          </w:p>
        </w:tc>
        <w:tc>
          <w:tcPr>
            <w:tcW w:w="5040" w:type="dxa"/>
            <w:tcBorders>
              <w:top w:val="nil"/>
              <w:left w:val="nil"/>
              <w:bottom w:val="nil"/>
              <w:right w:val="nil"/>
            </w:tcBorders>
            <w:tcMar>
              <w:top w:w="0" w:type="dxa"/>
              <w:left w:w="62" w:type="dxa"/>
              <w:bottom w:w="0" w:type="dxa"/>
              <w:right w:w="62" w:type="dxa"/>
            </w:tcMar>
          </w:tcPr>
          <w:p w:rsidR="00000000" w:rsidP="00370109">
            <w:pPr>
              <w:pStyle w:val="BodyText"/>
              <w:rPr>
                <w:lang w:val="en-NZ"/>
              </w:rPr>
            </w:pPr>
            <w:r w:rsidRPr="00370109">
              <w:t>Dealing with unplanned events by drawing on essential knowledge and skills to provide appropriate solutions incorporated in the holistic assessment with the above listed items</w:t>
            </w:r>
          </w:p>
        </w:tc>
      </w:tr>
      <w:tr w:rsidTr="00784C3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370109">
            <w:pPr>
              <w:pStyle w:val="BodyText"/>
              <w:rPr>
                <w:lang w:val="en-NZ"/>
              </w:rPr>
            </w:pPr>
            <w:r w:rsidRPr="00370109">
              <w:t xml:space="preserve">Note: </w:t>
            </w:r>
            <w:r w:rsidRPr="00370109">
              <w:br/>
              <w:t>Successful completion of relevant vendor training may be used to contri</w:t>
            </w:r>
            <w:r w:rsidRPr="00370109">
              <w:t>bute to evidence on which competency is deemed. In these cases the alignment of outcomes of vendor training with performance criteria and critical aspects of evidence shall be clearly identified.</w:t>
            </w:r>
          </w:p>
        </w:tc>
      </w:tr>
      <w:tr w:rsidTr="00784C3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370109" w:rsidP="00370109">
            <w:pPr>
              <w:pStyle w:val="BodyText"/>
            </w:pPr>
            <w:r w:rsidRPr="00370109">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370109" w:rsidP="00370109">
            <w:pPr>
              <w:pStyle w:val="BodyText"/>
            </w:pPr>
            <w:r w:rsidRPr="00370109">
              <w:rPr>
                <w:rStyle w:val="SpecialBold"/>
              </w:rPr>
              <w:t>9</w:t>
            </w:r>
            <w:r w:rsidRPr="00370109">
              <w:t>.</w:t>
            </w:r>
            <w:r w:rsidRPr="00370109">
              <w:rPr>
                <w:rStyle w:val="SpecialBold"/>
              </w:rPr>
              <w:t>3</w:t>
            </w:r>
            <w:r w:rsidRPr="00370109">
              <w:t xml:space="preserve">) </w:t>
            </w:r>
          </w:p>
          <w:p w:rsidR="00000000" w:rsidRPr="00370109" w:rsidP="00370109">
            <w:pPr>
              <w:pStyle w:val="BodyText"/>
            </w:pPr>
            <w:r w:rsidRPr="00370109">
              <w:t>This unit should be assessed as it relates to normal work practice using procedures, information and resources typical of a workplace. This should include:</w:t>
            </w:r>
          </w:p>
          <w:p w:rsidR="00000000" w:rsidRPr="00370109" w:rsidP="00370109">
            <w:pPr>
              <w:pStyle w:val="ListBullet"/>
            </w:pPr>
            <w:r w:rsidRPr="00370109">
              <w:t>OHS policy and work procedures and instructions.</w:t>
            </w:r>
          </w:p>
          <w:p w:rsidR="00000000" w:rsidRPr="00370109" w:rsidP="00370109">
            <w:pPr>
              <w:pStyle w:val="ListBullet"/>
            </w:pPr>
            <w:r w:rsidRPr="00370109">
              <w:t>Suitable work environment, facilities, equipment an</w:t>
            </w:r>
            <w:r w:rsidRPr="00370109">
              <w:t>d materials to undertake actual work as prescribed by this unit.</w:t>
            </w:r>
          </w:p>
          <w:p w:rsidR="00000000" w:rsidRPr="00370109" w:rsidP="00370109">
            <w:pPr>
              <w:pStyle w:val="BodyText"/>
            </w:pPr>
            <w:r w:rsidRPr="00370109">
              <w:t>These should be part of the formal learning/assessment environment.</w:t>
            </w:r>
          </w:p>
          <w:p w:rsidR="00000000" w:rsidRPr="00370109" w:rsidP="00370109">
            <w:pPr>
              <w:pStyle w:val="BodyText"/>
            </w:pPr>
            <w:r w:rsidRPr="00370109">
              <w:t>Note:</w:t>
            </w:r>
          </w:p>
          <w:p w:rsidR="00000000" w:rsidP="00370109">
            <w:pPr>
              <w:pStyle w:val="BodyText"/>
              <w:rPr>
                <w:lang w:val="en-NZ"/>
              </w:rPr>
            </w:pPr>
            <w:r w:rsidRPr="00370109">
              <w:t>Where simulation is considered a suitable strategy for assessment, conditions must be authentic and as far as possibl</w:t>
            </w:r>
            <w:r w:rsidRPr="00370109">
              <w:t>e reproduce and replicate the workplace and be consistent with the approved industry simulation policy.</w:t>
            </w:r>
          </w:p>
        </w:tc>
      </w:tr>
      <w:tr w:rsidTr="00784C3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370109">
            <w:pPr>
              <w:pStyle w:val="BodyText"/>
              <w:rPr>
                <w:lang w:val="en-NZ"/>
              </w:rPr>
            </w:pPr>
            <w:r w:rsidRPr="00370109">
              <w:t>Evidence should show demonstrated competency in maintaining microbial control of air and water systems.</w:t>
            </w:r>
          </w:p>
        </w:tc>
      </w:tr>
      <w:tr w:rsidTr="00784C3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370109" w:rsidP="00370109">
            <w:pPr>
              <w:pStyle w:val="BodyText"/>
            </w:pPr>
            <w:r w:rsidRPr="00370109">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370109" w:rsidP="00370109">
            <w:pPr>
              <w:pStyle w:val="BodyText"/>
            </w:pPr>
            <w:r w:rsidRPr="00370109">
              <w:rPr>
                <w:rStyle w:val="SpecialBold"/>
              </w:rPr>
              <w:t>9</w:t>
            </w:r>
            <w:r w:rsidRPr="00370109">
              <w:t>.</w:t>
            </w:r>
            <w:r w:rsidRPr="00370109">
              <w:rPr>
                <w:rStyle w:val="SpecialBold"/>
              </w:rPr>
              <w:t>4</w:t>
            </w:r>
            <w:r w:rsidRPr="00370109">
              <w:t xml:space="preserve">) </w:t>
            </w:r>
          </w:p>
          <w:p w:rsidR="00000000" w:rsidRPr="00370109" w:rsidP="00370109">
            <w:pPr>
              <w:pStyle w:val="BodyText"/>
            </w:pPr>
            <w:r w:rsidRPr="00370109">
              <w:t>This unit shal</w:t>
            </w:r>
            <w:r w:rsidRPr="00370109">
              <w:t>l be assessed by methods given in Volume 1, Part 3 'Assessment Guidelines'.</w:t>
            </w:r>
          </w:p>
          <w:p w:rsidR="00000000" w:rsidP="00370109">
            <w:pPr>
              <w:pStyle w:val="BodyText"/>
              <w:rPr>
                <w:lang w:val="en-NZ"/>
              </w:rPr>
            </w:pPr>
            <w:r w:rsidRPr="00370109">
              <w:t xml:space="preserve">Note: </w:t>
            </w:r>
            <w:r w:rsidRPr="00370109">
              <w:br/>
              <w:t xml:space="preserve">Competent performance with inherent safe working practices is expected in the Industry to which this unit applies. This requires </w:t>
            </w:r>
            <w:r w:rsidRPr="00370109">
              <w:t>assessment in a structured environment which is intended primarily for learning/assessment and incorporates all necessary equipment and facilities for learners to develop and demonstrate the essential knowledge and skills described in this unit.</w:t>
            </w:r>
          </w:p>
        </w:tc>
      </w:tr>
      <w:tr w:rsidTr="00784C3A">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370109" w:rsidP="00370109">
            <w:pPr>
              <w:pStyle w:val="BodyText"/>
            </w:pPr>
            <w:r w:rsidRPr="00370109">
              <w:rPr>
                <w:rStyle w:val="SpecialBold"/>
              </w:rPr>
              <w:t>Concurr</w:t>
            </w:r>
            <w:r w:rsidRPr="00370109">
              <w:rPr>
                <w:rStyle w:val="SpecialBold"/>
              </w:rPr>
              <w:t>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370109">
            <w:pPr>
              <w:pStyle w:val="BodyText"/>
              <w:rPr>
                <w:lang w:val="en-NZ"/>
              </w:rPr>
            </w:pPr>
            <w:r w:rsidRPr="00370109">
              <w:rPr>
                <w:rStyle w:val="SpecialBold"/>
              </w:rPr>
              <w:t>9</w:t>
            </w:r>
            <w:r w:rsidRPr="00370109">
              <w:t>.</w:t>
            </w:r>
            <w:r w:rsidRPr="00370109">
              <w:rPr>
                <w:rStyle w:val="SpecialBold"/>
              </w:rPr>
              <w:t>5</w:t>
            </w:r>
            <w:r w:rsidRPr="00370109">
              <w:t>)</w:t>
            </w:r>
          </w:p>
        </w:tc>
      </w:tr>
      <w:tr w:rsidTr="00784C3A">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370109" w:rsidP="00370109">
            <w:pPr>
              <w:pStyle w:val="BodyText"/>
            </w:pPr>
            <w:r w:rsidRPr="00370109">
              <w:t>There are no concurrent assessment recommendations for this unit.</w:t>
            </w:r>
          </w:p>
        </w:tc>
      </w:tr>
    </w:tbl>
    <w:p w:rsidR="00784C3A" w:rsidP="00370109">
      <w:pPr>
        <w:pStyle w:val="BodyText"/>
      </w:pPr>
    </w:p>
    <w:p w:rsidR="00784C3A" w:rsidP="00370109">
      <w:pPr>
        <w:pStyle w:val="BodyText"/>
      </w:pPr>
    </w:p>
    <w:p w:rsidR="00000000" w:rsidRPr="00370109" w:rsidP="00370109">
      <w:pPr>
        <w:pStyle w:val="Heading1"/>
      </w:pPr>
      <w:bookmarkStart w:id="11" w:name="O_440372"/>
      <w:bookmarkEnd w:id="11"/>
      <w:r w:rsidRPr="00370109">
        <w:t>Range Statement</w:t>
      </w:r>
    </w:p>
    <w:tbl>
      <w:tblPr>
        <w:tblW w:w="0" w:type="auto"/>
        <w:tblLayout w:type="fixed"/>
        <w:tblCellMar>
          <w:left w:w="62" w:type="dxa"/>
          <w:right w:w="62" w:type="dxa"/>
        </w:tblCellMar>
        <w:tblLook w:val="0000"/>
      </w:tblPr>
      <w:tblGrid>
        <w:gridCol w:w="8460"/>
      </w:tblGrid>
      <w:tr w:rsidTr="00784C3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370109">
            <w:pPr>
              <w:pStyle w:val="BodyText"/>
              <w:rPr>
                <w:lang w:val="en-NZ"/>
              </w:rPr>
            </w:pPr>
            <w:r w:rsidRPr="00370109">
              <w:t>RANGE STATEMENT</w:t>
            </w:r>
          </w:p>
        </w:tc>
      </w:tr>
      <w:tr w:rsidTr="00784C3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370109">
            <w:pPr>
              <w:pStyle w:val="BodyText"/>
              <w:rPr>
                <w:lang w:val="en-NZ"/>
              </w:rPr>
            </w:pPr>
            <w:r w:rsidRPr="00370109">
              <w:rPr>
                <w:rStyle w:val="SpecialBold"/>
              </w:rPr>
              <w:t>8</w:t>
            </w:r>
            <w:r w:rsidRPr="00370109">
              <w:t>) This relates to the unit as a whole providing the range of contexts and conditions to which the performance criteria apply. It allows for different work environments and situations that will affect performance.</w:t>
            </w:r>
          </w:p>
        </w:tc>
      </w:tr>
      <w:tr w:rsidTr="00784C3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370109">
            <w:pPr>
              <w:pStyle w:val="BodyText"/>
              <w:rPr>
                <w:lang w:val="en-NZ"/>
              </w:rPr>
            </w:pPr>
            <w:r w:rsidRPr="00370109">
              <w:t>This unit must be demonstrated in relation to maintaining microbial control of at least two different air and water systems.</w:t>
            </w:r>
          </w:p>
        </w:tc>
      </w:tr>
      <w:tr w:rsidTr="00784C3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370109" w:rsidP="00370109">
            <w:pPr>
              <w:pStyle w:val="BodyText"/>
            </w:pPr>
            <w:r w:rsidRPr="00370109">
              <w:t>Generic terms used throughout this Vocational Standard shall be regarded as part of the Range Statement in which competency is dem</w:t>
            </w:r>
            <w:r w:rsidRPr="00370109">
              <w:t>onstrated. The definition of these and other terms that apply are given in Volume 2, Part 2.1.</w:t>
            </w:r>
          </w:p>
        </w:tc>
      </w:tr>
    </w:tbl>
    <w:p w:rsidR="00784C3A" w:rsidP="00370109">
      <w:pPr>
        <w:pStyle w:val="BodyText"/>
      </w:pPr>
    </w:p>
    <w:p w:rsidR="00784C3A" w:rsidP="00370109">
      <w:pPr>
        <w:pStyle w:val="BodyText"/>
      </w:pPr>
    </w:p>
    <w:p w:rsidR="00000000" w:rsidRPr="00370109" w:rsidP="00370109">
      <w:pPr>
        <w:pStyle w:val="Heading1"/>
      </w:pPr>
      <w:bookmarkStart w:id="12" w:name="O_440367"/>
      <w:bookmarkEnd w:id="12"/>
      <w:r w:rsidRPr="00370109">
        <w:t>Unit Sector(s)</w:t>
      </w:r>
    </w:p>
    <w:p w:rsidR="00000000" w:rsidRPr="00370109" w:rsidP="00370109">
      <w:pPr>
        <w:pStyle w:val="BodyText"/>
      </w:pPr>
      <w:r w:rsidRPr="00370109">
        <w:t>Not Applicable</w:t>
      </w:r>
    </w:p>
    <w:p w:rsidR="00000000" w:rsidRPr="00370109" w:rsidP="00370109">
      <w:pPr>
        <w:pStyle w:val="AllowPageBreak"/>
      </w:pPr>
    </w:p>
    <w:p w:rsidR="00000000" w:rsidRPr="00370109" w:rsidP="00370109">
      <w:pPr>
        <w:pStyle w:val="Heading1"/>
      </w:pPr>
      <w:bookmarkStart w:id="13" w:name="O_440386"/>
      <w:bookmarkEnd w:id="13"/>
      <w:r w:rsidRPr="00370109">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784C3A">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370109" w:rsidP="00370109">
            <w:pPr>
              <w:pStyle w:val="BodyText"/>
            </w:pPr>
            <w:r w:rsidRPr="00370109">
              <w:rPr>
                <w:rStyle w:val="SpecialBold"/>
              </w:rPr>
              <w:t>2</w:t>
            </w:r>
            <w:r w:rsidRPr="00370109">
              <w:t>.</w:t>
            </w:r>
            <w:r w:rsidRPr="00370109">
              <w:rPr>
                <w:rStyle w:val="SpecialBold"/>
              </w:rPr>
              <w:t>2</w:t>
            </w:r>
            <w:r w:rsidRPr="00370109">
              <w:t xml:space="preserve">) </w:t>
            </w:r>
            <w:r w:rsidRPr="00370109">
              <w:rPr>
                <w:rStyle w:val="SpecialBold"/>
              </w:rPr>
              <w:t>Literacy and numeracy skills</w:t>
            </w:r>
          </w:p>
          <w:p w:rsidR="00000000" w:rsidP="00370109">
            <w:pPr>
              <w:pStyle w:val="BodyText"/>
              <w:rPr>
                <w:lang w:val="en-NZ"/>
              </w:rPr>
            </w:pPr>
            <w:r w:rsidRPr="00370109">
              <w:t>Participants are best equipped to achieve c</w:t>
            </w:r>
            <w:r w:rsidRPr="00370109">
              <w:t>ompetency in this unit if they have reading, writing and numeracy skills indicated by the following scales. Description of each scale is given in Volume 2, Part 3 'Literacy and Numeracy'</w:t>
            </w:r>
          </w:p>
        </w:tc>
      </w:tr>
      <w:tr w:rsidTr="00784C3A">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370109">
            <w:pPr>
              <w:pStyle w:val="BodyText"/>
              <w:rPr>
                <w:lang w:val="en-NZ"/>
              </w:rPr>
            </w:pPr>
            <w:r w:rsidRPr="00370109">
              <w:t>Reading</w:t>
            </w:r>
          </w:p>
        </w:tc>
        <w:tc>
          <w:tcPr>
            <w:tcW w:w="1182" w:type="dxa"/>
            <w:tcBorders>
              <w:top w:val="nil"/>
              <w:left w:val="nil"/>
              <w:bottom w:val="nil"/>
              <w:right w:val="nil"/>
            </w:tcBorders>
            <w:tcMar>
              <w:top w:w="0" w:type="dxa"/>
              <w:left w:w="62" w:type="dxa"/>
              <w:bottom w:w="0" w:type="dxa"/>
              <w:right w:w="62" w:type="dxa"/>
            </w:tcMar>
          </w:tcPr>
          <w:p w:rsidR="00000000" w:rsidP="00370109">
            <w:pPr>
              <w:pStyle w:val="BodyText"/>
              <w:rPr>
                <w:lang w:val="en-NZ"/>
              </w:rPr>
            </w:pPr>
            <w:r w:rsidRPr="00370109">
              <w:t>3</w:t>
            </w:r>
          </w:p>
        </w:tc>
        <w:tc>
          <w:tcPr>
            <w:tcW w:w="1739" w:type="dxa"/>
            <w:tcBorders>
              <w:top w:val="nil"/>
              <w:left w:val="nil"/>
              <w:bottom w:val="nil"/>
              <w:right w:val="nil"/>
            </w:tcBorders>
            <w:tcMar>
              <w:top w:w="0" w:type="dxa"/>
              <w:left w:w="62" w:type="dxa"/>
              <w:bottom w:w="0" w:type="dxa"/>
              <w:right w:w="62" w:type="dxa"/>
            </w:tcMar>
          </w:tcPr>
          <w:p w:rsidR="00000000" w:rsidP="00370109">
            <w:pPr>
              <w:pStyle w:val="BodyText"/>
              <w:rPr>
                <w:lang w:val="en-NZ"/>
              </w:rPr>
            </w:pPr>
            <w:r w:rsidRPr="00370109">
              <w:t>Writing</w:t>
            </w:r>
          </w:p>
        </w:tc>
        <w:tc>
          <w:tcPr>
            <w:tcW w:w="1182" w:type="dxa"/>
            <w:tcBorders>
              <w:top w:val="nil"/>
              <w:left w:val="nil"/>
              <w:bottom w:val="nil"/>
              <w:right w:val="nil"/>
            </w:tcBorders>
            <w:tcMar>
              <w:top w:w="0" w:type="dxa"/>
              <w:left w:w="62" w:type="dxa"/>
              <w:bottom w:w="0" w:type="dxa"/>
              <w:right w:w="62" w:type="dxa"/>
            </w:tcMar>
          </w:tcPr>
          <w:p w:rsidR="00000000" w:rsidP="00370109">
            <w:pPr>
              <w:pStyle w:val="BodyText"/>
              <w:rPr>
                <w:lang w:val="en-NZ"/>
              </w:rPr>
            </w:pPr>
            <w:r w:rsidRPr="00370109">
              <w:t>3</w:t>
            </w:r>
          </w:p>
        </w:tc>
        <w:tc>
          <w:tcPr>
            <w:tcW w:w="1721" w:type="dxa"/>
            <w:tcBorders>
              <w:top w:val="nil"/>
              <w:left w:val="nil"/>
              <w:bottom w:val="nil"/>
              <w:right w:val="nil"/>
            </w:tcBorders>
            <w:tcMar>
              <w:top w:w="0" w:type="dxa"/>
              <w:left w:w="62" w:type="dxa"/>
              <w:bottom w:w="0" w:type="dxa"/>
              <w:right w:w="62" w:type="dxa"/>
            </w:tcMar>
          </w:tcPr>
          <w:p w:rsidR="00000000" w:rsidP="00370109">
            <w:pPr>
              <w:pStyle w:val="BodyText"/>
              <w:rPr>
                <w:lang w:val="en-NZ"/>
              </w:rPr>
            </w:pPr>
            <w:r w:rsidRPr="00370109">
              <w:t>Numeracy</w:t>
            </w:r>
          </w:p>
        </w:tc>
        <w:tc>
          <w:tcPr>
            <w:tcW w:w="1182" w:type="dxa"/>
            <w:tcBorders>
              <w:top w:val="nil"/>
              <w:left w:val="nil"/>
              <w:bottom w:val="nil"/>
              <w:right w:val="nil"/>
            </w:tcBorders>
            <w:tcMar>
              <w:top w:w="0" w:type="dxa"/>
              <w:left w:w="62" w:type="dxa"/>
              <w:bottom w:w="0" w:type="dxa"/>
              <w:right w:w="62" w:type="dxa"/>
            </w:tcMar>
          </w:tcPr>
          <w:p w:rsidR="00000000" w:rsidRPr="00370109" w:rsidP="00370109">
            <w:pPr>
              <w:pStyle w:val="BodyText"/>
            </w:pPr>
            <w:r w:rsidRPr="00370109">
              <w:t>3</w:t>
            </w:r>
          </w:p>
        </w:tc>
      </w:tr>
    </w:tbl>
    <w:p w:rsidR="00784C3A" w:rsidP="00370109">
      <w:pPr>
        <w:pStyle w:val="BodyText"/>
      </w:pPr>
    </w:p>
    <w:p w:rsidR="00784C3A" w:rsidP="00370109">
      <w:pPr>
        <w:pStyle w:val="BodyText"/>
      </w:pPr>
    </w:p>
    <w:p w:rsidR="00000000" w:rsidRPr="00370109" w:rsidP="00370109">
      <w:pPr>
        <w:pStyle w:val="Heading1"/>
      </w:pPr>
      <w:bookmarkStart w:id="14" w:name="O_440390"/>
      <w:bookmarkEnd w:id="14"/>
      <w:r w:rsidRPr="00370109">
        <w:t>2.2) Literacy and numeracy skills</w:t>
      </w:r>
    </w:p>
    <w:tbl>
      <w:tblPr>
        <w:tblW w:w="0" w:type="auto"/>
        <w:tblLayout w:type="fixed"/>
        <w:tblCellMar>
          <w:left w:w="62" w:type="dxa"/>
          <w:right w:w="62" w:type="dxa"/>
        </w:tblCellMar>
        <w:tblLook w:val="0000"/>
      </w:tblPr>
      <w:tblGrid>
        <w:gridCol w:w="2700"/>
        <w:gridCol w:w="5760"/>
      </w:tblGrid>
      <w:tr w:rsidTr="00784C3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70109" w:rsidP="00370109">
            <w:pPr>
              <w:pStyle w:val="BodyText"/>
            </w:pPr>
            <w:r w:rsidRPr="00370109">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370109">
            <w:pPr>
              <w:pStyle w:val="BodyText"/>
              <w:rPr>
                <w:lang w:val="en-NZ"/>
              </w:rPr>
            </w:pPr>
            <w:r w:rsidRPr="00370109">
              <w:rPr>
                <w:rStyle w:val="SpecialBold"/>
              </w:rPr>
              <w:t>5</w:t>
            </w:r>
            <w:r w:rsidRPr="00370109">
              <w:t>)</w:t>
            </w:r>
          </w:p>
        </w:tc>
      </w:tr>
      <w:tr w:rsidTr="00784C3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70109" w:rsidP="00370109">
            <w:pPr>
              <w:pStyle w:val="BodyText"/>
            </w:pPr>
            <w:r w:rsidRPr="00370109">
              <w:t>Refrigeration and Air Conditioning</w:t>
            </w:r>
          </w:p>
        </w:tc>
      </w:tr>
    </w:tbl>
    <w:p w:rsidR="00784C3A" w:rsidP="00370109">
      <w:pPr>
        <w:pStyle w:val="BodyText"/>
      </w:pPr>
    </w:p>
    <w:p w:rsidR="00784C3A" w:rsidP="00370109">
      <w:pPr>
        <w:pStyle w:val="BodyText"/>
      </w:pPr>
    </w:p>
    <w:p w:rsidR="00000000" w:rsidRPr="00370109" w:rsidP="00370109"/>
    <w:sectPr w:rsidSect="0037010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1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84C3A" w:rsidP="00784C3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1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C3A" w:rsidP="0037010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784C3A" w:rsidP="0037010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784C3A" w:rsidP="0037010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1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109" w:rsidRPr="00784C3A" w:rsidP="00784C3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1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C3A" w:rsidRPr="002D2AF8" w:rsidP="00370109">
    <w:pPr>
      <w:pStyle w:val="Header"/>
      <w:framePr w:wrap="around"/>
    </w:pPr>
    <w:r>
      <w:fldChar w:fldCharType="begin"/>
    </w:r>
    <w:r>
      <w:instrText xml:space="preserve"> TITLE   \* MERGEFORMAT </w:instrText>
    </w:r>
    <w:r>
      <w:fldChar w:fldCharType="separate"/>
    </w:r>
    <w:r>
      <w:t>UEENEEJ168A Maintain microbial control of refrigeration and air conditioning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784C3A" w:rsidP="0037010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35819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0405A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5E28D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010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70109"/>
    <w:pPr>
      <w:spacing w:before="360" w:after="60"/>
      <w:outlineLvl w:val="0"/>
    </w:pPr>
    <w:rPr>
      <w:sz w:val="32"/>
    </w:rPr>
  </w:style>
  <w:style w:type="paragraph" w:styleId="Heading2">
    <w:name w:val="heading 2"/>
    <w:basedOn w:val="HeadingBase"/>
    <w:next w:val="BodyText"/>
    <w:link w:val="Heading2Char"/>
    <w:qFormat/>
    <w:rsid w:val="00370109"/>
    <w:pPr>
      <w:keepLines/>
      <w:spacing w:before="240" w:after="120"/>
      <w:outlineLvl w:val="1"/>
    </w:pPr>
    <w:rPr>
      <w:sz w:val="28"/>
      <w:szCs w:val="40"/>
    </w:rPr>
  </w:style>
  <w:style w:type="paragraph" w:styleId="Heading3">
    <w:name w:val="heading 3"/>
    <w:basedOn w:val="HeadingBase"/>
    <w:next w:val="BodyText"/>
    <w:link w:val="Heading3Char"/>
    <w:qFormat/>
    <w:rsid w:val="00370109"/>
    <w:pPr>
      <w:spacing w:before="180" w:after="120"/>
      <w:outlineLvl w:val="2"/>
    </w:pPr>
    <w:rPr>
      <w:spacing w:val="-10"/>
      <w:kern w:val="32"/>
    </w:rPr>
  </w:style>
  <w:style w:type="paragraph" w:styleId="Heading4">
    <w:name w:val="heading 4"/>
    <w:basedOn w:val="HeadingBase"/>
    <w:next w:val="BodyText"/>
    <w:link w:val="Heading4Char"/>
    <w:qFormat/>
    <w:rsid w:val="00370109"/>
    <w:pPr>
      <w:spacing w:before="160" w:after="120"/>
      <w:outlineLvl w:val="3"/>
    </w:pPr>
    <w:rPr>
      <w:sz w:val="22"/>
    </w:rPr>
  </w:style>
  <w:style w:type="paragraph" w:styleId="Heading5">
    <w:name w:val="heading 5"/>
    <w:basedOn w:val="HeadingBase"/>
    <w:next w:val="Normal"/>
    <w:link w:val="Heading5Char"/>
    <w:qFormat/>
    <w:rsid w:val="00370109"/>
    <w:pPr>
      <w:spacing w:before="80"/>
      <w:outlineLvl w:val="4"/>
    </w:pPr>
    <w:rPr>
      <w:color w:val="918585"/>
      <w:sz w:val="20"/>
    </w:rPr>
  </w:style>
  <w:style w:type="paragraph" w:styleId="Heading6">
    <w:name w:val="heading 6"/>
    <w:basedOn w:val="HeadingBase"/>
    <w:next w:val="Normal"/>
    <w:link w:val="Heading6Char"/>
    <w:qFormat/>
    <w:rsid w:val="00370109"/>
    <w:pPr>
      <w:spacing w:before="60"/>
      <w:outlineLvl w:val="5"/>
    </w:pPr>
    <w:rPr>
      <w:color w:val="918585"/>
      <w:sz w:val="20"/>
    </w:rPr>
  </w:style>
  <w:style w:type="paragraph" w:styleId="Heading7">
    <w:name w:val="heading 7"/>
    <w:basedOn w:val="Normal"/>
    <w:next w:val="Normal"/>
    <w:link w:val="Heading7Char"/>
    <w:qFormat/>
    <w:rsid w:val="00370109"/>
    <w:pPr>
      <w:ind w:left="720"/>
      <w:outlineLvl w:val="6"/>
    </w:pPr>
    <w:rPr>
      <w:i/>
    </w:rPr>
  </w:style>
  <w:style w:type="paragraph" w:styleId="Heading8">
    <w:name w:val="heading 8"/>
    <w:basedOn w:val="Normal"/>
    <w:next w:val="Normal"/>
    <w:link w:val="Heading8Char"/>
    <w:qFormat/>
    <w:rsid w:val="00370109"/>
    <w:pPr>
      <w:ind w:left="720"/>
      <w:outlineLvl w:val="7"/>
    </w:pPr>
    <w:rPr>
      <w:i/>
    </w:rPr>
  </w:style>
  <w:style w:type="paragraph" w:styleId="Heading9">
    <w:name w:val="heading 9"/>
    <w:basedOn w:val="Normal"/>
    <w:next w:val="Normal"/>
    <w:link w:val="Heading9Char"/>
    <w:qFormat/>
    <w:rsid w:val="00370109"/>
    <w:pPr>
      <w:ind w:left="720"/>
      <w:outlineLvl w:val="8"/>
    </w:pPr>
    <w:rPr>
      <w:i/>
    </w:rPr>
  </w:style>
  <w:style w:type="character" w:default="1" w:styleId="DefaultParagraphFont">
    <w:name w:val="Default Paragraph Font"/>
    <w:uiPriority w:val="1"/>
    <w:unhideWhenUsed/>
    <w:rsid w:val="003701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70109"/>
  </w:style>
  <w:style w:type="character" w:customStyle="1" w:styleId="Heading1Char">
    <w:name w:val="Heading 1 Char"/>
    <w:basedOn w:val="DefaultParagraphFont"/>
    <w:link w:val="Heading1"/>
    <w:rsid w:val="00370109"/>
    <w:rPr>
      <w:rFonts w:ascii="Times New Roman" w:eastAsia="Times New Roman" w:hAnsi="Times New Roman" w:cs="Times New Roman"/>
      <w:b/>
      <w:sz w:val="32"/>
      <w:szCs w:val="20"/>
      <w:lang w:eastAsia="en-US"/>
    </w:rPr>
  </w:style>
  <w:style w:type="paragraph" w:styleId="BodyText">
    <w:name w:val="Body Text"/>
    <w:basedOn w:val="Normal"/>
    <w:link w:val="BodyTextChar"/>
    <w:rsid w:val="0037010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70109"/>
    <w:rPr>
      <w:rFonts w:ascii="Times New Roman" w:eastAsia="Times New Roman" w:hAnsi="Times New Roman" w:cs="Times New Roman"/>
      <w:sz w:val="24"/>
      <w:lang w:eastAsia="en-US"/>
    </w:rPr>
  </w:style>
  <w:style w:type="paragraph" w:styleId="Footer">
    <w:name w:val="footer"/>
    <w:basedOn w:val="Normal"/>
    <w:link w:val="FooterChar"/>
    <w:rsid w:val="003701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70109"/>
    <w:rPr>
      <w:rFonts w:ascii="Times New Roman" w:eastAsia="Times New Roman" w:hAnsi="Times New Roman" w:cs="Times New Roman"/>
      <w:sz w:val="16"/>
      <w:lang w:eastAsia="en-US"/>
    </w:rPr>
  </w:style>
  <w:style w:type="paragraph" w:styleId="ListBullet">
    <w:name w:val="List Bullet"/>
    <w:basedOn w:val="List"/>
    <w:rsid w:val="00370109"/>
    <w:pPr>
      <w:numPr>
        <w:numId w:val="13"/>
      </w:numPr>
      <w:tabs>
        <w:tab w:val="clear" w:pos="340"/>
      </w:tabs>
      <w:spacing w:before="40" w:after="40"/>
    </w:pPr>
  </w:style>
  <w:style w:type="character" w:customStyle="1" w:styleId="SpecialBold">
    <w:name w:val="Special Bold"/>
    <w:basedOn w:val="DefaultParagraphFont"/>
    <w:rsid w:val="00370109"/>
    <w:rPr>
      <w:b/>
      <w:spacing w:val="0"/>
    </w:rPr>
  </w:style>
  <w:style w:type="paragraph" w:styleId="ListBullet2">
    <w:name w:val="List Bullet 2"/>
    <w:basedOn w:val="List2"/>
    <w:rsid w:val="00370109"/>
    <w:pPr>
      <w:numPr>
        <w:numId w:val="14"/>
      </w:numPr>
      <w:tabs>
        <w:tab w:val="clear" w:pos="680"/>
      </w:tabs>
    </w:pPr>
  </w:style>
  <w:style w:type="paragraph" w:customStyle="1" w:styleId="SuperHeading">
    <w:name w:val="SuperHeading"/>
    <w:basedOn w:val="Normal"/>
    <w:rsid w:val="00370109"/>
    <w:pPr>
      <w:spacing w:before="240" w:after="120"/>
      <w:outlineLvl w:val="0"/>
    </w:pPr>
    <w:rPr>
      <w:rFonts w:ascii="Times New Roman" w:hAnsi="Times New Roman"/>
      <w:b/>
      <w:sz w:val="28"/>
    </w:rPr>
  </w:style>
  <w:style w:type="paragraph" w:customStyle="1" w:styleId="AllowPageBreak">
    <w:name w:val="AllowPageBreak"/>
    <w:rsid w:val="0037010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701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7010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7010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701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701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7010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7010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70109"/>
    <w:rPr>
      <w:rFonts w:ascii="Courier New" w:eastAsia="Times New Roman" w:hAnsi="Courier New" w:cs="Times New Roman"/>
      <w:i/>
      <w:szCs w:val="20"/>
      <w:lang w:eastAsia="en-US"/>
    </w:rPr>
  </w:style>
  <w:style w:type="paragraph" w:customStyle="1" w:styleId="HeadingBase">
    <w:name w:val="Heading Base"/>
    <w:rsid w:val="003701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70109"/>
    <w:pPr>
      <w:tabs>
        <w:tab w:val="right" w:leader="dot" w:pos="9072"/>
      </w:tabs>
      <w:ind w:left="567"/>
    </w:pPr>
    <w:rPr>
      <w:szCs w:val="22"/>
    </w:rPr>
  </w:style>
  <w:style w:type="paragraph" w:customStyle="1" w:styleId="TOCBase">
    <w:name w:val="TOC Base"/>
    <w:rsid w:val="003701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70109"/>
    <w:pPr>
      <w:tabs>
        <w:tab w:val="right" w:leader="dot" w:pos="9072"/>
      </w:tabs>
      <w:spacing w:before="40" w:after="40"/>
      <w:ind w:left="284"/>
    </w:pPr>
    <w:rPr>
      <w:rFonts w:ascii="Times New Roman" w:hAnsi="Times New Roman"/>
    </w:rPr>
  </w:style>
  <w:style w:type="paragraph" w:styleId="TOC1">
    <w:name w:val="toc 1"/>
    <w:basedOn w:val="TOCBase"/>
    <w:next w:val="Normal"/>
    <w:rsid w:val="0037010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70109"/>
    <w:pPr>
      <w:spacing w:before="5040"/>
      <w:jc w:val="center"/>
    </w:pPr>
    <w:rPr>
      <w:sz w:val="48"/>
      <w:szCs w:val="72"/>
      <w:lang w:val="en-US"/>
    </w:rPr>
  </w:style>
  <w:style w:type="character" w:customStyle="1" w:styleId="TitleChar">
    <w:name w:val="Title Char"/>
    <w:basedOn w:val="DefaultParagraphFont"/>
    <w:link w:val="Title"/>
    <w:rsid w:val="003701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70109"/>
    <w:pPr>
      <w:tabs>
        <w:tab w:val="left" w:pos="3600"/>
        <w:tab w:val="left" w:pos="3958"/>
      </w:tabs>
    </w:pPr>
  </w:style>
  <w:style w:type="paragraph" w:styleId="List">
    <w:name w:val="List"/>
    <w:basedOn w:val="BodyText"/>
    <w:next w:val="BodyText"/>
    <w:rsid w:val="00370109"/>
    <w:pPr>
      <w:tabs>
        <w:tab w:val="left" w:pos="340"/>
      </w:tabs>
      <w:spacing w:before="60" w:after="60"/>
      <w:ind w:left="340" w:hanging="340"/>
    </w:pPr>
  </w:style>
  <w:style w:type="paragraph" w:customStyle="1" w:styleId="Note">
    <w:name w:val="Note"/>
    <w:basedOn w:val="BodyText"/>
    <w:rsid w:val="0037010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70109"/>
    <w:pPr>
      <w:framePr w:wrap="auto" w:hAnchor="text" w:y="6049"/>
    </w:pPr>
    <w:rPr>
      <w:color w:val="000000"/>
      <w:sz w:val="40"/>
    </w:rPr>
  </w:style>
  <w:style w:type="paragraph" w:customStyle="1" w:styleId="TOCTitle">
    <w:name w:val="TOCTitle"/>
    <w:basedOn w:val="Heading1"/>
    <w:rsid w:val="00370109"/>
    <w:pPr>
      <w:spacing w:after="240"/>
      <w:jc w:val="center"/>
      <w:outlineLvl w:val="9"/>
    </w:pPr>
    <w:rPr>
      <w:caps/>
    </w:rPr>
  </w:style>
  <w:style w:type="paragraph" w:customStyle="1" w:styleId="Version">
    <w:name w:val="Version"/>
    <w:rsid w:val="0037010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70109"/>
    <w:pPr>
      <w:keepNext w:val="0"/>
      <w:tabs>
        <w:tab w:val="right" w:pos="4176"/>
      </w:tabs>
      <w:ind w:left="198" w:hanging="198"/>
    </w:pPr>
    <w:rPr>
      <w:rFonts w:ascii="Garamond" w:hAnsi="Garamond"/>
    </w:rPr>
  </w:style>
  <w:style w:type="paragraph" w:styleId="IndexHeading">
    <w:name w:val="index heading"/>
    <w:basedOn w:val="Normal"/>
    <w:next w:val="Index1"/>
    <w:semiHidden/>
    <w:rsid w:val="00370109"/>
    <w:pPr>
      <w:spacing w:before="120" w:after="120"/>
    </w:pPr>
    <w:rPr>
      <w:rFonts w:ascii="Arial" w:hAnsi="Arial"/>
      <w:b/>
      <w:color w:val="918585"/>
      <w:sz w:val="24"/>
    </w:rPr>
  </w:style>
  <w:style w:type="paragraph" w:styleId="Header">
    <w:name w:val="header"/>
    <w:basedOn w:val="Normal"/>
    <w:link w:val="HeaderChar"/>
    <w:rsid w:val="003701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70109"/>
    <w:rPr>
      <w:rFonts w:ascii="Times New Roman" w:eastAsia="Times New Roman" w:hAnsi="Times New Roman" w:cs="Times New Roman"/>
      <w:sz w:val="16"/>
      <w:szCs w:val="20"/>
      <w:lang w:val="en-GB" w:eastAsia="en-US"/>
    </w:rPr>
  </w:style>
  <w:style w:type="paragraph" w:customStyle="1" w:styleId="Chapter">
    <w:name w:val="Chapter"/>
    <w:basedOn w:val="Normal"/>
    <w:rsid w:val="00370109"/>
    <w:pPr>
      <w:spacing w:before="240"/>
    </w:pPr>
    <w:rPr>
      <w:rFonts w:ascii="Times New Roman" w:hAnsi="Times New Roman"/>
      <w:smallCaps/>
      <w:spacing w:val="80"/>
      <w:sz w:val="28"/>
    </w:rPr>
  </w:style>
  <w:style w:type="paragraph" w:customStyle="1" w:styleId="InChapter">
    <w:name w:val="InChapter"/>
    <w:basedOn w:val="Heading3"/>
    <w:rsid w:val="00370109"/>
    <w:pPr>
      <w:spacing w:after="240"/>
      <w:outlineLvl w:val="9"/>
    </w:pPr>
    <w:rPr>
      <w:noProof/>
    </w:rPr>
  </w:style>
  <w:style w:type="paragraph" w:styleId="Index2">
    <w:name w:val="index 2"/>
    <w:basedOn w:val="Normal"/>
    <w:next w:val="Normal"/>
    <w:semiHidden/>
    <w:rsid w:val="00370109"/>
    <w:pPr>
      <w:tabs>
        <w:tab w:val="right" w:pos="4176"/>
      </w:tabs>
      <w:ind w:left="568" w:hanging="284"/>
    </w:pPr>
    <w:rPr>
      <w:rFonts w:ascii="Garamond" w:hAnsi="Garamond"/>
    </w:rPr>
  </w:style>
  <w:style w:type="paragraph" w:customStyle="1" w:styleId="Byline">
    <w:name w:val="Byline"/>
    <w:rsid w:val="003701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70109"/>
    <w:pPr>
      <w:tabs>
        <w:tab w:val="clear" w:pos="3600"/>
        <w:tab w:val="clear" w:pos="3958"/>
      </w:tabs>
      <w:jc w:val="right"/>
    </w:pPr>
  </w:style>
  <w:style w:type="character" w:styleId="Emphasis">
    <w:name w:val="Emphasis"/>
    <w:basedOn w:val="DefaultParagraphFont"/>
    <w:qFormat/>
    <w:rsid w:val="00370109"/>
    <w:rPr>
      <w:i/>
    </w:rPr>
  </w:style>
  <w:style w:type="paragraph" w:styleId="Caption">
    <w:name w:val="caption"/>
    <w:basedOn w:val="BodyText"/>
    <w:next w:val="Normal"/>
    <w:qFormat/>
    <w:rsid w:val="00370109"/>
    <w:pPr>
      <w:framePr w:w="2268" w:hSpace="181" w:vSpace="181" w:wrap="around" w:vAnchor="text" w:hAnchor="page" w:x="1135" w:y="285" w:anchorLock="1"/>
    </w:pPr>
    <w:rPr>
      <w:i/>
    </w:rPr>
  </w:style>
  <w:style w:type="paragraph" w:customStyle="1" w:styleId="MiniTOCTitle">
    <w:name w:val="MiniTOCTitle"/>
    <w:basedOn w:val="Heading4"/>
    <w:rsid w:val="00370109"/>
    <w:pPr>
      <w:spacing w:before="240"/>
      <w:outlineLvl w:val="9"/>
    </w:pPr>
    <w:rPr>
      <w:noProof/>
      <w:sz w:val="24"/>
    </w:rPr>
  </w:style>
  <w:style w:type="paragraph" w:customStyle="1" w:styleId="MiniTOCItem">
    <w:name w:val="MiniTOCItem"/>
    <w:basedOn w:val="ListBullet"/>
    <w:rsid w:val="00370109"/>
    <w:pPr>
      <w:numPr>
        <w:numId w:val="0"/>
      </w:numPr>
      <w:tabs>
        <w:tab w:val="right" w:leader="dot" w:pos="6521"/>
      </w:tabs>
      <w:spacing w:before="0" w:after="0"/>
    </w:pPr>
  </w:style>
  <w:style w:type="paragraph" w:customStyle="1" w:styleId="TOFTitle">
    <w:name w:val="TOFTitle"/>
    <w:basedOn w:val="TOCTitle"/>
    <w:rsid w:val="00370109"/>
  </w:style>
  <w:style w:type="paragraph" w:styleId="TableofFigures">
    <w:name w:val="table of figures"/>
    <w:basedOn w:val="Normal"/>
    <w:next w:val="Normal"/>
    <w:semiHidden/>
    <w:rsid w:val="00370109"/>
    <w:pPr>
      <w:tabs>
        <w:tab w:val="right" w:leader="dot" w:pos="9072"/>
      </w:tabs>
      <w:ind w:left="970" w:hanging="403"/>
    </w:pPr>
    <w:rPr>
      <w:rFonts w:ascii="Times New Roman" w:hAnsi="Times New Roman"/>
      <w:b/>
    </w:rPr>
  </w:style>
  <w:style w:type="paragraph" w:styleId="ListNumber">
    <w:name w:val="List Number"/>
    <w:basedOn w:val="List"/>
    <w:rsid w:val="00370109"/>
    <w:pPr>
      <w:numPr>
        <w:numId w:val="11"/>
      </w:numPr>
    </w:pPr>
  </w:style>
  <w:style w:type="character" w:customStyle="1" w:styleId="WingdingSymbols">
    <w:name w:val="Wingding Symbols"/>
    <w:rsid w:val="00370109"/>
    <w:rPr>
      <w:rFonts w:ascii="Wingdings" w:hAnsi="Wingdings"/>
    </w:rPr>
  </w:style>
  <w:style w:type="paragraph" w:customStyle="1" w:styleId="TableHeading">
    <w:name w:val="Table Heading"/>
    <w:basedOn w:val="HeadingBase"/>
    <w:rsid w:val="00370109"/>
    <w:pPr>
      <w:keepLines/>
      <w:pBdr>
        <w:bottom w:val="single" w:sz="6" w:space="1" w:color="918585"/>
      </w:pBdr>
      <w:spacing w:before="240"/>
    </w:pPr>
  </w:style>
  <w:style w:type="character" w:customStyle="1" w:styleId="HotSpot">
    <w:name w:val="HotSpot"/>
    <w:rsid w:val="00370109"/>
    <w:rPr>
      <w:color w:val="0033CC"/>
      <w:u w:val="none"/>
    </w:rPr>
  </w:style>
  <w:style w:type="paragraph" w:customStyle="1" w:styleId="BodyTextRight">
    <w:name w:val="Body Text Right"/>
    <w:basedOn w:val="BodyText"/>
    <w:rsid w:val="00370109"/>
    <w:pPr>
      <w:spacing w:before="0" w:after="0"/>
      <w:jc w:val="right"/>
    </w:pPr>
  </w:style>
  <w:style w:type="paragraph" w:styleId="Index3">
    <w:name w:val="index 3"/>
    <w:basedOn w:val="ListNumber2"/>
    <w:next w:val="Normal"/>
    <w:semiHidden/>
    <w:rsid w:val="00370109"/>
    <w:pPr>
      <w:numPr>
        <w:numId w:val="0"/>
      </w:numPr>
      <w:tabs>
        <w:tab w:val="right" w:leader="dot" w:pos="4176"/>
      </w:tabs>
    </w:pPr>
  </w:style>
  <w:style w:type="paragraph" w:styleId="ListNumber2">
    <w:name w:val="List Number 2"/>
    <w:basedOn w:val="List2"/>
    <w:rsid w:val="00370109"/>
    <w:pPr>
      <w:numPr>
        <w:numId w:val="10"/>
      </w:numPr>
      <w:tabs>
        <w:tab w:val="clear" w:pos="1060"/>
      </w:tabs>
    </w:pPr>
  </w:style>
  <w:style w:type="paragraph" w:customStyle="1" w:styleId="MarginNote">
    <w:name w:val="Margin Note"/>
    <w:basedOn w:val="BodyText"/>
    <w:rsid w:val="003701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701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7010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70109"/>
    <w:rPr>
      <w:sz w:val="32"/>
    </w:rPr>
  </w:style>
  <w:style w:type="paragraph" w:customStyle="1" w:styleId="HeadingProcedure">
    <w:name w:val="Heading Procedure"/>
    <w:basedOn w:val="HeadingBase"/>
    <w:next w:val="Normal"/>
    <w:rsid w:val="00370109"/>
    <w:pPr>
      <w:tabs>
        <w:tab w:val="left" w:pos="0"/>
      </w:tabs>
      <w:spacing w:before="120" w:after="60"/>
    </w:pPr>
    <w:rPr>
      <w:i/>
      <w:color w:val="918585"/>
      <w:sz w:val="22"/>
    </w:rPr>
  </w:style>
  <w:style w:type="paragraph" w:customStyle="1" w:styleId="TableBodyText">
    <w:name w:val="Table Body Text"/>
    <w:basedOn w:val="BodyText"/>
    <w:rsid w:val="00370109"/>
    <w:pPr>
      <w:spacing w:before="60" w:after="60"/>
    </w:pPr>
  </w:style>
  <w:style w:type="paragraph" w:styleId="ListContinue">
    <w:name w:val="List Continue"/>
    <w:basedOn w:val="List"/>
    <w:rsid w:val="00370109"/>
    <w:pPr>
      <w:ind w:firstLine="0"/>
    </w:pPr>
  </w:style>
  <w:style w:type="paragraph" w:customStyle="1" w:styleId="ListNote">
    <w:name w:val="List Note"/>
    <w:basedOn w:val="List"/>
    <w:rsid w:val="00370109"/>
    <w:pPr>
      <w:pBdr>
        <w:top w:val="single" w:sz="6" w:space="2" w:color="918585"/>
        <w:bottom w:val="single" w:sz="6" w:space="2" w:color="918585"/>
      </w:pBdr>
      <w:tabs>
        <w:tab w:val="left" w:pos="1021"/>
      </w:tabs>
      <w:ind w:firstLine="0"/>
    </w:pPr>
  </w:style>
  <w:style w:type="paragraph" w:customStyle="1" w:styleId="Warning">
    <w:name w:val="Warning"/>
    <w:basedOn w:val="BodyText"/>
    <w:rsid w:val="00370109"/>
    <w:pPr>
      <w:shd w:val="clear" w:color="auto" w:fill="D9D9D9"/>
      <w:tabs>
        <w:tab w:val="left" w:pos="992"/>
      </w:tabs>
      <w:ind w:left="119" w:right="119"/>
    </w:pPr>
    <w:rPr>
      <w:sz w:val="20"/>
    </w:rPr>
  </w:style>
  <w:style w:type="paragraph" w:customStyle="1" w:styleId="MarginIcons">
    <w:name w:val="Margin Icons"/>
    <w:basedOn w:val="BodyText"/>
    <w:rsid w:val="003701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70109"/>
    <w:rPr>
      <w:rFonts w:ascii="Courier New" w:hAnsi="Courier New"/>
    </w:rPr>
  </w:style>
  <w:style w:type="paragraph" w:customStyle="1" w:styleId="NoteBullet">
    <w:name w:val="Note Bullet"/>
    <w:basedOn w:val="Note"/>
    <w:rsid w:val="00370109"/>
    <w:pPr>
      <w:tabs>
        <w:tab w:val="clear" w:pos="680"/>
      </w:tabs>
      <w:spacing w:before="60" w:after="60"/>
    </w:pPr>
  </w:style>
  <w:style w:type="paragraph" w:customStyle="1" w:styleId="SubHeading2">
    <w:name w:val="SubHeading2"/>
    <w:basedOn w:val="HeadingBase"/>
    <w:rsid w:val="00370109"/>
    <w:pPr>
      <w:spacing w:before="240" w:after="60"/>
    </w:pPr>
    <w:rPr>
      <w:sz w:val="20"/>
    </w:rPr>
  </w:style>
  <w:style w:type="paragraph" w:customStyle="1" w:styleId="SubHeading1">
    <w:name w:val="SubHeading1"/>
    <w:basedOn w:val="HeadingBase"/>
    <w:rsid w:val="00370109"/>
    <w:pPr>
      <w:spacing w:before="240" w:after="60"/>
    </w:pPr>
    <w:rPr>
      <w:color w:val="918585"/>
      <w:sz w:val="22"/>
    </w:rPr>
  </w:style>
  <w:style w:type="paragraph" w:customStyle="1" w:styleId="SideHeading">
    <w:name w:val="Side Heading"/>
    <w:basedOn w:val="HeadingBase"/>
    <w:rsid w:val="003701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70109"/>
    <w:pPr>
      <w:numPr>
        <w:numId w:val="12"/>
      </w:numPr>
    </w:pPr>
  </w:style>
  <w:style w:type="paragraph" w:styleId="PlainText">
    <w:name w:val="Plain Text"/>
    <w:basedOn w:val="Normal"/>
    <w:link w:val="PlainTextChar"/>
    <w:rsid w:val="00370109"/>
    <w:rPr>
      <w:sz w:val="20"/>
    </w:rPr>
  </w:style>
  <w:style w:type="character" w:customStyle="1" w:styleId="PlainTextChar">
    <w:name w:val="Plain Text Char"/>
    <w:basedOn w:val="DefaultParagraphFont"/>
    <w:link w:val="PlainText"/>
    <w:rsid w:val="00370109"/>
    <w:rPr>
      <w:rFonts w:ascii="Courier New" w:eastAsia="Times New Roman" w:hAnsi="Courier New" w:cs="Times New Roman"/>
      <w:sz w:val="20"/>
      <w:szCs w:val="20"/>
      <w:lang w:eastAsia="en-US"/>
    </w:rPr>
  </w:style>
  <w:style w:type="character" w:customStyle="1" w:styleId="MenuOption">
    <w:name w:val="Menu Option"/>
    <w:basedOn w:val="DefaultParagraphFont"/>
    <w:rsid w:val="00370109"/>
    <w:rPr>
      <w:b/>
      <w:smallCaps/>
    </w:rPr>
  </w:style>
  <w:style w:type="paragraph" w:customStyle="1" w:styleId="TableListNumber">
    <w:name w:val="Table List Number"/>
    <w:basedOn w:val="ListNumber"/>
    <w:rsid w:val="00370109"/>
    <w:pPr>
      <w:numPr>
        <w:numId w:val="0"/>
      </w:numPr>
    </w:pPr>
  </w:style>
  <w:style w:type="paragraph" w:styleId="TOC4">
    <w:name w:val="toc 4"/>
    <w:basedOn w:val="TOCBase"/>
    <w:next w:val="Normal"/>
    <w:semiHidden/>
    <w:rsid w:val="00370109"/>
    <w:pPr>
      <w:tabs>
        <w:tab w:val="right" w:leader="dot" w:pos="9071"/>
      </w:tabs>
      <w:ind w:left="1701"/>
    </w:pPr>
  </w:style>
  <w:style w:type="paragraph" w:customStyle="1" w:styleId="ListAlpha">
    <w:name w:val="List Alpha"/>
    <w:basedOn w:val="List"/>
    <w:rsid w:val="00370109"/>
    <w:pPr>
      <w:numPr>
        <w:numId w:val="9"/>
      </w:numPr>
    </w:pPr>
  </w:style>
  <w:style w:type="paragraph" w:customStyle="1" w:styleId="ListAlpha2">
    <w:name w:val="List Alpha 2"/>
    <w:basedOn w:val="List2"/>
    <w:rsid w:val="00370109"/>
    <w:pPr>
      <w:numPr>
        <w:numId w:val="8"/>
      </w:numPr>
    </w:pPr>
  </w:style>
  <w:style w:type="paragraph" w:styleId="List2">
    <w:name w:val="List 2"/>
    <w:basedOn w:val="BodyText"/>
    <w:rsid w:val="00370109"/>
    <w:pPr>
      <w:tabs>
        <w:tab w:val="left" w:pos="680"/>
      </w:tabs>
      <w:spacing w:before="60" w:after="60"/>
      <w:ind w:left="680" w:hanging="340"/>
    </w:pPr>
  </w:style>
  <w:style w:type="paragraph" w:styleId="List3">
    <w:name w:val="List 3"/>
    <w:basedOn w:val="BodyText"/>
    <w:rsid w:val="00370109"/>
    <w:pPr>
      <w:tabs>
        <w:tab w:val="left" w:pos="1021"/>
      </w:tabs>
      <w:spacing w:before="60" w:after="60"/>
      <w:ind w:left="1020" w:hanging="340"/>
    </w:pPr>
  </w:style>
  <w:style w:type="paragraph" w:styleId="List4">
    <w:name w:val="List 4"/>
    <w:basedOn w:val="BodyText"/>
    <w:rsid w:val="00370109"/>
    <w:pPr>
      <w:tabs>
        <w:tab w:val="left" w:pos="1361"/>
      </w:tabs>
      <w:spacing w:before="60" w:after="60"/>
      <w:ind w:left="1361" w:hanging="340"/>
    </w:pPr>
  </w:style>
  <w:style w:type="paragraph" w:styleId="List5">
    <w:name w:val="List 5"/>
    <w:basedOn w:val="BodyText"/>
    <w:rsid w:val="00370109"/>
    <w:pPr>
      <w:tabs>
        <w:tab w:val="left" w:pos="1701"/>
      </w:tabs>
      <w:spacing w:before="60" w:after="60"/>
      <w:ind w:left="1701" w:hanging="340"/>
    </w:pPr>
  </w:style>
  <w:style w:type="paragraph" w:styleId="ListBullet3">
    <w:name w:val="List Bullet 3"/>
    <w:basedOn w:val="List3"/>
    <w:rsid w:val="00370109"/>
    <w:pPr>
      <w:numPr>
        <w:numId w:val="15"/>
      </w:numPr>
      <w:tabs>
        <w:tab w:val="clear" w:pos="1021"/>
      </w:tabs>
      <w:ind w:left="1037" w:hanging="357"/>
    </w:pPr>
  </w:style>
  <w:style w:type="paragraph" w:styleId="ListBullet4">
    <w:name w:val="List Bullet 4"/>
    <w:basedOn w:val="List4"/>
    <w:rsid w:val="00370109"/>
    <w:pPr>
      <w:numPr>
        <w:numId w:val="3"/>
      </w:numPr>
    </w:pPr>
  </w:style>
  <w:style w:type="paragraph" w:styleId="ListBullet5">
    <w:name w:val="List Bullet 5"/>
    <w:basedOn w:val="List5"/>
    <w:rsid w:val="00370109"/>
    <w:pPr>
      <w:numPr>
        <w:numId w:val="4"/>
      </w:numPr>
    </w:pPr>
  </w:style>
  <w:style w:type="paragraph" w:styleId="ListContinue2">
    <w:name w:val="List Continue 2"/>
    <w:basedOn w:val="List2"/>
    <w:rsid w:val="00370109"/>
    <w:pPr>
      <w:ind w:firstLine="0"/>
    </w:pPr>
  </w:style>
  <w:style w:type="paragraph" w:styleId="ListContinue3">
    <w:name w:val="List Continue 3"/>
    <w:basedOn w:val="List3"/>
    <w:rsid w:val="00370109"/>
    <w:pPr>
      <w:ind w:left="1021" w:firstLine="0"/>
    </w:pPr>
  </w:style>
  <w:style w:type="paragraph" w:styleId="ListContinue4">
    <w:name w:val="List Continue 4"/>
    <w:basedOn w:val="List4"/>
    <w:rsid w:val="00370109"/>
    <w:pPr>
      <w:ind w:firstLine="0"/>
    </w:pPr>
  </w:style>
  <w:style w:type="paragraph" w:styleId="ListContinue5">
    <w:name w:val="List Continue 5"/>
    <w:basedOn w:val="List5"/>
    <w:rsid w:val="00370109"/>
    <w:pPr>
      <w:ind w:firstLine="0"/>
    </w:pPr>
  </w:style>
  <w:style w:type="paragraph" w:styleId="ListNumber3">
    <w:name w:val="List Number 3"/>
    <w:basedOn w:val="List3"/>
    <w:rsid w:val="00370109"/>
    <w:pPr>
      <w:numPr>
        <w:numId w:val="5"/>
      </w:numPr>
    </w:pPr>
  </w:style>
  <w:style w:type="paragraph" w:styleId="ListNumber4">
    <w:name w:val="List Number 4"/>
    <w:basedOn w:val="List4"/>
    <w:rsid w:val="00370109"/>
    <w:pPr>
      <w:numPr>
        <w:numId w:val="6"/>
      </w:numPr>
    </w:pPr>
  </w:style>
  <w:style w:type="paragraph" w:styleId="ListNumber5">
    <w:name w:val="List Number 5"/>
    <w:basedOn w:val="List5"/>
    <w:rsid w:val="00370109"/>
    <w:pPr>
      <w:numPr>
        <w:numId w:val="7"/>
      </w:numPr>
    </w:pPr>
  </w:style>
  <w:style w:type="paragraph" w:styleId="BlockText">
    <w:name w:val="Block Text"/>
    <w:basedOn w:val="Normal"/>
    <w:rsid w:val="00370109"/>
    <w:pPr>
      <w:spacing w:after="120"/>
      <w:ind w:left="1440" w:right="1440"/>
    </w:pPr>
  </w:style>
  <w:style w:type="character" w:customStyle="1" w:styleId="Subscript">
    <w:name w:val="Subscript"/>
    <w:basedOn w:val="DefaultParagraphFont"/>
    <w:rsid w:val="00370109"/>
    <w:rPr>
      <w:sz w:val="16"/>
      <w:vertAlign w:val="subscript"/>
    </w:rPr>
  </w:style>
  <w:style w:type="character" w:customStyle="1" w:styleId="Superscript">
    <w:name w:val="Superscript"/>
    <w:basedOn w:val="DefaultParagraphFont"/>
    <w:rsid w:val="00370109"/>
    <w:rPr>
      <w:sz w:val="16"/>
      <w:vertAlign w:val="superscript"/>
    </w:rPr>
  </w:style>
  <w:style w:type="character" w:customStyle="1" w:styleId="Symbols">
    <w:name w:val="Symbols"/>
    <w:basedOn w:val="DefaultParagraphFont"/>
    <w:rsid w:val="00370109"/>
    <w:rPr>
      <w:rFonts w:ascii="Symbol" w:hAnsi="Symbol"/>
    </w:rPr>
  </w:style>
  <w:style w:type="character" w:customStyle="1" w:styleId="MenuOptions">
    <w:name w:val="Menu Options"/>
    <w:basedOn w:val="DefaultParagraphFont"/>
    <w:rsid w:val="00370109"/>
    <w:rPr>
      <w:rFonts w:ascii="Arial Narrow" w:hAnsi="Arial Narrow"/>
      <w:smallCaps/>
    </w:rPr>
  </w:style>
  <w:style w:type="character" w:customStyle="1" w:styleId="Buttons">
    <w:name w:val="Buttons"/>
    <w:basedOn w:val="DefaultParagraphFont"/>
    <w:rsid w:val="00370109"/>
    <w:rPr>
      <w:b/>
    </w:rPr>
  </w:style>
  <w:style w:type="character" w:customStyle="1" w:styleId="Underlined">
    <w:name w:val="Underlined"/>
    <w:basedOn w:val="DefaultParagraphFont"/>
    <w:rsid w:val="00370109"/>
    <w:rPr>
      <w:u w:val="single"/>
    </w:rPr>
  </w:style>
  <w:style w:type="paragraph" w:customStyle="1" w:styleId="TableBodyTextRight">
    <w:name w:val="Table Body Text Right"/>
    <w:basedOn w:val="TableBodyText"/>
    <w:rsid w:val="00370109"/>
    <w:pPr>
      <w:widowControl w:val="0"/>
      <w:autoSpaceDE w:val="0"/>
      <w:autoSpaceDN w:val="0"/>
      <w:adjustRightInd w:val="0"/>
      <w:jc w:val="right"/>
    </w:pPr>
    <w:rPr>
      <w:rFonts w:cs="Arial"/>
      <w:szCs w:val="18"/>
    </w:rPr>
  </w:style>
  <w:style w:type="paragraph" w:customStyle="1" w:styleId="CopyrightText">
    <w:name w:val="Copyright Text"/>
    <w:basedOn w:val="BodyText"/>
    <w:rsid w:val="00370109"/>
    <w:rPr>
      <w:sz w:val="18"/>
    </w:rPr>
  </w:style>
  <w:style w:type="paragraph" w:customStyle="1" w:styleId="BodySmallRight">
    <w:name w:val="Body Small Right"/>
    <w:basedOn w:val="BodyTextRight"/>
    <w:rsid w:val="00370109"/>
    <w:rPr>
      <w:sz w:val="18"/>
      <w:szCs w:val="18"/>
    </w:rPr>
  </w:style>
  <w:style w:type="paragraph" w:customStyle="1" w:styleId="MarginEdition">
    <w:name w:val="Margin Edition"/>
    <w:basedOn w:val="MarginNote"/>
    <w:rsid w:val="00370109"/>
    <w:pPr>
      <w:spacing w:before="0" w:after="0"/>
    </w:pPr>
    <w:rPr>
      <w:rFonts w:ascii="Times New Roman" w:hAnsi="Times New Roman"/>
      <w:color w:val="999999"/>
    </w:rPr>
  </w:style>
  <w:style w:type="paragraph" w:customStyle="1" w:styleId="Spacer">
    <w:name w:val="Spacer"/>
    <w:basedOn w:val="Normal"/>
    <w:rsid w:val="00370109"/>
    <w:rPr>
      <w:sz w:val="2"/>
      <w:szCs w:val="2"/>
    </w:rPr>
  </w:style>
  <w:style w:type="character" w:customStyle="1" w:styleId="Small">
    <w:name w:val="Small"/>
    <w:basedOn w:val="DefaultParagraphFont"/>
    <w:rsid w:val="00370109"/>
    <w:rPr>
      <w:sz w:val="16"/>
    </w:rPr>
  </w:style>
  <w:style w:type="paragraph" w:customStyle="1" w:styleId="WideTable">
    <w:name w:val="Wide Table"/>
    <w:basedOn w:val="Normal"/>
    <w:rsid w:val="00370109"/>
    <w:pPr>
      <w:ind w:left="-1418"/>
    </w:pPr>
    <w:rPr>
      <w:sz w:val="2"/>
      <w:szCs w:val="2"/>
    </w:rPr>
  </w:style>
  <w:style w:type="character" w:styleId="PageNumber">
    <w:name w:val="page number"/>
    <w:basedOn w:val="DefaultParagraphFont"/>
    <w:rsid w:val="00370109"/>
  </w:style>
  <w:style w:type="paragraph" w:styleId="Quote">
    <w:name w:val="Quote"/>
    <w:basedOn w:val="Heading1"/>
    <w:link w:val="QuoteChar"/>
    <w:qFormat/>
    <w:rsid w:val="00370109"/>
    <w:rPr>
      <w:b w:val="0"/>
      <w:sz w:val="72"/>
      <w:szCs w:val="72"/>
      <w:lang w:val="en-NZ"/>
    </w:rPr>
  </w:style>
  <w:style w:type="character" w:customStyle="1" w:styleId="QuoteChar">
    <w:name w:val="Quote Char"/>
    <w:basedOn w:val="DefaultParagraphFont"/>
    <w:link w:val="Quote"/>
    <w:rsid w:val="003701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70109"/>
    <w:pPr>
      <w:pageBreakBefore/>
    </w:pPr>
  </w:style>
  <w:style w:type="paragraph" w:customStyle="1" w:styleId="Border">
    <w:name w:val="Border"/>
    <w:basedOn w:val="Normal"/>
    <w:qFormat/>
    <w:rsid w:val="003701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70109"/>
    <w:rPr>
      <w:b/>
      <w:bCs/>
      <w:i/>
      <w:iCs/>
      <w:color w:val="auto"/>
    </w:rPr>
  </w:style>
  <w:style w:type="paragraph" w:styleId="IntenseQuote">
    <w:name w:val="Intense Quote"/>
    <w:basedOn w:val="Normal"/>
    <w:next w:val="Normal"/>
    <w:link w:val="IntenseQuoteChar"/>
    <w:uiPriority w:val="30"/>
    <w:qFormat/>
    <w:rsid w:val="003701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7010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70109"/>
    <w:rPr>
      <w:smallCaps/>
      <w:color w:val="auto"/>
      <w:u w:val="single"/>
    </w:rPr>
  </w:style>
  <w:style w:type="character" w:styleId="IntenseReference">
    <w:name w:val="Intense Reference"/>
    <w:basedOn w:val="DefaultParagraphFont"/>
    <w:uiPriority w:val="32"/>
    <w:qFormat/>
    <w:rsid w:val="00370109"/>
    <w:rPr>
      <w:b/>
      <w:bCs/>
      <w:smallCaps/>
      <w:color w:val="auto"/>
      <w:spacing w:val="5"/>
      <w:u w:val="single"/>
    </w:rPr>
  </w:style>
  <w:style w:type="paragraph" w:customStyle="1" w:styleId="2ColumnHeading">
    <w:name w:val="2Column Heading"/>
    <w:basedOn w:val="BodyText"/>
    <w:qFormat/>
    <w:rsid w:val="00370109"/>
    <w:pPr>
      <w:spacing w:after="60"/>
      <w:ind w:left="-2268"/>
    </w:pPr>
    <w:rPr>
      <w:b/>
    </w:rPr>
  </w:style>
  <w:style w:type="paragraph" w:customStyle="1" w:styleId="Heading1TOC">
    <w:name w:val="Heading1 TOC"/>
    <w:basedOn w:val="Normal"/>
    <w:qFormat/>
    <w:rsid w:val="00370109"/>
    <w:pPr>
      <w:spacing w:before="240" w:after="120"/>
    </w:pPr>
    <w:rPr>
      <w:rFonts w:ascii="Times New Roman" w:hAnsi="Times New Roman"/>
      <w:b/>
      <w:sz w:val="32"/>
    </w:rPr>
  </w:style>
  <w:style w:type="paragraph" w:customStyle="1" w:styleId="Heading2TOC">
    <w:name w:val="Heading2 TOC"/>
    <w:basedOn w:val="Normal"/>
    <w:qFormat/>
    <w:rsid w:val="00370109"/>
    <w:pPr>
      <w:spacing w:before="240" w:after="60"/>
    </w:pPr>
    <w:rPr>
      <w:rFonts w:ascii="Times New Roman" w:hAnsi="Times New Roman"/>
      <w:b/>
      <w:sz w:val="28"/>
    </w:rPr>
  </w:style>
  <w:style w:type="character" w:customStyle="1" w:styleId="Underline">
    <w:name w:val="Underline"/>
    <w:basedOn w:val="DefaultParagraphFont"/>
    <w:qFormat/>
    <w:rsid w:val="00370109"/>
    <w:rPr>
      <w:u w:val="single"/>
    </w:rPr>
  </w:style>
  <w:style w:type="character" w:customStyle="1" w:styleId="BoldandItalics">
    <w:name w:val="Bold and Italics"/>
    <w:qFormat/>
    <w:rsid w:val="00370109"/>
    <w:rPr>
      <w:b/>
      <w:i/>
      <w:u w:val="none"/>
    </w:rPr>
  </w:style>
  <w:style w:type="paragraph" w:styleId="BalloonText">
    <w:name w:val="Balloon Text"/>
    <w:basedOn w:val="Normal"/>
    <w:link w:val="BalloonTextChar"/>
    <w:rsid w:val="00370109"/>
    <w:rPr>
      <w:rFonts w:ascii="Tahoma" w:hAnsi="Tahoma" w:cs="Tahoma"/>
      <w:sz w:val="16"/>
      <w:szCs w:val="16"/>
    </w:rPr>
  </w:style>
  <w:style w:type="character" w:customStyle="1" w:styleId="BalloonTextChar">
    <w:name w:val="Balloon Text Char"/>
    <w:basedOn w:val="DefaultParagraphFont"/>
    <w:link w:val="BalloonText"/>
    <w:rsid w:val="0037010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7010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7010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70109"/>
    <w:rPr>
      <w:b/>
      <w:color w:val="660033"/>
      <w:spacing w:val="0"/>
    </w:rPr>
  </w:style>
  <w:style w:type="paragraph" w:customStyle="1" w:styleId="Nameditemlist">
    <w:name w:val="Named item list"/>
    <w:basedOn w:val="BodyText"/>
    <w:qFormat/>
    <w:rsid w:val="0037010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1880</Words>
  <Characters>11355</Characters>
  <Application>Microsoft Office Word</Application>
  <DocSecurity>0</DocSecurity>
  <Lines>446</Lines>
  <Paragraphs>176</Paragraphs>
  <ScaleCrop>false</ScaleCrop>
  <Company>Author-it Software Corporation Ltd.</Company>
  <LinksUpToDate>false</LinksUpToDate>
  <CharactersWithSpaces>13165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UEENEEJ168A Maintain microbial control of refrigeration and air conditioning systems</dc:title>
  <dc:subject>Approved</dc:subject>
  <dc:creator>EE-Oz Training Standards</dc:creator>
  <cp:keywords>Release: 2</cp:keywords>
  <dc:description>Copyright © 1996-2007 Author-it Software Corporation Ltd., all rights reserved.</dc:description>
  <cp:lastModifiedBy>TPCMS</cp:lastModifiedBy>
  <cp:revision>3</cp:revision>
  <dcterms:created xsi:type="dcterms:W3CDTF">2012-10-11T22:08:00Z</dcterms:created>
  <dcterms:modified xsi:type="dcterms:W3CDTF">2012-10-11T22:08:00Z</dcterms:modified>
</cp:coreProperties>
</file>