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F61" w:rsidP="00C93F61">
      <w:pPr>
        <w:pStyle w:val="Title"/>
      </w:pPr>
      <w:r>
        <w:fldChar w:fldCharType="begin"/>
      </w:r>
      <w:r>
        <w:instrText xml:space="preserve"> TITLE   \* MERGEFORMAT </w:instrText>
      </w:r>
      <w:r>
        <w:fldChar w:fldCharType="separate"/>
      </w:r>
      <w:r>
        <w:t>UEENEEJ165A Evaluate thermodynamic and fluid parameters of refrigeration systems</w:t>
      </w:r>
      <w:r>
        <w:fldChar w:fldCharType="end"/>
      </w:r>
    </w:p>
    <w:p w:rsidR="00C93F61" w:rsidP="00C93F61">
      <w:pPr>
        <w:pStyle w:val="Version"/>
        <w:sectPr w:rsidSect="00B94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4C22" w:rsidP="00B94C22">
      <w:pPr>
        <w:pStyle w:val="SuperHeading"/>
      </w:pPr>
      <w:r w:rsidRPr="00B94C22">
        <w:t>UEENEEJ165A Evaluate thermodynamic and fluid parameters of refrigeration systems</w:t>
      </w:r>
    </w:p>
    <w:p w:rsidR="00000000" w:rsidRPr="00B94C22" w:rsidP="00B94C22">
      <w:pPr>
        <w:pStyle w:val="Heading1"/>
      </w:pPr>
      <w:bookmarkStart w:id="1" w:name="O_590232"/>
      <w:bookmarkEnd w:id="1"/>
      <w:r w:rsidRPr="00B94C22">
        <w:t>Modification History</w:t>
      </w:r>
    </w:p>
    <w:p w:rsidR="00000000" w:rsidRPr="00B94C22" w:rsidP="00B94C22">
      <w:pPr>
        <w:pStyle w:val="BodyText"/>
      </w:pPr>
      <w:r w:rsidRPr="00B94C22">
        <w:t>Not Applicable</w:t>
      </w:r>
    </w:p>
    <w:p w:rsidR="00000000" w:rsidRPr="00B94C22" w:rsidP="00B94C22">
      <w:pPr>
        <w:pStyle w:val="AllowPageBreak"/>
      </w:pPr>
    </w:p>
    <w:p w:rsidR="00000000" w:rsidRPr="00B94C22" w:rsidP="00B94C22">
      <w:pPr>
        <w:pStyle w:val="Heading1"/>
      </w:pPr>
      <w:bookmarkStart w:id="2" w:name="O_590231"/>
      <w:bookmarkEnd w:id="2"/>
      <w:r w:rsidRPr="00B94C22">
        <w:t>Unit Descriptor</w:t>
      </w:r>
    </w:p>
    <w:tbl>
      <w:tblPr>
        <w:tblW w:w="0" w:type="auto"/>
        <w:tblLayout w:type="fixed"/>
        <w:tblCellMar>
          <w:left w:w="62" w:type="dxa"/>
          <w:right w:w="62" w:type="dxa"/>
        </w:tblCellMar>
        <w:tblLook w:val="0000"/>
      </w:tblPr>
      <w:tblGrid>
        <w:gridCol w:w="2700"/>
        <w:gridCol w:w="5760"/>
      </w:tblGrid>
      <w:tr w:rsidTr="00C93F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1</w:t>
            </w:r>
            <w:r w:rsidRPr="00B94C22">
              <w:t xml:space="preserve">) </w:t>
            </w:r>
          </w:p>
          <w:p w:rsidR="00000000" w:rsidP="00B94C22">
            <w:pPr>
              <w:pStyle w:val="BodyText"/>
              <w:rPr>
                <w:lang w:val="en-NZ"/>
              </w:rPr>
            </w:pPr>
            <w:r w:rsidRPr="00B94C22">
              <w:rPr>
                <w:rStyle w:val="SpecialBold"/>
              </w:rPr>
              <w:t>1</w:t>
            </w:r>
            <w:r w:rsidRPr="00B94C22">
              <w:t>.</w:t>
            </w:r>
            <w:r w:rsidRPr="00B94C22">
              <w:rPr>
                <w:rStyle w:val="SpecialBold"/>
              </w:rPr>
              <w:t>1</w:t>
            </w:r>
            <w:r w:rsidRPr="00B94C22">
              <w:t xml:space="preserve">) </w:t>
            </w:r>
            <w:r w:rsidRPr="00B94C22">
              <w:rPr>
                <w:rStyle w:val="SpecialBold"/>
              </w:rPr>
              <w:t>Descriptor</w:t>
            </w:r>
          </w:p>
        </w:tc>
      </w:tr>
      <w:tr w:rsidTr="00C93F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This unit covers evaluation of thermodynamic and fuild parameters of refrigeration systems. It encompasses working safely, setting up and conducting evaluation measurements, evaluating thermodynamic and fluid parameters from measured parameters and reporti</w:t>
            </w:r>
            <w:r w:rsidRPr="00B94C22">
              <w:t>ng results for use in design work.</w:t>
            </w:r>
          </w:p>
        </w:tc>
      </w:tr>
    </w:tbl>
    <w:p w:rsidR="00C93F61" w:rsidP="00B94C22">
      <w:pPr>
        <w:pStyle w:val="BodyText"/>
      </w:pPr>
    </w:p>
    <w:p w:rsidR="00C93F61" w:rsidP="00B94C22">
      <w:pPr>
        <w:pStyle w:val="BodyText"/>
      </w:pPr>
    </w:p>
    <w:p w:rsidR="00000000" w:rsidRPr="00B94C22" w:rsidP="00B94C22">
      <w:pPr>
        <w:pStyle w:val="Heading1"/>
      </w:pPr>
      <w:bookmarkStart w:id="3" w:name="O_590230"/>
      <w:bookmarkEnd w:id="3"/>
      <w:r w:rsidRPr="00B94C22">
        <w:t>Application of the Unit</w:t>
      </w:r>
    </w:p>
    <w:tbl>
      <w:tblPr>
        <w:tblW w:w="0" w:type="auto"/>
        <w:tblLayout w:type="fixed"/>
        <w:tblCellMar>
          <w:left w:w="62" w:type="dxa"/>
          <w:right w:w="62" w:type="dxa"/>
        </w:tblCellMar>
        <w:tblLook w:val="0000"/>
      </w:tblPr>
      <w:tblGrid>
        <w:gridCol w:w="2700"/>
        <w:gridCol w:w="5760"/>
      </w:tblGrid>
      <w:tr w:rsidTr="00C93F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4</w:t>
            </w:r>
            <w:r w:rsidRPr="00B94C22">
              <w:t>)</w:t>
            </w:r>
          </w:p>
        </w:tc>
      </w:tr>
      <w:tr w:rsidTr="00C93F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 xml:space="preserve">This unit is intended for competency development entry-level employment-based programs incorporated in approved contracts of training. It applies </w:t>
            </w:r>
            <w:r w:rsidRPr="00B94C22">
              <w:t>to any formal recognition for this standard at the aligned AQF 5 level or higher.</w:t>
            </w:r>
          </w:p>
        </w:tc>
      </w:tr>
    </w:tbl>
    <w:p w:rsidR="00C93F61" w:rsidP="00B94C22">
      <w:pPr>
        <w:pStyle w:val="BodyText"/>
      </w:pPr>
    </w:p>
    <w:p w:rsidR="00C93F61" w:rsidP="00B94C22">
      <w:pPr>
        <w:pStyle w:val="BodyText"/>
      </w:pPr>
    </w:p>
    <w:p w:rsidR="00000000" w:rsidRPr="00B94C22" w:rsidP="00B94C22">
      <w:pPr>
        <w:pStyle w:val="Heading1"/>
      </w:pPr>
      <w:bookmarkStart w:id="4" w:name="O_590229"/>
      <w:bookmarkEnd w:id="4"/>
      <w:r w:rsidRPr="00B94C22">
        <w:t>Licensing/Regulatory Information</w:t>
      </w:r>
    </w:p>
    <w:tbl>
      <w:tblPr>
        <w:tblW w:w="0" w:type="auto"/>
        <w:tblLayout w:type="fixed"/>
        <w:tblCellMar>
          <w:left w:w="62" w:type="dxa"/>
          <w:right w:w="62" w:type="dxa"/>
        </w:tblCellMar>
        <w:tblLook w:val="0000"/>
      </w:tblPr>
      <w:tblGrid>
        <w:gridCol w:w="8460"/>
      </w:tblGrid>
      <w:tr w:rsidTr="00C93F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1</w:t>
            </w:r>
            <w:r w:rsidRPr="00B94C22">
              <w:t>.</w:t>
            </w:r>
            <w:r w:rsidRPr="00B94C22">
              <w:rPr>
                <w:rStyle w:val="SpecialBold"/>
              </w:rPr>
              <w:t>2</w:t>
            </w:r>
            <w:r w:rsidRPr="00B94C22">
              <w:t xml:space="preserve">) </w:t>
            </w:r>
            <w:r w:rsidRPr="00B94C22">
              <w:rPr>
                <w:rStyle w:val="SpecialBold"/>
              </w:rPr>
              <w:t>License to practice</w:t>
            </w:r>
          </w:p>
        </w:tc>
      </w:tr>
      <w:tr w:rsidTr="00C93F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The skills and knowledge described in this unit may require a license to practice in the workplace subject to regulations for undertaking of refrigeration or air conditioning work. Practice in workplace and during training is also subject to regulations di</w:t>
            </w:r>
            <w:r w:rsidRPr="00B94C22">
              <w:t>rectly related to occupational health and safety and where applicable contracts of training such as apprenticeships.</w:t>
            </w:r>
          </w:p>
          <w:p w:rsidR="00000000" w:rsidRPr="00B94C22" w:rsidP="00B94C22">
            <w:pPr>
              <w:pStyle w:val="BodyText"/>
            </w:pPr>
            <w:r w:rsidRPr="00B94C22">
              <w:t xml:space="preserve">Note: </w:t>
            </w:r>
            <w:r w:rsidRPr="00B94C22">
              <w:br/>
              <w:t>1. Compliance with permits may be required in various jurisdictions and typically relates to the operation of plant, machinery and e</w:t>
            </w:r>
            <w:r w:rsidRPr="00B94C22">
              <w:t>quipment such as elevating work platforms, powder operated fixing tools, power operated tools, vehicles, road signage and traffic control, lifting equipment. Permits may also be required for some work environments such as confined spaces, working aloft, ne</w:t>
            </w:r>
            <w:r w:rsidRPr="00B94C22">
              <w:t>ar live electrical devices, site rehabilitation.</w:t>
            </w:r>
            <w:r w:rsidRPr="00B94C22">
              <w:br/>
              <w:t>2. Compliance may be required in various jurisdictions relating to currency in First Aid, confined space, lifting and risk safety measures.</w:t>
            </w:r>
          </w:p>
        </w:tc>
      </w:tr>
    </w:tbl>
    <w:p w:rsidR="00C93F61" w:rsidP="00B94C22">
      <w:pPr>
        <w:pStyle w:val="BodyText"/>
      </w:pPr>
    </w:p>
    <w:p w:rsidR="00C93F61" w:rsidP="00B94C22">
      <w:pPr>
        <w:pStyle w:val="BodyText"/>
      </w:pPr>
    </w:p>
    <w:p w:rsidR="00000000" w:rsidRPr="00B94C22" w:rsidP="00B94C22">
      <w:pPr>
        <w:pStyle w:val="Heading1"/>
      </w:pPr>
      <w:bookmarkStart w:id="5" w:name="O_590228"/>
      <w:bookmarkEnd w:id="5"/>
      <w:r w:rsidRPr="00B94C22">
        <w:t>Pre-Requisites</w:t>
      </w:r>
    </w:p>
    <w:tbl>
      <w:tblPr>
        <w:tblW w:w="0" w:type="auto"/>
        <w:tblLayout w:type="fixed"/>
        <w:tblCellMar>
          <w:left w:w="62" w:type="dxa"/>
          <w:right w:w="62" w:type="dxa"/>
        </w:tblCellMar>
        <w:tblLook w:val="0000"/>
      </w:tblPr>
      <w:tblGrid>
        <w:gridCol w:w="2700"/>
        <w:gridCol w:w="5760"/>
      </w:tblGrid>
      <w:tr w:rsidTr="00C93F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Prerequisite Unit</w:t>
            </w:r>
            <w:r w:rsidRPr="00B94C22">
              <w:t>(</w:t>
            </w:r>
            <w:r w:rsidRPr="00B94C22">
              <w:rPr>
                <w:rStyle w:val="SpecialBold"/>
              </w:rPr>
              <w:t>s</w:t>
            </w:r>
            <w:r w:rsidRPr="00B94C22">
              <w:t>)</w:t>
            </w:r>
          </w:p>
        </w:tc>
        <w:tc>
          <w:tcPr>
            <w:tcW w:w="57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2</w:t>
            </w:r>
            <w:r w:rsidRPr="00B94C22">
              <w:t xml:space="preserve">) </w:t>
            </w:r>
          </w:p>
        </w:tc>
      </w:tr>
      <w:tr w:rsidTr="00C93F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4C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2</w:t>
            </w:r>
            <w:r w:rsidRPr="00B94C22">
              <w:t>.</w:t>
            </w:r>
            <w:r w:rsidRPr="00B94C22">
              <w:rPr>
                <w:rStyle w:val="SpecialBold"/>
              </w:rPr>
              <w:t>1</w:t>
            </w:r>
            <w:r w:rsidRPr="00B94C22">
              <w:t xml:space="preserve">) </w:t>
            </w:r>
            <w:r w:rsidRPr="00B94C22">
              <w:rPr>
                <w:rStyle w:val="SpecialBold"/>
              </w:rPr>
              <w:t>Competencies</w:t>
            </w:r>
          </w:p>
        </w:tc>
      </w:tr>
      <w:tr w:rsidTr="00C93F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Granting competency in this unit shall be made only after competency in the following unit(s) has/have been confirmed.</w:t>
            </w:r>
          </w:p>
          <w:p w:rsidR="00000000" w:rsidRPr="00B94C22" w:rsidP="00B94C22">
            <w:pPr>
              <w:pStyle w:val="BodyText"/>
            </w:pPr>
            <w:r w:rsidRPr="00B94C22">
              <w:t>UEENEEJ127A Establish the thermodynamic parameters of refrigeration and air conditioning systems</w:t>
            </w:r>
          </w:p>
          <w:p w:rsidR="00000000" w:rsidRPr="00B94C22" w:rsidP="00B94C22">
            <w:pPr>
              <w:pStyle w:val="BodyText"/>
            </w:pPr>
            <w:r w:rsidRPr="00B94C22">
              <w:t>UEENEEJ164A Analyse the o</w:t>
            </w:r>
            <w:r w:rsidRPr="00B94C22">
              <w:t>peration of HVAC air and hydronic systems</w:t>
            </w:r>
          </w:p>
          <w:p w:rsidR="00000000" w:rsidRPr="00B94C22" w:rsidP="00B94C22">
            <w:pPr>
              <w:pStyle w:val="BodyText"/>
            </w:pPr>
            <w:r w:rsidRPr="00B94C22">
              <w:t>UEENEEJ192A Analyse the psychrometric performance of HVAC/R systems</w:t>
            </w:r>
          </w:p>
          <w:p w:rsidR="00000000" w:rsidRPr="00B94C22" w:rsidP="00B94C22">
            <w:pPr>
              <w:pStyle w:val="BodyText"/>
            </w:pPr>
            <w:r w:rsidRPr="00B94C22">
              <w:t xml:space="preserve">and </w:t>
            </w:r>
          </w:p>
          <w:p w:rsidR="00000000" w:rsidRPr="00B94C22" w:rsidP="00B94C22">
            <w:pPr>
              <w:pStyle w:val="BodyText"/>
            </w:pPr>
            <w:r w:rsidRPr="00B94C22">
              <w:t>UEENEEJ193A 0r Analyse the thermodynamic performance of HVAC/R systems</w:t>
            </w:r>
          </w:p>
          <w:p w:rsidR="00000000" w:rsidRPr="00B94C22" w:rsidP="00B94C22">
            <w:pPr>
              <w:pStyle w:val="BodyText"/>
            </w:pPr>
            <w:r w:rsidRPr="00B94C22">
              <w:t>UEENEEJ109A Verify functionality and compliance of refrigeration and a</w:t>
            </w:r>
            <w:r w:rsidRPr="00B94C22">
              <w:t>ir conditioning installations</w:t>
            </w:r>
          </w:p>
          <w:p w:rsidR="00000000" w:rsidRPr="00B94C22" w:rsidP="00B94C22">
            <w:pPr>
              <w:pStyle w:val="BodyText"/>
            </w:pPr>
            <w:r w:rsidRPr="00B94C22">
              <w:t>UEENEEE101A Apply Occupational Health and Safety regulations, codes and practices in the workplace</w:t>
            </w:r>
          </w:p>
          <w:p w:rsidR="00000000" w:rsidRPr="00B94C22" w:rsidP="00B94C22">
            <w:pPr>
              <w:pStyle w:val="BodyText"/>
            </w:pPr>
            <w:r w:rsidRPr="00B94C22">
              <w:t>UEENEEE102A Fabricate, assemble and dismantle utilities industry components</w:t>
            </w:r>
          </w:p>
          <w:p w:rsidR="00000000" w:rsidRPr="00B94C22" w:rsidP="00B94C22">
            <w:pPr>
              <w:pStyle w:val="BodyText"/>
            </w:pPr>
            <w:r w:rsidRPr="00B94C22">
              <w:t>UEENEEE003B Solve problems in extra-low voltage sin</w:t>
            </w:r>
            <w:r w:rsidRPr="00B94C22">
              <w:t>gle path circuits</w:t>
            </w:r>
          </w:p>
          <w:p w:rsidR="00000000" w:rsidRPr="00B94C22" w:rsidP="00B94C22">
            <w:pPr>
              <w:pStyle w:val="BodyText"/>
            </w:pPr>
            <w:r w:rsidRPr="00B94C22">
              <w:t>UEENEEE105A Fix and secure electrotechnology equipment</w:t>
            </w:r>
          </w:p>
          <w:p w:rsidR="00000000" w:rsidRPr="00B94C22" w:rsidP="00B94C22">
            <w:pPr>
              <w:pStyle w:val="BodyText"/>
            </w:pPr>
            <w:r w:rsidRPr="00B94C22">
              <w:t>UEENEEE107A Use drawings, diagrams, schedules, standards, codes and specifications</w:t>
            </w:r>
          </w:p>
          <w:p w:rsidR="00000000" w:rsidRPr="00B94C22" w:rsidP="00B94C22">
            <w:pPr>
              <w:pStyle w:val="BodyText"/>
            </w:pPr>
            <w:r w:rsidRPr="00B94C22">
              <w:t>UEENEEE137A Document and apply measures to control OHS risks associated with electrotechnology work</w:t>
            </w:r>
          </w:p>
          <w:p w:rsidR="00000000" w:rsidRPr="00B94C22" w:rsidP="00B94C22">
            <w:pPr>
              <w:pStyle w:val="BodyText"/>
            </w:pPr>
            <w:r w:rsidRPr="00B94C22">
              <w:t>UEENEEJ102A Prepare and connect refrigerant tubing and fittings</w:t>
            </w:r>
          </w:p>
          <w:p w:rsidR="00000000" w:rsidRPr="00B94C22" w:rsidP="00B94C22">
            <w:pPr>
              <w:pStyle w:val="BodyText"/>
            </w:pPr>
            <w:r w:rsidRPr="00B94C22">
              <w:t>UEENEEJ103A Establish the basic operating conditions of vapour compression systems</w:t>
            </w:r>
          </w:p>
          <w:p w:rsidR="00000000" w:rsidRPr="00B94C22" w:rsidP="00B94C22">
            <w:pPr>
              <w:pStyle w:val="BodyText"/>
            </w:pPr>
            <w:r w:rsidRPr="00B94C22">
              <w:t>UEENEEJ104A Establish the basic operating conditions of air conditioning systems</w:t>
            </w:r>
          </w:p>
          <w:p w:rsidR="00000000" w:rsidRPr="00B94C22" w:rsidP="00B94C22">
            <w:pPr>
              <w:pStyle w:val="BodyText"/>
            </w:pPr>
            <w:r w:rsidRPr="00B94C22">
              <w:t>UEENEEJ106A Install refriger</w:t>
            </w:r>
            <w:r w:rsidRPr="00B94C22">
              <w:t>ant pipe work, flow controls and accessories</w:t>
            </w:r>
          </w:p>
          <w:p w:rsidR="00000000" w:rsidRPr="00B94C22" w:rsidP="00B94C22">
            <w:pPr>
              <w:pStyle w:val="BodyText"/>
            </w:pPr>
            <w:r w:rsidRPr="00B94C22">
              <w:t>UEENEEJ107A Install air conditioning and refrigeration systems, major components and associated equipment</w:t>
            </w:r>
          </w:p>
          <w:p w:rsidR="00000000" w:rsidRPr="00B94C22" w:rsidP="00B94C22">
            <w:pPr>
              <w:pStyle w:val="BodyText"/>
            </w:pPr>
            <w:r w:rsidRPr="00B94C22">
              <w:t>UEENEEJ108A Recover, pressure test, evacuate, charge and leak test refrigerants</w:t>
            </w:r>
          </w:p>
          <w:p w:rsidR="00000000" w:rsidRPr="00B94C22" w:rsidP="00B94C22">
            <w:pPr>
              <w:pStyle w:val="BodyText"/>
            </w:pPr>
            <w:r w:rsidRPr="00B94C22">
              <w:t>UEENEEJ110A Select refrig</w:t>
            </w:r>
            <w:r w:rsidRPr="00B94C22">
              <w:t>erant piping, accessories and associated controls</w:t>
            </w:r>
          </w:p>
          <w:p w:rsidR="00000000" w:rsidRPr="00B94C22" w:rsidP="00B94C22">
            <w:pPr>
              <w:pStyle w:val="BodyText"/>
            </w:pPr>
            <w:r w:rsidRPr="00B94C22">
              <w:t>UEENEEJ111A Diagnose and rectify faults in air conditioning and refrigeration systems and components</w:t>
            </w:r>
          </w:p>
          <w:p w:rsidR="00000000" w:rsidRPr="00B94C22" w:rsidP="00B94C22">
            <w:pPr>
              <w:pStyle w:val="BodyText"/>
            </w:pPr>
            <w:r w:rsidRPr="00B94C22">
              <w:t>UEENEEJ113A Commission air conditioning and refrigeration systems</w:t>
            </w:r>
          </w:p>
          <w:p w:rsidR="00000000" w:rsidRPr="00B94C22" w:rsidP="00B94C22">
            <w:pPr>
              <w:pStyle w:val="BodyText"/>
            </w:pPr>
            <w:r w:rsidRPr="00B94C22">
              <w:t>UEENEEJ153A Find and rectify faults mot</w:t>
            </w:r>
            <w:r w:rsidRPr="00B94C22">
              <w:t>ors and associated controls in refrigeration and air conditioning systems</w:t>
            </w:r>
          </w:p>
          <w:p w:rsidR="00000000" w:rsidRPr="00B94C22" w:rsidP="00B94C22">
            <w:pPr>
              <w:pStyle w:val="BodyText"/>
            </w:pPr>
            <w:r w:rsidRPr="00B94C22">
              <w:t>UEENEEJ170A Diagnose and rectify faults in air conditioning and refrigeration control systems</w:t>
            </w:r>
          </w:p>
          <w:p w:rsidR="00000000" w:rsidRPr="00B94C22" w:rsidP="00B94C22">
            <w:pPr>
              <w:pStyle w:val="BodyText"/>
            </w:pPr>
            <w:r w:rsidRPr="00B94C22">
              <w:t>UEENEEJ194A Solve problems in low voltage refrigeration circuits</w:t>
            </w:r>
          </w:p>
          <w:p w:rsidR="00000000" w:rsidRPr="00B94C22" w:rsidP="00B94C22">
            <w:pPr>
              <w:pStyle w:val="BodyText"/>
            </w:pPr>
            <w:r w:rsidRPr="00B94C22">
              <w:t xml:space="preserve">UEENEEP012A Disconnect </w:t>
            </w:r>
            <w:r w:rsidRPr="00B94C22">
              <w:t>/ reconnect composite appliances connected to low voltage installation wiring</w:t>
            </w:r>
          </w:p>
          <w:p w:rsidR="00000000" w:rsidRPr="00B94C22" w:rsidP="00B94C22">
            <w:pPr>
              <w:pStyle w:val="BodyText"/>
            </w:pPr>
            <w:r w:rsidRPr="00B94C22">
              <w:t>UEENEEP017A Locate and rectify faults in low voltage composite appliances using set procedures</w:t>
            </w:r>
          </w:p>
          <w:p w:rsidR="00000000" w:rsidRPr="00B94C22" w:rsidP="00B94C22">
            <w:pPr>
              <w:pStyle w:val="BodyText"/>
            </w:pPr>
            <w:r w:rsidRPr="00B94C22">
              <w:t>UEENEEP024A Attach cords and plugs to electrical equipment for connection to a sing</w:t>
            </w:r>
            <w:r w:rsidRPr="00B94C22">
              <w:t>le phase 230 Volt supply</w:t>
            </w:r>
          </w:p>
          <w:p w:rsidR="00000000" w:rsidRPr="00B94C22" w:rsidP="00B94C22">
            <w:pPr>
              <w:pStyle w:val="BodyText"/>
            </w:pPr>
            <w:r w:rsidRPr="00B94C22">
              <w:t xml:space="preserve">UEENEEP025A Attach cords, cables and plugs to electrical equipment for connection to 1000 Va.c. or 1500 Vd.c. supply </w:t>
            </w:r>
          </w:p>
        </w:tc>
      </w:tr>
    </w:tbl>
    <w:p w:rsidR="00C93F61" w:rsidP="00B94C22">
      <w:pPr>
        <w:pStyle w:val="BodyText"/>
      </w:pPr>
    </w:p>
    <w:p w:rsidR="00C93F61" w:rsidP="00B94C22">
      <w:pPr>
        <w:pStyle w:val="BodyText"/>
      </w:pPr>
    </w:p>
    <w:p w:rsidR="00000000" w:rsidRPr="00B94C22" w:rsidP="00B94C22">
      <w:pPr>
        <w:pStyle w:val="Heading1"/>
      </w:pPr>
      <w:bookmarkStart w:id="6" w:name="O_590227"/>
      <w:bookmarkEnd w:id="6"/>
      <w:r w:rsidRPr="00B94C22">
        <w:t>Employability Skills Information</w:t>
      </w:r>
    </w:p>
    <w:tbl>
      <w:tblPr>
        <w:tblW w:w="0" w:type="auto"/>
        <w:tblLayout w:type="fixed"/>
        <w:tblCellMar>
          <w:left w:w="62" w:type="dxa"/>
          <w:right w:w="62" w:type="dxa"/>
        </w:tblCellMar>
        <w:tblLook w:val="0000"/>
      </w:tblPr>
      <w:tblGrid>
        <w:gridCol w:w="2700"/>
        <w:gridCol w:w="5760"/>
      </w:tblGrid>
      <w:tr w:rsidTr="00C93F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3</w:t>
            </w:r>
            <w:r w:rsidRPr="00B94C22">
              <w:t>)</w:t>
            </w:r>
          </w:p>
          <w:p w:rsidR="00000000" w:rsidRPr="00B94C22" w:rsidP="00B94C22">
            <w:pPr>
              <w:pStyle w:val="BodyText"/>
            </w:pPr>
            <w:r w:rsidRPr="00B94C22">
              <w:t>This unit contains Employability Skills</w:t>
            </w:r>
          </w:p>
          <w:p w:rsidR="00000000" w:rsidRPr="00B94C22" w:rsidP="00B94C22">
            <w:pPr>
              <w:pStyle w:val="BodyText"/>
            </w:pPr>
            <w:r w:rsidRPr="00B94C22">
              <w:t>The required outcomes described in this unit of competency contain applicable facets of Employability Skills. The Employability Skills Summary of the qualification in which this unit of competency is packaged will as</w:t>
            </w:r>
            <w:r w:rsidRPr="00B94C22">
              <w:t>sist in identifying Employability Skill requirements.</w:t>
            </w:r>
          </w:p>
        </w:tc>
      </w:tr>
    </w:tbl>
    <w:p w:rsidR="00C93F61" w:rsidP="00B94C22">
      <w:pPr>
        <w:pStyle w:val="BodyText"/>
      </w:pPr>
    </w:p>
    <w:p w:rsidR="00C93F61" w:rsidP="00B94C22">
      <w:pPr>
        <w:pStyle w:val="BodyText"/>
      </w:pPr>
    </w:p>
    <w:p w:rsidR="00000000" w:rsidRPr="00B94C22" w:rsidP="00B94C22">
      <w:pPr>
        <w:pStyle w:val="Heading1"/>
      </w:pPr>
      <w:bookmarkStart w:id="7" w:name="O_590226"/>
      <w:bookmarkEnd w:id="7"/>
      <w:r w:rsidRPr="00B94C22">
        <w:t>Elements and Performance Criteria Pre-Content</w:t>
      </w:r>
    </w:p>
    <w:tbl>
      <w:tblPr>
        <w:tblW w:w="0" w:type="auto"/>
        <w:tblLayout w:type="fixed"/>
        <w:tblCellMar>
          <w:left w:w="62" w:type="dxa"/>
          <w:right w:w="62" w:type="dxa"/>
        </w:tblCellMar>
        <w:tblLook w:val="0000"/>
      </w:tblPr>
      <w:tblGrid>
        <w:gridCol w:w="2149"/>
        <w:gridCol w:w="6306"/>
      </w:tblGrid>
      <w:tr w:rsidTr="00C93F61">
        <w:tblPrEx>
          <w:tblW w:w="0" w:type="auto"/>
          <w:tblLayout w:type="fixed"/>
          <w:tblCellMar>
            <w:left w:w="62" w:type="dxa"/>
            <w:right w:w="62" w:type="dxa"/>
          </w:tblCellMar>
          <w:tblLook w:val="0000"/>
        </w:tblPrEx>
        <w:tc>
          <w:tcPr>
            <w:tcW w:w="2149"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6</w:t>
            </w:r>
            <w:r w:rsidRPr="00B94C22">
              <w:t>) Elements describe the essential outcomes of a unit</w:t>
            </w:r>
          </w:p>
        </w:tc>
        <w:tc>
          <w:tcPr>
            <w:tcW w:w="6306"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Performance criteria describe the required performance needed to demonstrate achie</w:t>
            </w:r>
            <w:r w:rsidRPr="00B94C22">
              <w:t>vement of the element. Assessment of performance is to be consistent with the evidence guide.</w:t>
            </w:r>
          </w:p>
        </w:tc>
      </w:tr>
    </w:tbl>
    <w:p w:rsidR="00000000" w:rsidRPr="00B94C22" w:rsidP="00B94C22">
      <w:pPr>
        <w:pStyle w:val="BodyText"/>
      </w:pPr>
    </w:p>
    <w:p w:rsidR="00000000" w:rsidRPr="00B94C22" w:rsidP="00B94C22">
      <w:pPr>
        <w:pStyle w:val="AllowPageBreak"/>
      </w:pPr>
    </w:p>
    <w:p w:rsidR="00000000" w:rsidRPr="00B94C22" w:rsidP="00B94C22">
      <w:pPr>
        <w:pStyle w:val="Heading1"/>
      </w:pPr>
      <w:bookmarkStart w:id="8" w:name="O_590225"/>
      <w:bookmarkEnd w:id="8"/>
      <w:r w:rsidRPr="00B94C22">
        <w:t>Elements and Performance Criteria</w:t>
      </w:r>
    </w:p>
    <w:tbl>
      <w:tblPr>
        <w:tblW w:w="0" w:type="auto"/>
        <w:tblLayout w:type="fixed"/>
        <w:tblCellMar>
          <w:left w:w="62" w:type="dxa"/>
          <w:right w:w="62" w:type="dxa"/>
        </w:tblCellMar>
        <w:tblLook w:val="0000"/>
      </w:tblPr>
      <w:tblGrid>
        <w:gridCol w:w="545"/>
        <w:gridCol w:w="1604"/>
        <w:gridCol w:w="910"/>
        <w:gridCol w:w="5396"/>
      </w:tblGrid>
      <w:tr w:rsidTr="00C93F61">
        <w:tblPrEx>
          <w:tblW w:w="0" w:type="auto"/>
          <w:tblLayout w:type="fixed"/>
          <w:tblCellMar>
            <w:left w:w="62" w:type="dxa"/>
            <w:right w:w="62" w:type="dxa"/>
          </w:tblCellMar>
          <w:tblLook w:val="0000"/>
        </w:tblPrEx>
        <w:trPr>
          <w:tblHeader/>
        </w:trPr>
        <w:tc>
          <w:tcPr>
            <w:tcW w:w="2149" w:type="dxa"/>
            <w:gridSpan w:val="2"/>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ELEMENT</w:t>
            </w:r>
          </w:p>
        </w:tc>
        <w:tc>
          <w:tcPr>
            <w:tcW w:w="6306" w:type="dxa"/>
            <w:gridSpan w:val="2"/>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PERFORMANCE CRITERIA</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1</w:t>
            </w:r>
          </w:p>
        </w:tc>
        <w:tc>
          <w:tcPr>
            <w:tcW w:w="1604" w:type="dxa"/>
            <w:vMerge w:val="restart"/>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Prepare to evaluate fluid and thermodynamic parameters of refrigeration systems</w:t>
            </w: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1.1</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 xml:space="preserve">OHS procedures for a given work area are identified, identified, obtained and understood </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1.2</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Established OHS risk control measures and procedures are followed in prepar</w:t>
            </w:r>
            <w:r w:rsidRPr="00B94C22">
              <w:t>ation for the work.</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1.3</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The extent of evaluation is determined from specifications for the refrigeration system and discussion with appropriate personnel.</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1.4</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 xml:space="preserve">Advice is sought from the work supervisor to ensure the work is coordinated effectively with others. </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1.5</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Tools, testing devices, and materials needed to carry out the work are obtained and checked for correct operation and safety.</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w:t>
            </w:r>
          </w:p>
        </w:tc>
        <w:tc>
          <w:tcPr>
            <w:tcW w:w="1604" w:type="dxa"/>
            <w:vMerge w:val="restart"/>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 xml:space="preserve">Evaluate fluid and thermodynamic parameters of refrigeration </w:t>
            </w:r>
            <w:r w:rsidRPr="00B94C22">
              <w:t>systems.</w:t>
            </w: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2.1</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OHS risk control measures and procedures for carrying out the work are followed.</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2.2</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 xml:space="preserve">The need to test or measure live is determined in strict accordance with OHS requirements and </w:t>
            </w:r>
            <w:r w:rsidRPr="00B94C22">
              <w:t>when necessary conducted within established safety procedures.</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2.3</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In-depth knowledge of the fluid and thermodynamic parameters is applied to the evaluation process</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2.4</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Energy evaluation tests are set up in accordance with established test methods and procedures for each particular parameter under scrutiny.</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2.5</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Fluid and thermodynamic parameters evaluation tests are carried out methodically and results and comments sys</w:t>
            </w:r>
            <w:r w:rsidRPr="00B94C22">
              <w:t>tematically noted.</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2.6</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Unexpected situations are dealt with safely and with the approval of an authorised person.</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2.7</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 xml:space="preserve">Evaluation is carried out without damage to systems, circuits, </w:t>
            </w:r>
            <w:r w:rsidRPr="00B94C22">
              <w:t>the surrounding environment or services and using sustainable energy practices.</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3</w:t>
            </w:r>
          </w:p>
        </w:tc>
        <w:tc>
          <w:tcPr>
            <w:tcW w:w="1604" w:type="dxa"/>
            <w:vMerge w:val="restart"/>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Report on evaluation of fluid and thermodynamic parameters of refrigeration systems</w:t>
            </w: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3.1</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OHS work completion risk control measures and procedures are followed.</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3.2</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Work site is cleaned and made safe in accordance with established procedures.</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3.3</w:t>
            </w:r>
          </w:p>
        </w:tc>
        <w:tc>
          <w:tcPr>
            <w:tcW w:w="5396"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Results of fluid and thermodynamic parameters evaluation are documented for use in design work</w:t>
            </w:r>
          </w:p>
        </w:tc>
      </w:tr>
      <w:tr w:rsidTr="00C93F61">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3.4</w:t>
            </w:r>
          </w:p>
        </w:tc>
        <w:tc>
          <w:tcPr>
            <w:tcW w:w="5396"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Energy evaluation report is forwarded to appropriate person(s) for endorsement.</w:t>
            </w:r>
          </w:p>
        </w:tc>
      </w:tr>
    </w:tbl>
    <w:p w:rsidR="00C93F61" w:rsidP="00B94C22">
      <w:pPr>
        <w:pStyle w:val="BodyText"/>
      </w:pPr>
    </w:p>
    <w:p w:rsidR="00C93F61" w:rsidP="00B94C22">
      <w:pPr>
        <w:pStyle w:val="BodyText"/>
      </w:pPr>
    </w:p>
    <w:p w:rsidR="00000000" w:rsidRPr="00B94C22" w:rsidP="00B94C22">
      <w:pPr>
        <w:pStyle w:val="Heading1"/>
      </w:pPr>
      <w:bookmarkStart w:id="9" w:name="O_590224"/>
      <w:bookmarkEnd w:id="9"/>
      <w:r w:rsidRPr="00B94C22">
        <w:t>Required Skills and Knowledge</w:t>
      </w:r>
    </w:p>
    <w:tbl>
      <w:tblPr>
        <w:tblW w:w="0" w:type="auto"/>
        <w:tblLayout w:type="fixed"/>
        <w:tblCellMar>
          <w:left w:w="62" w:type="dxa"/>
          <w:right w:w="62" w:type="dxa"/>
        </w:tblCellMar>
        <w:tblLook w:val="0000"/>
      </w:tblPr>
      <w:tblGrid>
        <w:gridCol w:w="8455"/>
      </w:tblGrid>
      <w:tr w:rsidTr="00C93F61">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REQUIRED SKILLS AND KNOWLEDGE</w:t>
            </w:r>
          </w:p>
        </w:tc>
      </w:tr>
      <w:tr w:rsidTr="00C93F61">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7)</w:t>
            </w:r>
            <w:r w:rsidRPr="00B94C22">
              <w:t xml:space="preserve"> This describes the essential skills and knowledge and their level, required for this unit.</w:t>
            </w:r>
          </w:p>
        </w:tc>
      </w:tr>
      <w:tr w:rsidTr="00C93F61">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Evidence shall show that knowledge has been acquired of safe working practices and evaluating fluid and thermodynamic parameters of refrigeration systems.</w:t>
            </w:r>
          </w:p>
          <w:p w:rsidR="00000000" w:rsidRPr="00B94C22" w:rsidP="00B94C22">
            <w:pPr>
              <w:pStyle w:val="BodyText"/>
            </w:pPr>
            <w:r w:rsidRPr="00B94C22">
              <w:t>All knowledge and skills detailed in this unit should be contextualised to current industry practices</w:t>
            </w:r>
            <w:r w:rsidRPr="00B94C22">
              <w:t xml:space="preserve"> and technologies.</w:t>
            </w:r>
          </w:p>
          <w:p w:rsidR="00000000" w:rsidRPr="00B94C22" w:rsidP="00B94C22">
            <w:pPr>
              <w:pStyle w:val="BodyText"/>
            </w:pPr>
            <w:r w:rsidRPr="00B94C22">
              <w:rPr>
                <w:rStyle w:val="SpecialBold"/>
              </w:rPr>
              <w:t>KS01-EJ165A              Thermodynamics and fluid fundamentals</w:t>
            </w:r>
          </w:p>
          <w:p w:rsidR="00000000" w:rsidRPr="00B94C22" w:rsidP="00B94C22">
            <w:pPr>
              <w:pStyle w:val="BodyText"/>
            </w:pPr>
            <w:r w:rsidRPr="00B94C22">
              <w:t xml:space="preserve">Evidence shall show an understanding of refrigeration engineering mathematics, thermodynamics and fluid fundamentals, applying safe working practices and relevant Standards, </w:t>
            </w:r>
            <w:r w:rsidRPr="00B94C22">
              <w:t>Codes and Regulations to an extent indicated by the following aspects:</w:t>
            </w:r>
          </w:p>
          <w:p w:rsidR="00000000" w:rsidRPr="00B94C22" w:rsidP="00B94C22">
            <w:pPr>
              <w:pStyle w:val="BodyText"/>
            </w:pPr>
            <w:r w:rsidRPr="00B94C22">
              <w:t>T1.</w:t>
            </w:r>
            <w:r w:rsidRPr="00B94C22">
              <w:tab/>
              <w:t>Matrices</w:t>
            </w:r>
          </w:p>
          <w:p w:rsidR="00000000" w:rsidRPr="00B94C22" w:rsidP="00B94C22">
            <w:pPr>
              <w:pStyle w:val="ListBullet"/>
            </w:pPr>
            <w:r w:rsidRPr="00B94C22">
              <w:t>The operations: addition (subtraction), scalar multiplication, matrix multiplication up to 3x3 matrices.</w:t>
            </w:r>
          </w:p>
          <w:p w:rsidR="00000000" w:rsidRPr="00B94C22" w:rsidP="00B94C22">
            <w:pPr>
              <w:pStyle w:val="ListBullet"/>
            </w:pPr>
            <w:r w:rsidRPr="00B94C22">
              <w:t>Identity matrix, inverse matrix</w:t>
            </w:r>
          </w:p>
          <w:p w:rsidR="00000000" w:rsidRPr="00B94C22" w:rsidP="00B94C22">
            <w:pPr>
              <w:pStyle w:val="ListBullet"/>
            </w:pPr>
            <w:r w:rsidRPr="00B94C22">
              <w:t xml:space="preserve">Elementary algebraic manipulation </w:t>
            </w:r>
            <w:r w:rsidRPr="00B94C22">
              <w:t>of matrices</w:t>
            </w:r>
          </w:p>
          <w:p w:rsidR="00000000" w:rsidRPr="00B94C22" w:rsidP="00B94C22">
            <w:pPr>
              <w:pStyle w:val="ListBullet"/>
            </w:pPr>
            <w:r w:rsidRPr="00B94C22">
              <w:t>Solve up to three equations (linear) in three unknowns using inverse matrices and determinants.</w:t>
            </w:r>
          </w:p>
          <w:p w:rsidR="00000000" w:rsidRPr="00B94C22" w:rsidP="00B94C22">
            <w:pPr>
              <w:pStyle w:val="BodyText"/>
            </w:pPr>
            <w:r w:rsidRPr="00B94C22">
              <w:t>T2.</w:t>
            </w:r>
            <w:r w:rsidRPr="00B94C22">
              <w:tab/>
              <w:t>Quadratic Functions</w:t>
            </w:r>
          </w:p>
          <w:p w:rsidR="00000000" w:rsidRPr="00B94C22" w:rsidP="00B94C22">
            <w:pPr>
              <w:pStyle w:val="ListBullet"/>
            </w:pPr>
            <w:r w:rsidRPr="00B94C22">
              <w:t>Graphs of quadratic functions represented by parabolas and significance of the leading coefficient</w:t>
            </w:r>
          </w:p>
          <w:p w:rsidR="00000000" w:rsidRPr="00B94C22" w:rsidP="00B94C22">
            <w:pPr>
              <w:pStyle w:val="ListBullet"/>
            </w:pPr>
            <w:r w:rsidRPr="00B94C22">
              <w:t>Zeros represented graphi</w:t>
            </w:r>
            <w:r w:rsidRPr="00B94C22">
              <w:t>cally</w:t>
            </w:r>
          </w:p>
          <w:p w:rsidR="00000000" w:rsidRPr="00B94C22" w:rsidP="00B94C22">
            <w:pPr>
              <w:pStyle w:val="ListBullet"/>
            </w:pPr>
            <w:r w:rsidRPr="00B94C22">
              <w:t>Solve quadratic equations by factoring and quadratic formula</w:t>
            </w:r>
          </w:p>
          <w:p w:rsidR="00000000" w:rsidRPr="00B94C22" w:rsidP="00B94C22">
            <w:pPr>
              <w:pStyle w:val="ListBullet"/>
            </w:pPr>
            <w:r w:rsidRPr="00B94C22">
              <w:t>Solve simultaneously linear and quadratic equations algebraically and geometrically.</w:t>
            </w:r>
          </w:p>
          <w:p w:rsidR="00000000" w:rsidRPr="00B94C22" w:rsidP="00B94C22">
            <w:pPr>
              <w:pStyle w:val="ListBullet"/>
            </w:pPr>
            <w:r w:rsidRPr="00B94C22">
              <w:t>Engineering Mathematics- B</w:t>
            </w:r>
          </w:p>
          <w:p w:rsidR="00000000" w:rsidRPr="00B94C22" w:rsidP="00B94C22">
            <w:pPr>
              <w:pStyle w:val="BodyText"/>
            </w:pPr>
            <w:r w:rsidRPr="00B94C22">
              <w:t>T3.</w:t>
            </w:r>
            <w:r w:rsidRPr="00B94C22">
              <w:tab/>
              <w:t>Exponential and Logarithmic Functions</w:t>
            </w:r>
          </w:p>
          <w:p w:rsidR="00000000" w:rsidRPr="00B94C22" w:rsidP="00B94C22">
            <w:pPr>
              <w:pStyle w:val="ListBullet"/>
            </w:pPr>
            <w:r w:rsidRPr="00B94C22">
              <w:t>Laws of indices</w:t>
            </w:r>
          </w:p>
          <w:p w:rsidR="00000000" w:rsidRPr="00B94C22" w:rsidP="00B94C22">
            <w:pPr>
              <w:pStyle w:val="ListBullet"/>
            </w:pPr>
            <w:r w:rsidRPr="00B94C22">
              <w:t>Graph of f(x) = kabx, emphasising a = 10, e</w:t>
            </w:r>
          </w:p>
          <w:p w:rsidR="00000000" w:rsidRPr="00B94C22" w:rsidP="00B94C22">
            <w:pPr>
              <w:pStyle w:val="ListBullet"/>
            </w:pPr>
            <w:r w:rsidRPr="00B94C22">
              <w:t>Definition of the logarithm to any base</w:t>
            </w:r>
          </w:p>
          <w:p w:rsidR="00000000" w:rsidRPr="00B94C22" w:rsidP="00B94C22">
            <w:pPr>
              <w:pStyle w:val="ListBullet"/>
            </w:pPr>
            <w:r w:rsidRPr="00B94C22">
              <w:t>Graph of f(x) = k loga bx, emphasising a = 10, e</w:t>
            </w:r>
          </w:p>
          <w:p w:rsidR="00000000" w:rsidRPr="00B94C22" w:rsidP="00B94C22">
            <w:pPr>
              <w:pStyle w:val="ListBullet"/>
            </w:pPr>
            <w:r w:rsidRPr="00B94C22">
              <w:t>Solve exponential and simple log equations using indices, logs, calculator, graphically</w:t>
            </w:r>
          </w:p>
          <w:p w:rsidR="00000000" w:rsidRPr="00B94C22" w:rsidP="00B94C22">
            <w:pPr>
              <w:pStyle w:val="ListBullet"/>
            </w:pPr>
            <w:r w:rsidRPr="00B94C22">
              <w:t xml:space="preserve">Change of log base, emphasising 10 </w:t>
            </w:r>
            <w:r w:rsidRPr="00B94C22">
              <w:t>and e</w:t>
            </w:r>
          </w:p>
          <w:p w:rsidR="00000000" w:rsidRPr="00B94C22" w:rsidP="00B94C22">
            <w:pPr>
              <w:pStyle w:val="ListBullet"/>
            </w:pPr>
            <w:r w:rsidRPr="00B94C22">
              <w:t>Growth and decay</w:t>
            </w:r>
          </w:p>
          <w:p w:rsidR="00000000" w:rsidRPr="00B94C22" w:rsidP="00B94C22">
            <w:pPr>
              <w:pStyle w:val="BodyText"/>
            </w:pPr>
            <w:r w:rsidRPr="00B94C22">
              <w:t>T4.</w:t>
            </w:r>
            <w:r w:rsidRPr="00B94C22">
              <w:tab/>
              <w:t>Trigonometric Functions</w:t>
            </w:r>
          </w:p>
          <w:p w:rsidR="00000000" w:rsidRPr="00B94C22" w:rsidP="00B94C22">
            <w:pPr>
              <w:pStyle w:val="ListBullet"/>
            </w:pPr>
            <w:r w:rsidRPr="00B94C22">
              <w:t>The ratios: sin, cos, tan, cosec, sec, cot</w:t>
            </w:r>
          </w:p>
          <w:p w:rsidR="00000000" w:rsidRPr="00B94C22" w:rsidP="00B94C22">
            <w:pPr>
              <w:pStyle w:val="ListBullet"/>
            </w:pPr>
            <w:r w:rsidRPr="00B94C22">
              <w:t>Degrees, radians</w:t>
            </w:r>
          </w:p>
          <w:p w:rsidR="00000000" w:rsidRPr="00B94C22" w:rsidP="00B94C22">
            <w:pPr>
              <w:pStyle w:val="ListBullet"/>
            </w:pPr>
            <w:r w:rsidRPr="00B94C22">
              <w:t>Graphs of k f(ax + b) where f(x) = sin x, cos x, tan x, and significance of k,a,b, for example V = Vm sin (wt+ f)</w:t>
            </w:r>
          </w:p>
          <w:p w:rsidR="00000000" w:rsidRPr="00B94C22" w:rsidP="00B94C22">
            <w:pPr>
              <w:pStyle w:val="ListBullet"/>
            </w:pPr>
            <w:r w:rsidRPr="00B94C22">
              <w:t>Trigonometric identities</w:t>
            </w:r>
          </w:p>
          <w:p w:rsidR="00000000" w:rsidRPr="00B94C22" w:rsidP="00B94C22">
            <w:pPr>
              <w:pStyle w:val="ListBullet"/>
            </w:pPr>
            <w:r w:rsidRPr="00B94C22">
              <w:t>Solve</w:t>
            </w:r>
            <w:r w:rsidRPr="00B94C22">
              <w:t xml:space="preserve"> trigonometric equations</w:t>
            </w:r>
          </w:p>
          <w:p w:rsidR="00000000" w:rsidRPr="00B94C22" w:rsidP="00B94C22">
            <w:pPr>
              <w:pStyle w:val="BodyText"/>
            </w:pPr>
            <w:r w:rsidRPr="00B94C22">
              <w:t>T5.</w:t>
            </w:r>
            <w:r w:rsidRPr="00B94C22">
              <w:tab/>
              <w:t>Energy and humanity</w:t>
            </w:r>
          </w:p>
          <w:p w:rsidR="00000000" w:rsidRPr="00B94C22" w:rsidP="00B94C22">
            <w:pPr>
              <w:pStyle w:val="ListBullet"/>
            </w:pPr>
            <w:r w:rsidRPr="00B94C22">
              <w:t>Need for energy and relationship between energy usage and standard of living</w:t>
            </w:r>
          </w:p>
          <w:p w:rsidR="00000000" w:rsidRPr="00B94C22" w:rsidP="00B94C22">
            <w:pPr>
              <w:pStyle w:val="ListBullet"/>
            </w:pPr>
            <w:r w:rsidRPr="00B94C22">
              <w:t>Energy conversion - typical processes and efficiencies</w:t>
            </w:r>
          </w:p>
          <w:p w:rsidR="00000000" w:rsidRPr="00B94C22" w:rsidP="00B94C22">
            <w:pPr>
              <w:pStyle w:val="ListBullet"/>
            </w:pPr>
            <w:r w:rsidRPr="00B94C22">
              <w:t>Sources of energy</w:t>
            </w:r>
          </w:p>
          <w:p w:rsidR="00000000" w:rsidRPr="00B94C22" w:rsidP="00B94C22">
            <w:pPr>
              <w:pStyle w:val="ListBullet"/>
            </w:pPr>
            <w:r w:rsidRPr="00B94C22">
              <w:t>Solar energy - direct heating, photosynthesis, solar cel</w:t>
            </w:r>
            <w:r w:rsidRPr="00B94C22">
              <w:t>ls, power tower, hydrogen for solar energy, ocean thermal energy collector, solar ponds, wind and wave energy, hydro-electric power</w:t>
            </w:r>
          </w:p>
          <w:p w:rsidR="00000000" w:rsidRPr="00B94C22" w:rsidP="00B94C22">
            <w:pPr>
              <w:pStyle w:val="ListBullet"/>
            </w:pPr>
            <w:r w:rsidRPr="00B94C22">
              <w:t>Geothermal energy</w:t>
            </w:r>
          </w:p>
          <w:p w:rsidR="00000000" w:rsidRPr="00B94C22" w:rsidP="00B94C22">
            <w:pPr>
              <w:pStyle w:val="ListBullet"/>
            </w:pPr>
            <w:r w:rsidRPr="00B94C22">
              <w:t>Tidal energy</w:t>
            </w:r>
          </w:p>
          <w:p w:rsidR="00000000" w:rsidRPr="00B94C22" w:rsidP="00B94C22">
            <w:pPr>
              <w:pStyle w:val="ListBullet"/>
            </w:pPr>
            <w:r w:rsidRPr="00B94C22">
              <w:t>Nuclear energy - fission and fusion, burner and breeder reactors</w:t>
            </w:r>
          </w:p>
          <w:p w:rsidR="00000000" w:rsidRPr="00B94C22" w:rsidP="00B94C22">
            <w:pPr>
              <w:pStyle w:val="ListBullet"/>
            </w:pPr>
            <w:r w:rsidRPr="00B94C22">
              <w:t>Stored fuel reserves</w:t>
            </w:r>
          </w:p>
          <w:p w:rsidR="00000000" w:rsidRPr="00B94C22" w:rsidP="00B94C22">
            <w:pPr>
              <w:pStyle w:val="ListBullet"/>
            </w:pPr>
            <w:r w:rsidRPr="00B94C22">
              <w:t>Fuel conservation - reduction in wastage, recycling, greater usage efficiency and use of waste heat</w:t>
            </w:r>
          </w:p>
          <w:p w:rsidR="00000000" w:rsidRPr="00B94C22" w:rsidP="00B94C22">
            <w:pPr>
              <w:pStyle w:val="ListBullet"/>
            </w:pPr>
            <w:r w:rsidRPr="00B94C22">
              <w:t xml:space="preserve">Thermodynamics </w:t>
            </w:r>
          </w:p>
          <w:p w:rsidR="00000000" w:rsidRPr="00B94C22" w:rsidP="00B94C22">
            <w:pPr>
              <w:pStyle w:val="BodyText"/>
            </w:pPr>
            <w:r w:rsidRPr="00B94C22">
              <w:t>T6.</w:t>
            </w:r>
            <w:r w:rsidRPr="00B94C22">
              <w:tab/>
              <w:t>Basic Concepts</w:t>
            </w:r>
          </w:p>
          <w:p w:rsidR="00000000" w:rsidRPr="00B94C22" w:rsidP="00B94C22">
            <w:pPr>
              <w:pStyle w:val="ListBullet"/>
            </w:pPr>
            <w:r w:rsidRPr="00B94C22">
              <w:t>Nature of matter - atoms, molecules, inter-molecular forces, molecular motion, states of matter</w:t>
            </w:r>
          </w:p>
          <w:p w:rsidR="00000000" w:rsidRPr="00B94C22" w:rsidP="00B94C22">
            <w:pPr>
              <w:pStyle w:val="ListBullet"/>
            </w:pPr>
            <w:r w:rsidRPr="00B94C22">
              <w:t>Mass and conservation of</w:t>
            </w:r>
            <w:r w:rsidRPr="00B94C22">
              <w:t xml:space="preserve"> mass principle</w:t>
            </w:r>
          </w:p>
          <w:p w:rsidR="00000000" w:rsidRPr="00B94C22" w:rsidP="00B94C22">
            <w:pPr>
              <w:pStyle w:val="ListBullet"/>
            </w:pPr>
            <w:r w:rsidRPr="00B94C22">
              <w:t>Volume, density, specific volume, relative density</w:t>
            </w:r>
          </w:p>
          <w:p w:rsidR="00000000" w:rsidRPr="00B94C22" w:rsidP="00B94C22">
            <w:pPr>
              <w:pStyle w:val="ListBullet"/>
            </w:pPr>
            <w:r w:rsidRPr="00B94C22">
              <w:t>Force, weight, pressure (atmospheric, gauge and absolute)</w:t>
            </w:r>
          </w:p>
          <w:p w:rsidR="00000000" w:rsidRPr="00B94C22" w:rsidP="00B94C22">
            <w:pPr>
              <w:pStyle w:val="ListBullet"/>
            </w:pPr>
            <w:r w:rsidRPr="00B94C22">
              <w:t>Temperature (Celsius and Kelvin)</w:t>
            </w:r>
          </w:p>
          <w:p w:rsidR="00000000" w:rsidRPr="00B94C22" w:rsidP="00B94C22">
            <w:pPr>
              <w:pStyle w:val="ListBullet"/>
            </w:pPr>
            <w:r w:rsidRPr="00B94C22">
              <w:t>Systems and black box analysis</w:t>
            </w:r>
          </w:p>
          <w:p w:rsidR="00000000" w:rsidRPr="00B94C22" w:rsidP="00B94C22">
            <w:pPr>
              <w:pStyle w:val="ListBullet"/>
            </w:pPr>
            <w:r w:rsidRPr="00B94C22">
              <w:t>Reciprocating piston and cylinder mechanism – pressure ratio and co</w:t>
            </w:r>
            <w:r w:rsidRPr="00B94C22">
              <w:t>mpression ratio</w:t>
            </w:r>
          </w:p>
          <w:p w:rsidR="00000000" w:rsidRPr="00B94C22" w:rsidP="00B94C22">
            <w:pPr>
              <w:pStyle w:val="BodyText"/>
            </w:pPr>
            <w:r w:rsidRPr="00B94C22">
              <w:t>T7.</w:t>
            </w:r>
            <w:r w:rsidRPr="00B94C22">
              <w:tab/>
              <w:t>Energy</w:t>
            </w:r>
          </w:p>
          <w:p w:rsidR="00000000" w:rsidRPr="00B94C22" w:rsidP="00B94C22">
            <w:pPr>
              <w:pStyle w:val="ListBullet"/>
            </w:pPr>
            <w:r w:rsidRPr="00B94C22">
              <w:t>Definition and principles</w:t>
            </w:r>
          </w:p>
          <w:p w:rsidR="00000000" w:rsidRPr="00B94C22" w:rsidP="00B94C22">
            <w:pPr>
              <w:pStyle w:val="ListBullet"/>
            </w:pPr>
            <w:r w:rsidRPr="00B94C22">
              <w:t>Potential energy</w:t>
            </w:r>
          </w:p>
          <w:p w:rsidR="00000000" w:rsidRPr="00B94C22" w:rsidP="00B94C22">
            <w:pPr>
              <w:pStyle w:val="ListBullet"/>
            </w:pPr>
            <w:r w:rsidRPr="00B94C22">
              <w:t>Kinetic energy</w:t>
            </w:r>
          </w:p>
          <w:p w:rsidR="00000000" w:rsidRPr="00B94C22" w:rsidP="00B94C22">
            <w:pPr>
              <w:pStyle w:val="ListBullet"/>
            </w:pPr>
            <w:r w:rsidRPr="00B94C22">
              <w:t>Work (linear and rotational), constant and variable force, relationship to pressure and volume change</w:t>
            </w:r>
          </w:p>
          <w:p w:rsidR="00000000" w:rsidRPr="00B94C22" w:rsidP="00B94C22">
            <w:pPr>
              <w:pStyle w:val="ListBullet"/>
            </w:pPr>
            <w:r w:rsidRPr="00B94C22">
              <w:t>Power (linear and rotational)</w:t>
            </w:r>
          </w:p>
          <w:p w:rsidR="00000000" w:rsidRPr="00B94C22" w:rsidP="00B94C22">
            <w:pPr>
              <w:pStyle w:val="ListBullet"/>
            </w:pPr>
            <w:r w:rsidRPr="00B94C22">
              <w:t>Sensible heat - specific heat capacity</w:t>
            </w:r>
            <w:r w:rsidRPr="00B94C22">
              <w:t xml:space="preserve"> (constant pressure and constant volume)</w:t>
            </w:r>
          </w:p>
          <w:p w:rsidR="00000000" w:rsidRPr="00B94C22" w:rsidP="00B94C22">
            <w:pPr>
              <w:pStyle w:val="ListBullet"/>
            </w:pPr>
            <w:r w:rsidRPr="00B94C22">
              <w:t>Latent heat</w:t>
            </w:r>
          </w:p>
          <w:p w:rsidR="00000000" w:rsidRPr="00B94C22" w:rsidP="00B94C22">
            <w:pPr>
              <w:pStyle w:val="ListBullet"/>
            </w:pPr>
            <w:r w:rsidRPr="00B94C22">
              <w:t>Chemical energy - energy content of a fuel</w:t>
            </w:r>
          </w:p>
          <w:p w:rsidR="00000000" w:rsidRPr="00B94C22" w:rsidP="00B94C22">
            <w:pPr>
              <w:pStyle w:val="ListBullet"/>
            </w:pPr>
            <w:r w:rsidRPr="00B94C22">
              <w:t>Internal energy</w:t>
            </w:r>
          </w:p>
          <w:p w:rsidR="00000000" w:rsidRPr="00B94C22" w:rsidP="00B94C22">
            <w:pPr>
              <w:pStyle w:val="ListBullet"/>
            </w:pPr>
            <w:r w:rsidRPr="00B94C22">
              <w:t>Energy transfer in closed and open systems</w:t>
            </w:r>
          </w:p>
          <w:p w:rsidR="00000000" w:rsidRPr="00B94C22" w:rsidP="00B94C22">
            <w:pPr>
              <w:pStyle w:val="ListBullet"/>
            </w:pPr>
            <w:r w:rsidRPr="00B94C22">
              <w:t>Definition of a closed system</w:t>
            </w:r>
          </w:p>
          <w:p w:rsidR="00000000" w:rsidRPr="00B94C22" w:rsidP="00B94C22">
            <w:pPr>
              <w:pStyle w:val="ListBullet"/>
            </w:pPr>
            <w:r w:rsidRPr="00B94C22">
              <w:t>Calorimetry as an example of a closed system (with or without phase change)</w:t>
            </w:r>
          </w:p>
          <w:p w:rsidR="00000000" w:rsidRPr="00B94C22" w:rsidP="00B94C22">
            <w:pPr>
              <w:pStyle w:val="ListBullet"/>
            </w:pPr>
            <w:r w:rsidRPr="00B94C22">
              <w:t>Thermodynamics 1</w:t>
            </w:r>
          </w:p>
          <w:p w:rsidR="00000000" w:rsidRPr="00B94C22" w:rsidP="00B94C22">
            <w:pPr>
              <w:pStyle w:val="ListBullet"/>
            </w:pPr>
            <w:r w:rsidRPr="00B94C22">
              <w:t>Non-flow energy equation - typical applications such as stirring with simultaneous heating or cooling</w:t>
            </w:r>
          </w:p>
          <w:p w:rsidR="00000000" w:rsidRPr="00B94C22" w:rsidP="00B94C22">
            <w:pPr>
              <w:pStyle w:val="ListBullet"/>
            </w:pPr>
            <w:r w:rsidRPr="00B94C22">
              <w:t>Definition of an open system</w:t>
            </w:r>
          </w:p>
          <w:p w:rsidR="00000000" w:rsidRPr="00B94C22" w:rsidP="00B94C22">
            <w:pPr>
              <w:pStyle w:val="ListBullet"/>
            </w:pPr>
            <w:r w:rsidRPr="00B94C22">
              <w:t>Mass and volume flow rate and co</w:t>
            </w:r>
            <w:r w:rsidRPr="00B94C22">
              <w:t>ntinuity equation</w:t>
            </w:r>
          </w:p>
          <w:p w:rsidR="00000000" w:rsidRPr="00B94C22" w:rsidP="00B94C22">
            <w:pPr>
              <w:pStyle w:val="ListBullet"/>
            </w:pPr>
            <w:r w:rsidRPr="00B94C22">
              <w:t>Steady flow energy equation (negligible change in kinetic or potential energy) leading to the concept of enthalpy - typical applications such as turbines, compressors, boilers and heat exchangers.</w:t>
            </w:r>
          </w:p>
          <w:p w:rsidR="00000000" w:rsidRPr="00B94C22" w:rsidP="00B94C22">
            <w:pPr>
              <w:pStyle w:val="BodyText"/>
            </w:pPr>
            <w:r w:rsidRPr="00B94C22">
              <w:t>T8.</w:t>
            </w:r>
            <w:r w:rsidRPr="00B94C22">
              <w:tab/>
              <w:t>Gases</w:t>
            </w:r>
          </w:p>
          <w:p w:rsidR="00000000" w:rsidRPr="00B94C22" w:rsidP="00B94C22">
            <w:pPr>
              <w:pStyle w:val="ListBullet"/>
            </w:pPr>
            <w:r w:rsidRPr="00B94C22">
              <w:t>Definition of a perfect or ide</w:t>
            </w:r>
            <w:r w:rsidRPr="00B94C22">
              <w:t>al gas in terms of the molecular model</w:t>
            </w:r>
          </w:p>
          <w:p w:rsidR="00000000" w:rsidRPr="00B94C22" w:rsidP="00B94C22">
            <w:pPr>
              <w:pStyle w:val="ListBullet"/>
            </w:pPr>
            <w:r w:rsidRPr="00B94C22">
              <w:t>General gas equation</w:t>
            </w:r>
          </w:p>
          <w:p w:rsidR="00000000" w:rsidRPr="00B94C22" w:rsidP="00B94C22">
            <w:pPr>
              <w:pStyle w:val="ListBullet"/>
            </w:pPr>
            <w:r w:rsidRPr="00B94C22">
              <w:t>Characteristic gas equation (equation of state)</w:t>
            </w:r>
          </w:p>
          <w:p w:rsidR="00000000" w:rsidRPr="00B94C22" w:rsidP="00B94C22">
            <w:pPr>
              <w:pStyle w:val="ListBullet"/>
            </w:pPr>
            <w:r w:rsidRPr="00B94C22">
              <w:t>Constant pressure process</w:t>
            </w:r>
          </w:p>
          <w:p w:rsidR="00000000" w:rsidRPr="00B94C22" w:rsidP="00B94C22">
            <w:pPr>
              <w:pStyle w:val="ListBullet"/>
            </w:pPr>
            <w:r w:rsidRPr="00B94C22">
              <w:t>Constant volume process</w:t>
            </w:r>
          </w:p>
          <w:p w:rsidR="00000000" w:rsidRPr="00B94C22" w:rsidP="00B94C22">
            <w:pPr>
              <w:pStyle w:val="ListBullet"/>
            </w:pPr>
            <w:r w:rsidRPr="00B94C22">
              <w:t>Isothermal process</w:t>
            </w:r>
          </w:p>
          <w:p w:rsidR="00000000" w:rsidRPr="00B94C22" w:rsidP="00B94C22">
            <w:pPr>
              <w:pStyle w:val="ListBullet"/>
            </w:pPr>
            <w:r w:rsidRPr="00B94C22">
              <w:t>Polytropic process</w:t>
            </w:r>
          </w:p>
          <w:p w:rsidR="00000000" w:rsidRPr="00B94C22" w:rsidP="00B94C22">
            <w:pPr>
              <w:pStyle w:val="ListBullet"/>
            </w:pPr>
            <w:r w:rsidRPr="00B94C22">
              <w:t>Adiabatic process</w:t>
            </w:r>
          </w:p>
          <w:p w:rsidR="00000000" w:rsidRPr="00B94C22" w:rsidP="00B94C22">
            <w:pPr>
              <w:pStyle w:val="BodyText"/>
            </w:pPr>
            <w:r w:rsidRPr="00B94C22">
              <w:t>T9.</w:t>
            </w:r>
            <w:r w:rsidRPr="00B94C22">
              <w:tab/>
              <w:t>Heat engines</w:t>
            </w:r>
          </w:p>
          <w:p w:rsidR="00000000" w:rsidRPr="00B94C22" w:rsidP="00B94C22">
            <w:pPr>
              <w:pStyle w:val="ListBullet"/>
            </w:pPr>
            <w:r w:rsidRPr="00B94C22">
              <w:t>Definition of a heat engine</w:t>
            </w:r>
          </w:p>
          <w:p w:rsidR="00000000" w:rsidRPr="00B94C22" w:rsidP="00B94C22">
            <w:pPr>
              <w:pStyle w:val="ListBullet"/>
            </w:pPr>
            <w:r w:rsidRPr="00B94C22">
              <w:t>Essentials of a heat engine - heat source, heat sink, working substance, mechanical power output, working cycle</w:t>
            </w:r>
          </w:p>
          <w:p w:rsidR="00000000" w:rsidRPr="00B94C22" w:rsidP="00B94C22">
            <w:pPr>
              <w:pStyle w:val="ListBullet"/>
            </w:pPr>
            <w:r w:rsidRPr="00B94C22">
              <w:t>Energy balance for a heat engine (as a black box) and efficiency</w:t>
            </w:r>
          </w:p>
          <w:p w:rsidR="00000000" w:rsidRPr="00B94C22" w:rsidP="00B94C22">
            <w:pPr>
              <w:pStyle w:val="ListBullet"/>
            </w:pPr>
            <w:r w:rsidRPr="00B94C22">
              <w:t>Maximum possible efficiency (Carnot efficiency)</w:t>
            </w:r>
          </w:p>
          <w:p w:rsidR="00000000" w:rsidRPr="00B94C22" w:rsidP="00B94C22">
            <w:pPr>
              <w:pStyle w:val="ListBullet"/>
            </w:pPr>
            <w:r w:rsidRPr="00B94C22">
              <w:t>Typ</w:t>
            </w:r>
            <w:r w:rsidRPr="00B94C22">
              <w:t>es of heat engines according to working substance, heat source, mechanical arrangement and working cycle</w:t>
            </w:r>
          </w:p>
          <w:p w:rsidR="00000000" w:rsidRPr="00B94C22" w:rsidP="00B94C22">
            <w:pPr>
              <w:pStyle w:val="ListBullet"/>
            </w:pPr>
            <w:r w:rsidRPr="00B94C22">
              <w:t>Typical practical cycles - Stirling, Otto, Diesel, dual, two stroke (spark and compression ignition. Joule cycle.</w:t>
            </w:r>
          </w:p>
          <w:p w:rsidR="00000000" w:rsidRPr="00B94C22" w:rsidP="00B94C22">
            <w:pPr>
              <w:pStyle w:val="ListBullet"/>
            </w:pPr>
            <w:r w:rsidRPr="00B94C22">
              <w:t>Thermodynamics 1</w:t>
            </w:r>
          </w:p>
          <w:p w:rsidR="00000000" w:rsidRPr="00B94C22" w:rsidP="00B94C22">
            <w:pPr>
              <w:pStyle w:val="BodyText"/>
            </w:pPr>
            <w:r w:rsidRPr="00B94C22">
              <w:t>T10.</w:t>
            </w:r>
            <w:r w:rsidRPr="00B94C22">
              <w:tab/>
              <w:t>Heat engine per</w:t>
            </w:r>
            <w:r w:rsidRPr="00B94C22">
              <w:t>formance</w:t>
            </w:r>
          </w:p>
          <w:p w:rsidR="00000000" w:rsidRPr="00B94C22" w:rsidP="00B94C22">
            <w:pPr>
              <w:pStyle w:val="ListBullet"/>
            </w:pPr>
            <w:r w:rsidRPr="00B94C22">
              <w:t>Measurement of torque and power output - rope brake, shoe brake, hydraulic dynamometer, electric dynamometer</w:t>
            </w:r>
          </w:p>
          <w:p w:rsidR="00000000" w:rsidRPr="00B94C22" w:rsidP="00B94C22">
            <w:pPr>
              <w:pStyle w:val="ListBullet"/>
            </w:pPr>
            <w:r w:rsidRPr="00B94C22">
              <w:t>Heat supply rate, efficiency, specific fuel consumption</w:t>
            </w:r>
          </w:p>
          <w:p w:rsidR="00000000" w:rsidRPr="00B94C22" w:rsidP="00B94C22">
            <w:pPr>
              <w:pStyle w:val="ListBullet"/>
            </w:pPr>
            <w:r w:rsidRPr="00B94C22">
              <w:t>Measurement of indicated power - mechanical indicator, electric/electronic indica</w:t>
            </w:r>
            <w:r w:rsidRPr="00B94C22">
              <w:t>tor, Morse test</w:t>
            </w:r>
          </w:p>
          <w:p w:rsidR="00000000" w:rsidRPr="00B94C22" w:rsidP="00B94C22">
            <w:pPr>
              <w:pStyle w:val="ListBullet"/>
            </w:pPr>
            <w:r w:rsidRPr="00B94C22">
              <w:t>Friction power, mechanical efficiency, indicated thermal efficiency</w:t>
            </w:r>
          </w:p>
          <w:p w:rsidR="00000000" w:rsidRPr="00B94C22" w:rsidP="00B94C22">
            <w:pPr>
              <w:pStyle w:val="ListBullet"/>
            </w:pPr>
            <w:r w:rsidRPr="00B94C22">
              <w:t>Volumetric efficiency</w:t>
            </w:r>
          </w:p>
          <w:p w:rsidR="00000000" w:rsidRPr="00B94C22" w:rsidP="00B94C22">
            <w:pPr>
              <w:pStyle w:val="ListBullet"/>
            </w:pPr>
            <w:r w:rsidRPr="00B94C22">
              <w:t>Energy balance</w:t>
            </w:r>
          </w:p>
          <w:p w:rsidR="00000000" w:rsidRPr="00B94C22" w:rsidP="00B94C22">
            <w:pPr>
              <w:pStyle w:val="ListBullet"/>
            </w:pPr>
            <w:r w:rsidRPr="00B94C22">
              <w:t>Performance curves - variable load constant speed, variable speed constant throttle setting.</w:t>
            </w:r>
          </w:p>
          <w:p w:rsidR="00000000" w:rsidRPr="00B94C22" w:rsidP="00B94C22">
            <w:pPr>
              <w:pStyle w:val="BodyText"/>
            </w:pPr>
            <w:r w:rsidRPr="00B94C22">
              <w:t>T11.</w:t>
            </w:r>
            <w:r w:rsidRPr="00B94C22">
              <w:tab/>
              <w:t>Basic properties of fluids</w:t>
            </w:r>
          </w:p>
          <w:p w:rsidR="00000000" w:rsidRPr="00B94C22" w:rsidP="00B94C22">
            <w:pPr>
              <w:pStyle w:val="ListBullet"/>
            </w:pPr>
            <w:r w:rsidRPr="00B94C22">
              <w:t>Descripti</w:t>
            </w:r>
            <w:r w:rsidRPr="00B94C22">
              <w:t>on of a fluid and the difference between solids and fluids, liquids and gases, hydraulics and pneumatics</w:t>
            </w:r>
          </w:p>
          <w:p w:rsidR="00000000" w:rsidRPr="00B94C22" w:rsidP="00B94C22">
            <w:pPr>
              <w:pStyle w:val="ListBullet"/>
            </w:pPr>
            <w:r w:rsidRPr="00B94C22">
              <w:t>Chemical properties, reaction with metals, corrosiveness, flammability, toxicity, pollution and environmental</w:t>
            </w:r>
          </w:p>
          <w:p w:rsidR="00000000" w:rsidRPr="00B94C22" w:rsidP="00B94C22">
            <w:pPr>
              <w:pStyle w:val="ListBullet"/>
            </w:pPr>
            <w:r w:rsidRPr="00B94C22">
              <w:t>effects</w:t>
            </w:r>
          </w:p>
          <w:p w:rsidR="00000000" w:rsidRPr="00B94C22" w:rsidP="00B94C22">
            <w:pPr>
              <w:pStyle w:val="ListBullet"/>
            </w:pPr>
            <w:r w:rsidRPr="00B94C22">
              <w:t>Dissolves gases and particles in liquids (slurries)</w:t>
            </w:r>
          </w:p>
          <w:p w:rsidR="00000000" w:rsidRPr="00B94C22" w:rsidP="00B94C22">
            <w:pPr>
              <w:pStyle w:val="ListBullet"/>
            </w:pPr>
            <w:r w:rsidRPr="00B94C22">
              <w:t>Foaming of liquids. Basic properties and units - mass, volume, density, specific volume, relative density, force and weight, pressure (absolute, atmospheric and gauge), temperature (Celsius and Kelvin), v</w:t>
            </w:r>
            <w:r w:rsidRPr="00B94C22">
              <w:t>iscosity, surface tension</w:t>
            </w:r>
          </w:p>
          <w:p w:rsidR="00000000" w:rsidRPr="00B94C22" w:rsidP="00B94C22">
            <w:pPr>
              <w:pStyle w:val="ListBullet"/>
            </w:pPr>
            <w:r w:rsidRPr="00B94C22">
              <w:t>Vapour pressure of a liquid - saturation vapour pressure</w:t>
            </w:r>
          </w:p>
          <w:p w:rsidR="00000000" w:rsidRPr="00B94C22" w:rsidP="00B94C22">
            <w:pPr>
              <w:pStyle w:val="ListBullet"/>
            </w:pPr>
            <w:r w:rsidRPr="00B94C22">
              <w:t>Temperature and pressure effects on the basic properties</w:t>
            </w:r>
          </w:p>
          <w:p w:rsidR="00000000" w:rsidRPr="00B94C22" w:rsidP="00B94C22">
            <w:pPr>
              <w:pStyle w:val="ListBullet"/>
            </w:pPr>
            <w:r w:rsidRPr="00B94C22">
              <w:t>Ideal/perfect gases and liquids</w:t>
            </w:r>
          </w:p>
          <w:p w:rsidR="00000000" w:rsidRPr="00B94C22" w:rsidP="00B94C22">
            <w:pPr>
              <w:pStyle w:val="ListBullet"/>
            </w:pPr>
            <w:r w:rsidRPr="00B94C22">
              <w:t>Gas laws for ideal gases</w:t>
            </w:r>
          </w:p>
          <w:p w:rsidR="00000000" w:rsidRPr="00B94C22" w:rsidP="00B94C22">
            <w:pPr>
              <w:pStyle w:val="ListBullet"/>
            </w:pPr>
            <w:r w:rsidRPr="00B94C22">
              <w:t>Fluid Mechanics 1</w:t>
            </w:r>
          </w:p>
          <w:p w:rsidR="00000000" w:rsidRPr="00B94C22" w:rsidP="00B94C22">
            <w:pPr>
              <w:pStyle w:val="BodyText"/>
            </w:pPr>
            <w:r w:rsidRPr="00B94C22">
              <w:t>T12.</w:t>
            </w:r>
            <w:r w:rsidRPr="00B94C22">
              <w:tab/>
              <w:t>Components</w:t>
            </w:r>
          </w:p>
          <w:p w:rsidR="00000000" w:rsidRPr="00B94C22" w:rsidP="00B94C22">
            <w:pPr>
              <w:pStyle w:val="ListBullet"/>
            </w:pPr>
            <w:r w:rsidRPr="00B94C22">
              <w:t>Pipes, channels, tubes a</w:t>
            </w:r>
            <w:r w:rsidRPr="00B94C22">
              <w:t>nd ducts (rigid and flexible)</w:t>
            </w:r>
          </w:p>
          <w:p w:rsidR="00000000" w:rsidRPr="00B94C22" w:rsidP="00B94C22">
            <w:pPr>
              <w:pStyle w:val="ListBullet"/>
            </w:pPr>
            <w:r w:rsidRPr="00B94C22">
              <w:t>Valves - gate, globe, non-return/foot, needle, ball, plug cock, diaphragm, pressure regulating/reducing, safety</w:t>
            </w:r>
          </w:p>
          <w:p w:rsidR="00000000" w:rsidRPr="00B94C22" w:rsidP="00B94C22">
            <w:pPr>
              <w:pStyle w:val="ListBullet"/>
            </w:pPr>
            <w:r w:rsidRPr="00B94C22">
              <w:t>valves</w:t>
            </w:r>
          </w:p>
          <w:p w:rsidR="00000000" w:rsidRPr="00B94C22" w:rsidP="00B94C22">
            <w:pPr>
              <w:pStyle w:val="ListBullet"/>
            </w:pPr>
            <w:r w:rsidRPr="00B94C22">
              <w:t>Filters and strainers for gases and liquids</w:t>
            </w:r>
          </w:p>
          <w:p w:rsidR="00000000" w:rsidRPr="00B94C22" w:rsidP="00B94C22">
            <w:pPr>
              <w:pStyle w:val="ListBullet"/>
            </w:pPr>
            <w:r w:rsidRPr="00B94C22">
              <w:t>Gauges and instruments - pressure and temperature gauges, liqui</w:t>
            </w:r>
            <w:r w:rsidRPr="00B94C22">
              <w:t>d level gauges, thermometers, thermocouples, manometers, piezometers</w:t>
            </w:r>
          </w:p>
          <w:p w:rsidR="00000000" w:rsidRPr="00B94C22" w:rsidP="00B94C22">
            <w:pPr>
              <w:pStyle w:val="ListBullet"/>
            </w:pPr>
            <w:r w:rsidRPr="00B94C22">
              <w:t>Pipe fittings - elbows/bends, enlargement/contractions, coupler/unions, tees</w:t>
            </w:r>
          </w:p>
          <w:p w:rsidR="00000000" w:rsidRPr="00B94C22" w:rsidP="00B94C22">
            <w:pPr>
              <w:pStyle w:val="ListBullet"/>
            </w:pPr>
            <w:r w:rsidRPr="00B94C22">
              <w:t>Tanks and vessels - storage tanks, pressure vessels, header and surge tanks, weirs/dams/reservoirs</w:t>
            </w:r>
          </w:p>
          <w:p w:rsidR="00000000" w:rsidRPr="00B94C22" w:rsidP="00B94C22">
            <w:pPr>
              <w:pStyle w:val="ListBullet"/>
            </w:pPr>
            <w:r w:rsidRPr="00B94C22">
              <w:t>Nozzles/spr</w:t>
            </w:r>
            <w:r w:rsidRPr="00B94C22">
              <w:t>ay heads</w:t>
            </w:r>
          </w:p>
          <w:p w:rsidR="00000000" w:rsidRPr="00B94C22" w:rsidP="00B94C22">
            <w:pPr>
              <w:pStyle w:val="ListBullet"/>
            </w:pPr>
            <w:r w:rsidRPr="00B94C22">
              <w:t>Flow measurement instruments - venturi and orifice meters, pitot tube, rotameter, anemometer (fan/hot wire)</w:t>
            </w:r>
          </w:p>
          <w:p w:rsidR="00000000" w:rsidRPr="00B94C22" w:rsidP="00B94C22">
            <w:pPr>
              <w:pStyle w:val="ListBullet"/>
            </w:pPr>
            <w:r w:rsidRPr="00B94C22">
              <w:t>Pumps/compressors, motors/turbines</w:t>
            </w:r>
          </w:p>
          <w:p w:rsidR="00000000" w:rsidRPr="00B94C22" w:rsidP="00B94C22">
            <w:pPr>
              <w:pStyle w:val="ListBullet"/>
            </w:pPr>
            <w:r w:rsidRPr="00B94C22">
              <w:t>Actuators - linear (cylinders) and rotary</w:t>
            </w:r>
          </w:p>
          <w:p w:rsidR="00000000" w:rsidRPr="00B94C22" w:rsidP="00B94C22">
            <w:pPr>
              <w:pStyle w:val="ListBullet"/>
            </w:pPr>
            <w:r w:rsidRPr="00B94C22">
              <w:t xml:space="preserve">Selection of equipment and instruments considering properties </w:t>
            </w:r>
            <w:r w:rsidRPr="00B94C22">
              <w:t>and compatibility</w:t>
            </w:r>
          </w:p>
          <w:p w:rsidR="00000000" w:rsidRPr="00B94C22" w:rsidP="00B94C22">
            <w:pPr>
              <w:pStyle w:val="BodyText"/>
            </w:pPr>
            <w:r w:rsidRPr="00B94C22">
              <w:t>T13.</w:t>
            </w:r>
            <w:r w:rsidRPr="00B94C22">
              <w:tab/>
              <w:t>Fluid statics</w:t>
            </w:r>
          </w:p>
          <w:p w:rsidR="00000000" w:rsidRPr="00B94C22" w:rsidP="00B94C22">
            <w:pPr>
              <w:pStyle w:val="ListBullet"/>
            </w:pPr>
            <w:r w:rsidRPr="00B94C22">
              <w:t>Pressure at a point, direction of pressure on a surface</w:t>
            </w:r>
          </w:p>
          <w:p w:rsidR="00000000" w:rsidRPr="00B94C22" w:rsidP="00B94C22">
            <w:pPr>
              <w:pStyle w:val="ListBullet"/>
            </w:pPr>
            <w:r w:rsidRPr="00B94C22">
              <w:t>Pressure variation with depth in a liquid</w:t>
            </w:r>
          </w:p>
          <w:p w:rsidR="00000000" w:rsidRPr="00B94C22" w:rsidP="00B94C22">
            <w:pPr>
              <w:pStyle w:val="ListBullet"/>
            </w:pPr>
            <w:r w:rsidRPr="00B94C22">
              <w:t>Pascal’s Principle</w:t>
            </w:r>
          </w:p>
          <w:p w:rsidR="00000000" w:rsidRPr="00B94C22" w:rsidP="00B94C22">
            <w:pPr>
              <w:pStyle w:val="ListBullet"/>
            </w:pPr>
            <w:r w:rsidRPr="00B94C22">
              <w:t>Manometer/piezometer calculations (vertical and inclined)</w:t>
            </w:r>
          </w:p>
          <w:p w:rsidR="00000000" w:rsidRPr="00B94C22" w:rsidP="00B94C22">
            <w:pPr>
              <w:pStyle w:val="ListBullet"/>
            </w:pPr>
            <w:r w:rsidRPr="00B94C22">
              <w:t xml:space="preserve">Forces due to fluid pressure </w:t>
            </w:r>
            <w:r w:rsidRPr="00B94C22">
              <w:t>on vertical, horizontal and inclined surfaces</w:t>
            </w:r>
          </w:p>
          <w:p w:rsidR="00000000" w:rsidRPr="00B94C22" w:rsidP="00B94C22">
            <w:pPr>
              <w:pStyle w:val="ListBullet"/>
            </w:pPr>
            <w:r w:rsidRPr="00B94C22">
              <w:t>Centre of pressure</w:t>
            </w:r>
          </w:p>
          <w:p w:rsidR="00000000" w:rsidRPr="00B94C22" w:rsidP="00B94C22">
            <w:pPr>
              <w:pStyle w:val="ListBullet"/>
            </w:pPr>
            <w:r w:rsidRPr="00B94C22">
              <w:t>Archimedes Principle - buoyancy, flotation, apparent weight and centre of buoyancy</w:t>
            </w:r>
          </w:p>
          <w:p w:rsidR="00000000" w:rsidRPr="00B94C22" w:rsidP="00B94C22">
            <w:pPr>
              <w:pStyle w:val="ListBullet"/>
            </w:pPr>
            <w:r w:rsidRPr="00B94C22">
              <w:t>Fluid flow</w:t>
            </w:r>
          </w:p>
          <w:p w:rsidR="00000000" w:rsidRPr="00B94C22" w:rsidP="00B94C22">
            <w:pPr>
              <w:pStyle w:val="ListBullet"/>
            </w:pPr>
            <w:r w:rsidRPr="00B94C22">
              <w:t>Steady and unsteady flow, streamlines and eddies</w:t>
            </w:r>
          </w:p>
          <w:p w:rsidR="00000000" w:rsidRPr="00B94C22" w:rsidP="00B94C22">
            <w:pPr>
              <w:pStyle w:val="ListBullet"/>
            </w:pPr>
            <w:r w:rsidRPr="00B94C22">
              <w:t>Velocity - average or mean and local</w:t>
            </w:r>
          </w:p>
          <w:p w:rsidR="00000000" w:rsidRPr="00B94C22" w:rsidP="00B94C22">
            <w:pPr>
              <w:pStyle w:val="ListBullet"/>
            </w:pPr>
            <w:r w:rsidRPr="00B94C22">
              <w:t>Mass and vo</w:t>
            </w:r>
            <w:r w:rsidRPr="00B94C22">
              <w:t>lume flow rate</w:t>
            </w:r>
          </w:p>
          <w:p w:rsidR="00000000" w:rsidRPr="00B94C22" w:rsidP="00B94C22">
            <w:pPr>
              <w:pStyle w:val="ListBullet"/>
            </w:pPr>
            <w:r w:rsidRPr="00B94C22">
              <w:t>Conservation of mass leading to the Continuity Equation for fluid flow</w:t>
            </w:r>
          </w:p>
          <w:p w:rsidR="00000000" w:rsidRPr="00B94C22" w:rsidP="00B94C22">
            <w:pPr>
              <w:pStyle w:val="ListBullet"/>
            </w:pPr>
            <w:r w:rsidRPr="00B94C22">
              <w:t>Modification of the Continuity Equation for volume flow of liquids or gases with small changes in density</w:t>
            </w:r>
          </w:p>
          <w:p w:rsidR="00000000" w:rsidRPr="00B94C22" w:rsidP="00B94C22">
            <w:pPr>
              <w:pStyle w:val="ListBullet"/>
            </w:pPr>
            <w:r w:rsidRPr="00B94C22">
              <w:t>Bernoulli Equation for ideal fluids, meaning of pressure, veloci</w:t>
            </w:r>
            <w:r w:rsidRPr="00B94C22">
              <w:t>ty and potential head. Total head</w:t>
            </w:r>
          </w:p>
          <w:p w:rsidR="00000000" w:rsidRPr="00B94C22" w:rsidP="00B94C22">
            <w:pPr>
              <w:pStyle w:val="ListBullet"/>
            </w:pPr>
            <w:r w:rsidRPr="00B94C22">
              <w:t>Causes of head loss and modification of the Bernoulli Equation to include a head loss term for real fluids</w:t>
            </w:r>
          </w:p>
          <w:p w:rsidR="00000000" w:rsidRPr="00B94C22" w:rsidP="00B94C22">
            <w:pPr>
              <w:pStyle w:val="BodyText"/>
            </w:pPr>
            <w:r w:rsidRPr="00B94C22">
              <w:t>T14.</w:t>
            </w:r>
            <w:r w:rsidRPr="00B94C22">
              <w:tab/>
              <w:t>Fluid power</w:t>
            </w:r>
          </w:p>
          <w:p w:rsidR="00000000" w:rsidRPr="00B94C22" w:rsidP="00B94C22">
            <w:pPr>
              <w:pStyle w:val="ListBullet"/>
            </w:pPr>
            <w:r w:rsidRPr="00B94C22">
              <w:t>Definition and units for work, torque and power</w:t>
            </w:r>
          </w:p>
          <w:p w:rsidR="00000000" w:rsidRPr="00B94C22" w:rsidP="00B94C22">
            <w:pPr>
              <w:pStyle w:val="ListBullet"/>
            </w:pPr>
            <w:r w:rsidRPr="00B94C22">
              <w:t>Relationship between force, velocity and power an</w:t>
            </w:r>
            <w:r w:rsidRPr="00B94C22">
              <w:t>d torque, angular velocity and power</w:t>
            </w:r>
          </w:p>
          <w:p w:rsidR="00000000" w:rsidRPr="00B94C22" w:rsidP="00B94C22">
            <w:pPr>
              <w:pStyle w:val="ListBullet"/>
            </w:pPr>
            <w:r w:rsidRPr="00B94C22">
              <w:t>Work done by a gas expanding at constant pressure</w:t>
            </w:r>
          </w:p>
          <w:p w:rsidR="00000000" w:rsidRPr="00B94C22" w:rsidP="00B94C22">
            <w:pPr>
              <w:pStyle w:val="ListBullet"/>
            </w:pPr>
            <w:r w:rsidRPr="00B94C22">
              <w:t>Relationship between fluid power, mass flow rate and head</w:t>
            </w:r>
          </w:p>
          <w:p w:rsidR="00000000" w:rsidRPr="00B94C22" w:rsidP="00B94C22">
            <w:pPr>
              <w:pStyle w:val="ListBullet"/>
            </w:pPr>
            <w:r w:rsidRPr="00B94C22">
              <w:t>Relationship between fluid power, volume flow rate and pressure</w:t>
            </w:r>
          </w:p>
          <w:p w:rsidR="00000000" w:rsidRPr="00B94C22" w:rsidP="00B94C22">
            <w:pPr>
              <w:pStyle w:val="ListBullet"/>
            </w:pPr>
            <w:r w:rsidRPr="00B94C22">
              <w:t>Efficiency of a pump or turbine</w:t>
            </w:r>
          </w:p>
          <w:p w:rsidR="00000000" w:rsidRPr="00B94C22" w:rsidP="00B94C22">
            <w:pPr>
              <w:pStyle w:val="ListBullet"/>
            </w:pPr>
            <w:r w:rsidRPr="00B94C22">
              <w:t>Modification of the Bernoulli Equation to include a pump or turbine in the fluid circuit as well as a head loss term</w:t>
            </w:r>
          </w:p>
          <w:p w:rsidR="00000000" w:rsidRPr="00B94C22" w:rsidP="00B94C22">
            <w:pPr>
              <w:pStyle w:val="BodyText"/>
            </w:pPr>
            <w:r w:rsidRPr="00B94C22">
              <w:t>T15.</w:t>
            </w:r>
            <w:r w:rsidRPr="00B94C22">
              <w:tab/>
              <w:t>Forces developed by flowing fluids</w:t>
            </w:r>
          </w:p>
          <w:p w:rsidR="00000000" w:rsidRPr="00B94C22" w:rsidP="00B94C22">
            <w:pPr>
              <w:pStyle w:val="ListBullet"/>
            </w:pPr>
            <w:r w:rsidRPr="00B94C22">
              <w:t>Impulse-momentum equation for fluid flow</w:t>
            </w:r>
          </w:p>
          <w:p w:rsidR="00000000" w:rsidRPr="00B94C22" w:rsidP="00B94C22">
            <w:pPr>
              <w:pStyle w:val="ListBullet"/>
            </w:pPr>
            <w:r w:rsidRPr="00B94C22">
              <w:t>Force developed by a jet striking a stationary plate - pe</w:t>
            </w:r>
            <w:r w:rsidRPr="00B94C22">
              <w:t>rpendicular, inclined or curved</w:t>
            </w:r>
          </w:p>
          <w:p w:rsidR="00000000" w:rsidRPr="00B94C22" w:rsidP="00B94C22">
            <w:pPr>
              <w:pStyle w:val="ListBullet"/>
            </w:pPr>
            <w:r w:rsidRPr="00B94C22">
              <w:t>Force developed by a jet striking a moving plate or blade</w:t>
            </w:r>
          </w:p>
          <w:p w:rsidR="00000000" w:rsidRPr="00B94C22" w:rsidP="00B94C22">
            <w:pPr>
              <w:pStyle w:val="ListBullet"/>
            </w:pPr>
            <w:r w:rsidRPr="00B94C22">
              <w:t>Force developed by a jet striking a series of moving plates or blades - power developed and efficiency</w:t>
            </w:r>
          </w:p>
        </w:tc>
      </w:tr>
    </w:tbl>
    <w:p w:rsidR="00000000" w:rsidRPr="00B94C22" w:rsidP="00B94C22">
      <w:pPr>
        <w:pStyle w:val="BodyText"/>
      </w:pPr>
    </w:p>
    <w:p w:rsidR="00000000" w:rsidRPr="00B94C22" w:rsidP="00B94C22">
      <w:pPr>
        <w:pStyle w:val="AllowPageBreak"/>
      </w:pPr>
    </w:p>
    <w:p w:rsidR="00000000" w:rsidRPr="00B94C22" w:rsidP="00B94C22">
      <w:pPr>
        <w:pStyle w:val="Heading1"/>
      </w:pPr>
      <w:bookmarkStart w:id="10" w:name="O_590223"/>
      <w:bookmarkEnd w:id="10"/>
      <w:r w:rsidRPr="00B94C22">
        <w:t>Evidence Guide</w:t>
      </w:r>
    </w:p>
    <w:tbl>
      <w:tblPr>
        <w:tblW w:w="0" w:type="auto"/>
        <w:tblLayout w:type="fixed"/>
        <w:tblCellMar>
          <w:left w:w="62" w:type="dxa"/>
          <w:right w:w="62" w:type="dxa"/>
        </w:tblCellMar>
        <w:tblLook w:val="0000"/>
      </w:tblPr>
      <w:tblGrid>
        <w:gridCol w:w="2160"/>
        <w:gridCol w:w="236"/>
        <w:gridCol w:w="540"/>
        <w:gridCol w:w="5430"/>
        <w:gridCol w:w="89"/>
      </w:tblGrid>
      <w:tr w:rsidTr="00C93F61">
        <w:tblPrEx>
          <w:tblW w:w="0" w:type="auto"/>
          <w:tblLayout w:type="fixed"/>
          <w:tblCellMar>
            <w:left w:w="62" w:type="dxa"/>
            <w:right w:w="62" w:type="dxa"/>
          </w:tblCellMar>
          <w:tblLook w:val="0000"/>
        </w:tblPrEx>
        <w:trPr>
          <w:gridAfter w:val="1"/>
          <w:wAfter w:w="89" w:type="dxa"/>
          <w:tblHeader/>
        </w:trPr>
        <w:tc>
          <w:tcPr>
            <w:tcW w:w="8366" w:type="dxa"/>
            <w:gridSpan w:val="4"/>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EVIDENCE GUIDE</w:t>
            </w:r>
          </w:p>
        </w:tc>
      </w:tr>
      <w:tr w:rsidTr="00C93F61">
        <w:tblPrEx>
          <w:tblW w:w="0" w:type="auto"/>
          <w:tblLayout w:type="fixed"/>
          <w:tblCellMar>
            <w:left w:w="62" w:type="dxa"/>
            <w:right w:w="62" w:type="dxa"/>
          </w:tblCellMar>
          <w:tblLook w:val="0000"/>
        </w:tblPrEx>
        <w:trPr>
          <w:gridAfter w:val="1"/>
          <w:wAfter w:w="89" w:type="dxa"/>
        </w:trPr>
        <w:tc>
          <w:tcPr>
            <w:tcW w:w="8366" w:type="dxa"/>
            <w:gridSpan w:val="4"/>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9</w:t>
            </w:r>
            <w:r w:rsidRPr="00B94C22">
              <w:t>) The evidence guide provides advice on assessment and must be read in conjunction with the Performance Criteria, Required Skills and Knowledge, the Range Statement and the Assessment Guidelines for this Training Package. .</w:t>
            </w:r>
          </w:p>
          <w:p w:rsidR="00000000" w:rsidP="00B94C22">
            <w:pPr>
              <w:pStyle w:val="BodyText"/>
              <w:rPr>
                <w:lang w:val="en-NZ"/>
              </w:rPr>
            </w:pPr>
            <w:r w:rsidRPr="00B94C22">
              <w:t>The Evidence Guide forms an inte</w:t>
            </w:r>
            <w:r w:rsidRPr="00B94C22">
              <w:t>gral part of this Unit. It must be used in conjunction with all parts of this unit and performed in accordance with the Assessment Guidelines of this Training Package.</w:t>
            </w:r>
          </w:p>
        </w:tc>
      </w:tr>
      <w:tr w:rsidTr="00C93F6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Overview of Assessment</w:t>
            </w:r>
          </w:p>
        </w:tc>
        <w:tc>
          <w:tcPr>
            <w:tcW w:w="6206" w:type="dxa"/>
            <w:gridSpan w:val="3"/>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9</w:t>
            </w:r>
            <w:r w:rsidRPr="00B94C22">
              <w:t>.</w:t>
            </w:r>
            <w:r w:rsidRPr="00B94C22">
              <w:rPr>
                <w:rStyle w:val="SpecialBold"/>
              </w:rPr>
              <w:t>1</w:t>
            </w:r>
            <w:r w:rsidRPr="00B94C22">
              <w:t xml:space="preserve">) </w:t>
            </w:r>
          </w:p>
          <w:p w:rsidR="00000000" w:rsidRPr="00B94C22" w:rsidP="00B94C22">
            <w:pPr>
              <w:pStyle w:val="BodyText"/>
            </w:pPr>
            <w:r w:rsidRPr="00B94C22">
              <w:t>Longitudinal competency development approaches to asses</w:t>
            </w:r>
            <w:r w:rsidRPr="00B94C22">
              <w:t>sment, such as Profiling, require data to be reliably gathered in a form that can be consistently interpreted over time. This approach is best utilised in Apprenticeship programs and reduces assessment intervention. It is the industry-preferred model for a</w:t>
            </w:r>
            <w:r w:rsidRPr="00B94C22">
              <w:t>pprenticeships. However, where summative (or final) assessment is used it is to include the application of the competency in the normal work environment or, at a minimum, the application of the competency in a realistically simulated work environment. In s</w:t>
            </w:r>
            <w:r w:rsidRPr="00B94C22">
              <w:t>ome circumstances, assessment in part or full can occur outside the workplace. However, it must be in accordance with industry and regulatory policy.</w:t>
            </w:r>
          </w:p>
          <w:p w:rsidR="00000000" w:rsidRPr="00B94C22" w:rsidP="00B94C22">
            <w:pPr>
              <w:pStyle w:val="BodyText"/>
            </w:pPr>
            <w:r w:rsidRPr="00B94C22">
              <w:t>Methods chosen for a particular assessment will be influenced by various factors. These include the extent</w:t>
            </w:r>
            <w:r w:rsidRPr="00B94C22">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B94C22" w:rsidP="00B94C22">
            <w:pPr>
              <w:pStyle w:val="BodyText"/>
            </w:pPr>
            <w:r w:rsidRPr="00B94C22">
              <w:t>The critical safety natu</w:t>
            </w:r>
            <w:r w:rsidRPr="00B94C22">
              <w:t>re of working with electricity, electrical equipment, gas or any other hazardous substance/material carries risk in deeming a person competent. Sources of evidence need to be 'rich' in nature to minimise error in judgment.</w:t>
            </w:r>
          </w:p>
          <w:p w:rsidR="00000000" w:rsidP="00B94C22">
            <w:pPr>
              <w:pStyle w:val="BodyText"/>
              <w:rPr>
                <w:lang w:val="en-NZ"/>
              </w:rPr>
            </w:pPr>
            <w:r w:rsidRPr="00B94C22">
              <w:t>Activities associated with normal</w:t>
            </w:r>
            <w:r w:rsidRPr="00B94C22">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B94C22">
              <w:t xml:space="preserve"> raised for the assessors to consider when choosing an assessment method and developing assessment instruments. Sample assessment instruments are included for Assessors in the Assessment Guidelines of this Training Package.</w:t>
            </w:r>
          </w:p>
        </w:tc>
      </w:tr>
      <w:tr w:rsidTr="00C93F61">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 xml:space="preserve">Critical aspects of evidence required to demonstrate competency </w:t>
            </w:r>
            <w:r w:rsidRPr="00B94C22">
              <w:rPr>
                <w:rStyle w:val="SpecialBold"/>
              </w:rPr>
              <w:t>in this unit</w:t>
            </w:r>
          </w:p>
        </w:tc>
        <w:tc>
          <w:tcPr>
            <w:tcW w:w="6206" w:type="dxa"/>
            <w:gridSpan w:val="3"/>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9</w:t>
            </w:r>
            <w:r w:rsidRPr="00B94C22">
              <w:t>.</w:t>
            </w:r>
            <w:r w:rsidRPr="00B94C22">
              <w:rPr>
                <w:rStyle w:val="SpecialBold"/>
              </w:rPr>
              <w:t>2</w:t>
            </w:r>
            <w:r w:rsidRPr="00B94C22">
              <w:t xml:space="preserve">) </w:t>
            </w:r>
          </w:p>
          <w:p w:rsidR="00000000" w:rsidP="00B94C22">
            <w:pPr>
              <w:pStyle w:val="BodyText"/>
              <w:rPr>
                <w:lang w:val="en-NZ"/>
              </w:rPr>
            </w:pPr>
            <w:r w:rsidRPr="00B94C22">
              <w:t>Before the critical aspects of evidence are considered all prerequisites must be met.</w:t>
            </w:r>
          </w:p>
        </w:tc>
      </w:tr>
      <w:tr w:rsidTr="00C93F61">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Evidence for competence in this unit shall be considered holistically.  Each Elemen</w:t>
            </w:r>
            <w:r w:rsidRPr="00B94C22">
              <w:t>t and associated performance criteria shall be demonstrated on at least two occasions in accordance with the 'Assessment Guidelines - UEE07'.  Evidence shall also comprise:</w:t>
            </w:r>
          </w:p>
          <w:p w:rsidR="00000000" w:rsidP="00B94C22">
            <w:pPr>
              <w:pStyle w:val="ListBullet"/>
              <w:rPr>
                <w:lang w:val="en-NZ"/>
              </w:rPr>
            </w:pPr>
            <w:r w:rsidRPr="00B94C22">
              <w:t>A representative body of work performance demonstrated within the timeframes typic</w:t>
            </w:r>
            <w:r w:rsidRPr="00B94C22">
              <w:t>ally expected of the discipline, work function and industrial environment. In particular this shall incorporate evidence that shows a candidate is able to:</w:t>
            </w:r>
          </w:p>
        </w:tc>
      </w:tr>
      <w:tr w:rsidTr="00C93F6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B94C22" w:rsidP="00B94C22">
            <w:pPr>
              <w:pStyle w:val="ListBullet2"/>
            </w:pPr>
            <w:r w:rsidRPr="00B94C22">
              <w:t xml:space="preserve">Implement Occupational Health and Safety workplace procedures and practices including </w:t>
            </w:r>
            <w:r w:rsidRPr="00B94C22">
              <w:t>the use of risk control measures as specified in the performance criteria and range statement</w:t>
            </w:r>
          </w:p>
          <w:p w:rsidR="00000000" w:rsidRPr="00B94C22" w:rsidP="00B94C22">
            <w:pPr>
              <w:pStyle w:val="ListBullet2"/>
            </w:pPr>
            <w:r w:rsidRPr="00B94C22">
              <w:t>Apply sustainable energy principles and practices as specified in the performance criteria and range statement</w:t>
            </w:r>
          </w:p>
          <w:p w:rsidR="00000000" w:rsidRPr="00B94C22" w:rsidP="00B94C22">
            <w:pPr>
              <w:pStyle w:val="ListBullet2"/>
            </w:pPr>
            <w:r w:rsidRPr="00B94C2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94C22" w:rsidP="00B94C22">
            <w:pPr>
              <w:pStyle w:val="ListBullet2"/>
            </w:pPr>
            <w:r w:rsidRPr="00B94C22">
              <w:t>Demonst</w:t>
            </w:r>
            <w:r w:rsidRPr="00B94C22">
              <w:t>rate an appropriate level of skills enabling employment</w:t>
            </w:r>
          </w:p>
          <w:p w:rsidR="00000000" w:rsidP="00B94C22">
            <w:pPr>
              <w:pStyle w:val="ListBullet2"/>
              <w:rPr>
                <w:lang w:val="en-NZ"/>
              </w:rPr>
            </w:pPr>
            <w:r w:rsidRPr="00B94C22">
              <w:t>Conduct work observing the relevant Anti Discrimination legislation, regulations, polices and workplace procedures</w:t>
            </w:r>
          </w:p>
        </w:tc>
      </w:tr>
      <w:tr w:rsidTr="00C93F6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B94C22">
            <w:pPr>
              <w:pStyle w:val="ListBullet"/>
              <w:rPr>
                <w:lang w:val="en-NZ"/>
              </w:rPr>
            </w:pPr>
            <w:r w:rsidRPr="00B94C22">
              <w:t>Demonstrated consistent performance across a representative range of contexts fr</w:t>
            </w:r>
            <w:r w:rsidRPr="00B94C22">
              <w:t>om the prescribed items below:</w:t>
            </w:r>
          </w:p>
        </w:tc>
      </w:tr>
      <w:tr w:rsidTr="00C93F6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B94C22">
            <w:pPr>
              <w:pStyle w:val="ListBullet2"/>
              <w:rPr>
                <w:lang w:val="en-NZ"/>
              </w:rPr>
            </w:pPr>
            <w:r w:rsidRPr="00B94C22">
              <w:t>Evaluate fluid and thermodynamic parameters of refrigeration systems as described in 8) and including:</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A</w:t>
            </w:r>
          </w:p>
        </w:tc>
        <w:tc>
          <w:tcPr>
            <w:tcW w:w="5519" w:type="dxa"/>
            <w:gridSpan w:val="2"/>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Determining the extent of the evaluation</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B</w:t>
            </w:r>
          </w:p>
        </w:tc>
        <w:tc>
          <w:tcPr>
            <w:tcW w:w="5519" w:type="dxa"/>
            <w:gridSpan w:val="2"/>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Setting up and conducting appropriate examinations and tests</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C</w:t>
            </w:r>
          </w:p>
        </w:tc>
        <w:tc>
          <w:tcPr>
            <w:tcW w:w="5519" w:type="dxa"/>
            <w:gridSpan w:val="2"/>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Documenting evaluation results for use in design work</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D</w:t>
            </w:r>
          </w:p>
        </w:tc>
        <w:tc>
          <w:tcPr>
            <w:tcW w:w="5519" w:type="dxa"/>
            <w:gridSpan w:val="2"/>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Dealing with unplanned events by drawing on essential knowledge and skills to provide appropriate solutions incorporated in the holistic assessment with the above listed items</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Context of and spe</w:t>
            </w:r>
            <w:r w:rsidRPr="00B94C22">
              <w:rPr>
                <w:rStyle w:val="SpecialBold"/>
              </w:rPr>
              <w:t>cific resources for assessment</w:t>
            </w:r>
          </w:p>
        </w:tc>
        <w:tc>
          <w:tcPr>
            <w:tcW w:w="6295" w:type="dxa"/>
            <w:gridSpan w:val="4"/>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9</w:t>
            </w:r>
            <w:r w:rsidRPr="00B94C22">
              <w:t>.</w:t>
            </w:r>
            <w:r w:rsidRPr="00B94C22">
              <w:rPr>
                <w:rStyle w:val="SpecialBold"/>
              </w:rPr>
              <w:t>3</w:t>
            </w:r>
            <w:r w:rsidRPr="00B94C22">
              <w:t xml:space="preserve">) </w:t>
            </w:r>
          </w:p>
          <w:p w:rsidR="00000000" w:rsidRPr="00B94C22" w:rsidP="00B94C22">
            <w:pPr>
              <w:pStyle w:val="BodyText"/>
            </w:pPr>
            <w:r w:rsidRPr="00B94C22">
              <w:t>This unit should be assessed as it relates to normal work practice using procedures, information and resources typical of a workplace. This should include:</w:t>
            </w:r>
          </w:p>
          <w:p w:rsidR="00000000" w:rsidRPr="00B94C22" w:rsidP="00B94C22">
            <w:pPr>
              <w:pStyle w:val="ListBullet"/>
            </w:pPr>
            <w:r w:rsidRPr="00B94C22">
              <w:t>OHS policy and work procedures and instructions.</w:t>
            </w:r>
          </w:p>
          <w:p w:rsidR="00000000" w:rsidRPr="00B94C22" w:rsidP="00B94C22">
            <w:pPr>
              <w:pStyle w:val="ListBullet"/>
            </w:pPr>
            <w:r w:rsidRPr="00B94C22">
              <w:t>Suitable work environment, facilities, equipment and materials to undertake actual work as prescribed by this unit.</w:t>
            </w:r>
          </w:p>
          <w:p w:rsidR="00000000" w:rsidRPr="00B94C22" w:rsidP="00B94C22">
            <w:pPr>
              <w:pStyle w:val="BodyText"/>
            </w:pPr>
            <w:r w:rsidRPr="00B94C22">
              <w:t>These should be part of the formal learning/assessment environment.</w:t>
            </w:r>
          </w:p>
          <w:p w:rsidR="00000000" w:rsidRPr="00B94C22" w:rsidP="00B94C22">
            <w:pPr>
              <w:pStyle w:val="BodyText"/>
            </w:pPr>
            <w:r w:rsidRPr="00B94C22">
              <w:t>Note:</w:t>
            </w:r>
          </w:p>
          <w:p w:rsidR="00000000" w:rsidP="00B94C22">
            <w:pPr>
              <w:pStyle w:val="BodyText"/>
              <w:rPr>
                <w:lang w:val="en-NZ"/>
              </w:rPr>
            </w:pPr>
            <w:r w:rsidRPr="00B94C22">
              <w:t>Where simulation is considered a suitable strategy for assessment,</w:t>
            </w:r>
            <w:r w:rsidRPr="00B94C22">
              <w:t xml:space="preserve"> conditions must be authentic and as far as possible reproduce and replicate the workplace and be consistent with the approved industry simulation policy.</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 xml:space="preserve">Evidence should show demonstrated competency in evaluating fluid and thermodynamic parameters of </w:t>
            </w:r>
            <w:r w:rsidRPr="00B94C22">
              <w:t>refrigeration systems.</w:t>
            </w:r>
          </w:p>
        </w:tc>
      </w:tr>
      <w:tr w:rsidTr="00C93F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Method of assessment</w:t>
            </w:r>
          </w:p>
        </w:tc>
        <w:tc>
          <w:tcPr>
            <w:tcW w:w="6295" w:type="dxa"/>
            <w:gridSpan w:val="4"/>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9</w:t>
            </w:r>
            <w:r w:rsidRPr="00B94C22">
              <w:t>.</w:t>
            </w:r>
            <w:r w:rsidRPr="00B94C22">
              <w:rPr>
                <w:rStyle w:val="SpecialBold"/>
              </w:rPr>
              <w:t>4</w:t>
            </w:r>
            <w:r w:rsidRPr="00B94C22">
              <w:t xml:space="preserve">) </w:t>
            </w:r>
          </w:p>
          <w:p w:rsidR="00000000" w:rsidRPr="00B94C22" w:rsidP="00B94C22">
            <w:pPr>
              <w:pStyle w:val="BodyText"/>
            </w:pPr>
            <w:r w:rsidRPr="00B94C22">
              <w:t>This unit shall be assessed by methods given in Volume 1, Part 3 'Assessment Guidelines'.</w:t>
            </w:r>
          </w:p>
          <w:p w:rsidR="00000000" w:rsidP="00B94C22">
            <w:pPr>
              <w:pStyle w:val="BodyText"/>
              <w:rPr>
                <w:lang w:val="en-NZ"/>
              </w:rPr>
            </w:pPr>
            <w:r w:rsidRPr="00B94C22">
              <w:t xml:space="preserve">Note: </w:t>
            </w:r>
            <w:r w:rsidRPr="00B94C22">
              <w:br/>
              <w:t>Competent performance with inherent safe working practices is expec</w:t>
            </w:r>
            <w:r w:rsidRPr="00B94C22">
              <w:t>ted in the Industry to which this unit applies. This requires assessment in a structured environment which is intended primarily for learning/assessment and incorporates all necessary equipment and facilities for learners to develop and demonstrate the ess</w:t>
            </w:r>
            <w:r w:rsidRPr="00B94C22">
              <w:t>ential knowledge and skills described in this unit.</w:t>
            </w:r>
          </w:p>
        </w:tc>
      </w:tr>
      <w:tr w:rsidTr="00C93F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Concurrent assessment and relationship with other units</w:t>
            </w:r>
          </w:p>
        </w:tc>
        <w:tc>
          <w:tcPr>
            <w:tcW w:w="6295" w:type="dxa"/>
            <w:gridSpan w:val="4"/>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9</w:t>
            </w:r>
            <w:r w:rsidRPr="00B94C22">
              <w:t>.</w:t>
            </w:r>
            <w:r w:rsidRPr="00B94C22">
              <w:rPr>
                <w:rStyle w:val="SpecialBold"/>
              </w:rPr>
              <w:t>5</w:t>
            </w:r>
            <w:r w:rsidRPr="00B94C22">
              <w:t>)</w:t>
            </w:r>
          </w:p>
        </w:tc>
      </w:tr>
      <w:tr w:rsidTr="00C93F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There are no concurrent assessment recommendations for this unit.</w:t>
            </w:r>
          </w:p>
        </w:tc>
      </w:tr>
    </w:tbl>
    <w:p w:rsidR="00C93F61" w:rsidP="00B94C22">
      <w:pPr>
        <w:pStyle w:val="BodyText"/>
      </w:pPr>
    </w:p>
    <w:p w:rsidR="00C93F61" w:rsidP="00B94C22">
      <w:pPr>
        <w:pStyle w:val="BodyText"/>
      </w:pPr>
    </w:p>
    <w:p w:rsidR="00000000" w:rsidRPr="00B94C22" w:rsidP="00B94C22">
      <w:pPr>
        <w:pStyle w:val="Heading1"/>
      </w:pPr>
      <w:bookmarkStart w:id="11" w:name="O_590222"/>
      <w:bookmarkEnd w:id="11"/>
      <w:r w:rsidRPr="00B94C22">
        <w:t>Range Statement</w:t>
      </w:r>
    </w:p>
    <w:tbl>
      <w:tblPr>
        <w:tblW w:w="0" w:type="auto"/>
        <w:tblLayout w:type="fixed"/>
        <w:tblCellMar>
          <w:left w:w="62" w:type="dxa"/>
          <w:right w:w="62" w:type="dxa"/>
        </w:tblCellMar>
        <w:tblLook w:val="0000"/>
      </w:tblPr>
      <w:tblGrid>
        <w:gridCol w:w="8455"/>
      </w:tblGrid>
      <w:tr w:rsidTr="00C93F61">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RPr="00B94C22" w:rsidP="00B94C22">
            <w:pPr>
              <w:pStyle w:val="BodyText"/>
            </w:pPr>
          </w:p>
          <w:p w:rsidR="00000000" w:rsidP="00B94C22">
            <w:pPr>
              <w:pStyle w:val="BodyText"/>
              <w:rPr>
                <w:lang w:val="en-NZ"/>
              </w:rPr>
            </w:pPr>
            <w:r w:rsidRPr="00B94C22">
              <w:rPr>
                <w:rStyle w:val="SpecialBold"/>
              </w:rPr>
              <w:t>RANGE STATEMENT</w:t>
            </w:r>
          </w:p>
        </w:tc>
      </w:tr>
      <w:tr w:rsidTr="00C93F61">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8</w:t>
            </w:r>
            <w:r w:rsidRPr="00B94C22">
              <w:t>) This relates to the unit as a whole providing the range of contexts and conditions to which the performance criteria apply. It allows for different work environments and situations that will affect performance.</w:t>
            </w:r>
          </w:p>
        </w:tc>
      </w:tr>
      <w:tr w:rsidTr="00C93F61">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This unit must be demonstrated in relation to evaluating and reporting fluid and thermodynamic parameters at least two different types of refrigeration systems.</w:t>
            </w:r>
          </w:p>
        </w:tc>
      </w:tr>
      <w:tr w:rsidTr="00C93F61">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 xml:space="preserve">Generic terms used throughout this Vocational Standard shall be regarded as part of the Range </w:t>
            </w:r>
            <w:r w:rsidRPr="00B94C22">
              <w:t>Statement in which competency is demonstrated. The definition of these and other terms that apply are given in Volume 2, Part 2.1.</w:t>
            </w:r>
          </w:p>
        </w:tc>
      </w:tr>
    </w:tbl>
    <w:p w:rsidR="00C93F61" w:rsidP="00B94C22">
      <w:pPr>
        <w:pStyle w:val="BodyText"/>
      </w:pPr>
    </w:p>
    <w:p w:rsidR="00C93F61" w:rsidP="00B94C22">
      <w:pPr>
        <w:pStyle w:val="BodyText"/>
      </w:pPr>
    </w:p>
    <w:p w:rsidR="00000000" w:rsidRPr="00B94C22" w:rsidP="00B94C22">
      <w:pPr>
        <w:pStyle w:val="Heading1"/>
      </w:pPr>
      <w:bookmarkStart w:id="12" w:name="O_590221"/>
      <w:bookmarkEnd w:id="12"/>
      <w:r w:rsidRPr="00B94C22">
        <w:t>Unit Sector(s)</w:t>
      </w:r>
    </w:p>
    <w:p w:rsidR="00000000" w:rsidRPr="00B94C22" w:rsidP="00B94C22">
      <w:pPr>
        <w:pStyle w:val="BodyText"/>
      </w:pPr>
      <w:r w:rsidRPr="00B94C22">
        <w:t>Not Applicable</w:t>
      </w:r>
    </w:p>
    <w:p w:rsidR="00000000" w:rsidRPr="00B94C22" w:rsidP="00B94C22">
      <w:pPr>
        <w:pStyle w:val="AllowPageBreak"/>
      </w:pPr>
    </w:p>
    <w:p w:rsidR="00000000" w:rsidRPr="00B94C22" w:rsidP="00B94C22">
      <w:pPr>
        <w:pStyle w:val="Heading1"/>
      </w:pPr>
      <w:bookmarkStart w:id="13" w:name="O_590220"/>
      <w:bookmarkEnd w:id="13"/>
      <w:r w:rsidRPr="00B94C2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93F6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2</w:t>
            </w:r>
            <w:r w:rsidRPr="00B94C22">
              <w:t>.</w:t>
            </w:r>
            <w:r w:rsidRPr="00B94C22">
              <w:rPr>
                <w:rStyle w:val="SpecialBold"/>
              </w:rPr>
              <w:t>2</w:t>
            </w:r>
            <w:r w:rsidRPr="00B94C22">
              <w:t xml:space="preserve">) </w:t>
            </w:r>
            <w:r w:rsidRPr="00B94C22">
              <w:rPr>
                <w:rStyle w:val="SpecialBold"/>
              </w:rPr>
              <w:t>Literacy and numeracy skills</w:t>
            </w:r>
          </w:p>
          <w:p w:rsidR="00000000" w:rsidP="00B94C22">
            <w:pPr>
              <w:pStyle w:val="BodyText"/>
              <w:rPr>
                <w:lang w:val="en-NZ"/>
              </w:rPr>
            </w:pPr>
            <w:r w:rsidRPr="00B94C22">
              <w:t>Partici</w:t>
            </w:r>
            <w:r w:rsidRPr="00B94C22">
              <w:t>pants are best equipped to achieve competency in this unit if they have reading, writing and numeracy skills indicated by the following scales. Description of each scale is given in Volume 2, Part 3 'Literacy and Numeracy'</w:t>
            </w:r>
          </w:p>
        </w:tc>
      </w:tr>
      <w:tr w:rsidTr="00C93F6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Reading</w:t>
            </w:r>
          </w:p>
        </w:tc>
        <w:tc>
          <w:tcPr>
            <w:tcW w:w="1182"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5</w:t>
            </w:r>
          </w:p>
        </w:tc>
        <w:tc>
          <w:tcPr>
            <w:tcW w:w="1739"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Writing</w:t>
            </w:r>
          </w:p>
        </w:tc>
        <w:tc>
          <w:tcPr>
            <w:tcW w:w="1182"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5</w:t>
            </w:r>
          </w:p>
        </w:tc>
        <w:tc>
          <w:tcPr>
            <w:tcW w:w="1721"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t>Numeracy</w:t>
            </w:r>
          </w:p>
        </w:tc>
        <w:tc>
          <w:tcPr>
            <w:tcW w:w="1182"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5</w:t>
            </w:r>
          </w:p>
        </w:tc>
      </w:tr>
    </w:tbl>
    <w:p w:rsidR="00C93F61" w:rsidP="00B94C22">
      <w:pPr>
        <w:pStyle w:val="BodyText"/>
      </w:pPr>
    </w:p>
    <w:p w:rsidR="00C93F61" w:rsidP="00B94C22">
      <w:pPr>
        <w:pStyle w:val="BodyText"/>
      </w:pPr>
    </w:p>
    <w:p w:rsidR="00000000" w:rsidRPr="00B94C22" w:rsidP="00B94C22">
      <w:pPr>
        <w:pStyle w:val="Heading1"/>
      </w:pPr>
      <w:bookmarkStart w:id="14" w:name="O_590219"/>
      <w:bookmarkEnd w:id="14"/>
      <w:r w:rsidRPr="00B94C22">
        <w:t>2.2) Literacy and numeracy skills</w:t>
      </w:r>
    </w:p>
    <w:tbl>
      <w:tblPr>
        <w:tblW w:w="0" w:type="auto"/>
        <w:tblLayout w:type="fixed"/>
        <w:tblCellMar>
          <w:left w:w="62" w:type="dxa"/>
          <w:right w:w="62" w:type="dxa"/>
        </w:tblCellMar>
        <w:tblLook w:val="0000"/>
      </w:tblPr>
      <w:tblGrid>
        <w:gridCol w:w="2700"/>
        <w:gridCol w:w="5760"/>
      </w:tblGrid>
      <w:tr w:rsidTr="00C93F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4C22">
            <w:pPr>
              <w:pStyle w:val="BodyText"/>
              <w:rPr>
                <w:lang w:val="en-NZ"/>
              </w:rPr>
            </w:pPr>
            <w:r w:rsidRPr="00B94C22">
              <w:rPr>
                <w:rStyle w:val="SpecialBold"/>
              </w:rPr>
              <w:t>5</w:t>
            </w:r>
            <w:r w:rsidRPr="00B94C22">
              <w:t>)</w:t>
            </w:r>
          </w:p>
        </w:tc>
      </w:tr>
      <w:tr w:rsidTr="00C93F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C22" w:rsidP="00B94C22">
            <w:pPr>
              <w:pStyle w:val="BodyText"/>
            </w:pPr>
            <w:r w:rsidRPr="00B94C22">
              <w:t>Refrigeration and Air Conditioning</w:t>
            </w:r>
          </w:p>
        </w:tc>
      </w:tr>
    </w:tbl>
    <w:p w:rsidR="00C93F61" w:rsidP="00B94C22">
      <w:pPr>
        <w:pStyle w:val="BodyText"/>
      </w:pPr>
    </w:p>
    <w:p w:rsidR="00C93F61" w:rsidP="00B94C22">
      <w:pPr>
        <w:pStyle w:val="BodyText"/>
      </w:pPr>
    </w:p>
    <w:p w:rsidR="00000000" w:rsidRPr="00B94C22" w:rsidP="00B94C22"/>
    <w:sectPr w:rsidSect="00B94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22" w:rsidRPr="00C93F61" w:rsidP="00C93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61" w:rsidP="00B94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93F61" w:rsidP="00B94C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93F61" w:rsidP="00B94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22" w:rsidRPr="00C93F61" w:rsidP="00C93F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61" w:rsidRPr="002D2AF8" w:rsidP="00B94C22">
    <w:pPr>
      <w:pStyle w:val="Header"/>
      <w:framePr w:wrap="around"/>
    </w:pPr>
    <w:r>
      <w:fldChar w:fldCharType="begin"/>
    </w:r>
    <w:r>
      <w:instrText xml:space="preserve"> TITLE   \* MERGEFORMAT </w:instrText>
    </w:r>
    <w:r>
      <w:fldChar w:fldCharType="separate"/>
    </w:r>
    <w:r>
      <w:t>UEENEEJ165A Evaluate thermodynamic and fluid parameters of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93F61" w:rsidP="00B94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65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D69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24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C22"/>
    <w:pPr>
      <w:spacing w:before="360" w:after="60"/>
      <w:outlineLvl w:val="0"/>
    </w:pPr>
    <w:rPr>
      <w:sz w:val="32"/>
    </w:rPr>
  </w:style>
  <w:style w:type="paragraph" w:styleId="Heading2">
    <w:name w:val="heading 2"/>
    <w:basedOn w:val="HeadingBase"/>
    <w:next w:val="BodyText"/>
    <w:link w:val="Heading2Char"/>
    <w:qFormat/>
    <w:rsid w:val="00B94C22"/>
    <w:pPr>
      <w:keepLines/>
      <w:spacing w:before="240" w:after="120"/>
      <w:outlineLvl w:val="1"/>
    </w:pPr>
    <w:rPr>
      <w:sz w:val="28"/>
      <w:szCs w:val="40"/>
    </w:rPr>
  </w:style>
  <w:style w:type="paragraph" w:styleId="Heading3">
    <w:name w:val="heading 3"/>
    <w:basedOn w:val="HeadingBase"/>
    <w:next w:val="BodyText"/>
    <w:link w:val="Heading3Char"/>
    <w:qFormat/>
    <w:rsid w:val="00B94C22"/>
    <w:pPr>
      <w:spacing w:before="180" w:after="120"/>
      <w:outlineLvl w:val="2"/>
    </w:pPr>
    <w:rPr>
      <w:spacing w:val="-10"/>
      <w:kern w:val="32"/>
    </w:rPr>
  </w:style>
  <w:style w:type="paragraph" w:styleId="Heading4">
    <w:name w:val="heading 4"/>
    <w:basedOn w:val="HeadingBase"/>
    <w:next w:val="BodyText"/>
    <w:link w:val="Heading4Char"/>
    <w:qFormat/>
    <w:rsid w:val="00B94C22"/>
    <w:pPr>
      <w:spacing w:before="160" w:after="120"/>
      <w:outlineLvl w:val="3"/>
    </w:pPr>
    <w:rPr>
      <w:sz w:val="22"/>
    </w:rPr>
  </w:style>
  <w:style w:type="paragraph" w:styleId="Heading5">
    <w:name w:val="heading 5"/>
    <w:basedOn w:val="HeadingBase"/>
    <w:next w:val="Normal"/>
    <w:link w:val="Heading5Char"/>
    <w:qFormat/>
    <w:rsid w:val="00B94C22"/>
    <w:pPr>
      <w:spacing w:before="80"/>
      <w:outlineLvl w:val="4"/>
    </w:pPr>
    <w:rPr>
      <w:color w:val="918585"/>
      <w:sz w:val="20"/>
    </w:rPr>
  </w:style>
  <w:style w:type="paragraph" w:styleId="Heading6">
    <w:name w:val="heading 6"/>
    <w:basedOn w:val="HeadingBase"/>
    <w:next w:val="Normal"/>
    <w:link w:val="Heading6Char"/>
    <w:qFormat/>
    <w:rsid w:val="00B94C22"/>
    <w:pPr>
      <w:spacing w:before="60"/>
      <w:outlineLvl w:val="5"/>
    </w:pPr>
    <w:rPr>
      <w:color w:val="918585"/>
      <w:sz w:val="20"/>
    </w:rPr>
  </w:style>
  <w:style w:type="paragraph" w:styleId="Heading7">
    <w:name w:val="heading 7"/>
    <w:basedOn w:val="Normal"/>
    <w:next w:val="Normal"/>
    <w:link w:val="Heading7Char"/>
    <w:qFormat/>
    <w:rsid w:val="00B94C22"/>
    <w:pPr>
      <w:ind w:left="720"/>
      <w:outlineLvl w:val="6"/>
    </w:pPr>
    <w:rPr>
      <w:i/>
    </w:rPr>
  </w:style>
  <w:style w:type="paragraph" w:styleId="Heading8">
    <w:name w:val="heading 8"/>
    <w:basedOn w:val="Normal"/>
    <w:next w:val="Normal"/>
    <w:link w:val="Heading8Char"/>
    <w:qFormat/>
    <w:rsid w:val="00B94C22"/>
    <w:pPr>
      <w:ind w:left="720"/>
      <w:outlineLvl w:val="7"/>
    </w:pPr>
    <w:rPr>
      <w:i/>
    </w:rPr>
  </w:style>
  <w:style w:type="paragraph" w:styleId="Heading9">
    <w:name w:val="heading 9"/>
    <w:basedOn w:val="Normal"/>
    <w:next w:val="Normal"/>
    <w:link w:val="Heading9Char"/>
    <w:qFormat/>
    <w:rsid w:val="00B94C22"/>
    <w:pPr>
      <w:ind w:left="720"/>
      <w:outlineLvl w:val="8"/>
    </w:pPr>
    <w:rPr>
      <w:i/>
    </w:rPr>
  </w:style>
  <w:style w:type="character" w:default="1" w:styleId="DefaultParagraphFont">
    <w:name w:val="Default Paragraph Font"/>
    <w:uiPriority w:val="1"/>
    <w:unhideWhenUsed/>
    <w:rsid w:val="00B94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C22"/>
  </w:style>
  <w:style w:type="character" w:customStyle="1" w:styleId="Heading1Char">
    <w:name w:val="Heading 1 Char"/>
    <w:basedOn w:val="DefaultParagraphFont"/>
    <w:link w:val="Heading1"/>
    <w:rsid w:val="00B94C22"/>
    <w:rPr>
      <w:rFonts w:ascii="Times New Roman" w:eastAsia="Times New Roman" w:hAnsi="Times New Roman" w:cs="Times New Roman"/>
      <w:b/>
      <w:sz w:val="32"/>
      <w:szCs w:val="20"/>
      <w:lang w:eastAsia="en-US"/>
    </w:rPr>
  </w:style>
  <w:style w:type="paragraph" w:styleId="BodyText">
    <w:name w:val="Body Text"/>
    <w:basedOn w:val="Normal"/>
    <w:link w:val="BodyTextChar"/>
    <w:rsid w:val="00B94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C22"/>
    <w:rPr>
      <w:rFonts w:ascii="Times New Roman" w:eastAsia="Times New Roman" w:hAnsi="Times New Roman" w:cs="Times New Roman"/>
      <w:sz w:val="24"/>
      <w:lang w:eastAsia="en-US"/>
    </w:rPr>
  </w:style>
  <w:style w:type="paragraph" w:styleId="ListBullet">
    <w:name w:val="List Bullet"/>
    <w:basedOn w:val="List"/>
    <w:rsid w:val="00B94C22"/>
    <w:pPr>
      <w:numPr>
        <w:numId w:val="13"/>
      </w:numPr>
      <w:tabs>
        <w:tab w:val="clear" w:pos="340"/>
      </w:tabs>
      <w:spacing w:before="40" w:after="40"/>
    </w:pPr>
  </w:style>
  <w:style w:type="character" w:customStyle="1" w:styleId="SpecialBold">
    <w:name w:val="Special Bold"/>
    <w:basedOn w:val="DefaultParagraphFont"/>
    <w:rsid w:val="00B94C22"/>
    <w:rPr>
      <w:b/>
      <w:spacing w:val="0"/>
    </w:rPr>
  </w:style>
  <w:style w:type="paragraph" w:styleId="ListBullet2">
    <w:name w:val="List Bullet 2"/>
    <w:basedOn w:val="List2"/>
    <w:rsid w:val="00B94C22"/>
    <w:pPr>
      <w:numPr>
        <w:numId w:val="14"/>
      </w:numPr>
      <w:tabs>
        <w:tab w:val="clear" w:pos="680"/>
      </w:tabs>
    </w:pPr>
  </w:style>
  <w:style w:type="paragraph" w:customStyle="1" w:styleId="SuperHeading">
    <w:name w:val="SuperHeading"/>
    <w:basedOn w:val="Normal"/>
    <w:rsid w:val="00B94C22"/>
    <w:pPr>
      <w:spacing w:before="240" w:after="120"/>
      <w:outlineLvl w:val="0"/>
    </w:pPr>
    <w:rPr>
      <w:rFonts w:ascii="Times New Roman" w:hAnsi="Times New Roman"/>
      <w:b/>
      <w:sz w:val="32"/>
    </w:rPr>
  </w:style>
  <w:style w:type="paragraph" w:customStyle="1" w:styleId="AllowPageBreak">
    <w:name w:val="AllowPageBreak"/>
    <w:rsid w:val="00B94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C22"/>
    <w:rPr>
      <w:rFonts w:ascii="Courier New" w:eastAsia="Times New Roman" w:hAnsi="Courier New" w:cs="Times New Roman"/>
      <w:i/>
      <w:szCs w:val="20"/>
      <w:lang w:eastAsia="en-US"/>
    </w:rPr>
  </w:style>
  <w:style w:type="paragraph" w:customStyle="1" w:styleId="HeadingBase">
    <w:name w:val="Heading Base"/>
    <w:rsid w:val="00B94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C22"/>
    <w:pPr>
      <w:tabs>
        <w:tab w:val="right" w:leader="dot" w:pos="9072"/>
      </w:tabs>
      <w:ind w:left="567"/>
    </w:pPr>
    <w:rPr>
      <w:szCs w:val="22"/>
    </w:rPr>
  </w:style>
  <w:style w:type="paragraph" w:customStyle="1" w:styleId="TOCBase">
    <w:name w:val="TOC Base"/>
    <w:rsid w:val="00B94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C22"/>
    <w:pPr>
      <w:tabs>
        <w:tab w:val="right" w:leader="dot" w:pos="9072"/>
      </w:tabs>
      <w:spacing w:before="40" w:after="40"/>
      <w:ind w:left="284"/>
    </w:pPr>
    <w:rPr>
      <w:rFonts w:ascii="Times New Roman" w:hAnsi="Times New Roman"/>
    </w:rPr>
  </w:style>
  <w:style w:type="paragraph" w:styleId="TOC1">
    <w:name w:val="toc 1"/>
    <w:basedOn w:val="TOCBase"/>
    <w:next w:val="Normal"/>
    <w:rsid w:val="00B94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C22"/>
    <w:rPr>
      <w:rFonts w:ascii="Times New Roman" w:eastAsia="Times New Roman" w:hAnsi="Times New Roman" w:cs="Times New Roman"/>
      <w:sz w:val="16"/>
      <w:lang w:eastAsia="en-US"/>
    </w:rPr>
  </w:style>
  <w:style w:type="paragraph" w:styleId="Title">
    <w:name w:val="Title"/>
    <w:basedOn w:val="HeadingBase"/>
    <w:link w:val="TitleChar"/>
    <w:qFormat/>
    <w:rsid w:val="00B94C22"/>
    <w:pPr>
      <w:spacing w:before="5040"/>
      <w:jc w:val="center"/>
    </w:pPr>
    <w:rPr>
      <w:sz w:val="48"/>
      <w:szCs w:val="72"/>
      <w:lang w:val="en-US"/>
    </w:rPr>
  </w:style>
  <w:style w:type="character" w:customStyle="1" w:styleId="TitleChar">
    <w:name w:val="Title Char"/>
    <w:basedOn w:val="DefaultParagraphFont"/>
    <w:link w:val="Title"/>
    <w:rsid w:val="00B94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C22"/>
    <w:pPr>
      <w:tabs>
        <w:tab w:val="left" w:pos="3600"/>
        <w:tab w:val="left" w:pos="3958"/>
      </w:tabs>
    </w:pPr>
  </w:style>
  <w:style w:type="paragraph" w:styleId="List">
    <w:name w:val="List"/>
    <w:basedOn w:val="BodyText"/>
    <w:next w:val="BodyText"/>
    <w:rsid w:val="00B94C22"/>
    <w:pPr>
      <w:tabs>
        <w:tab w:val="left" w:pos="340"/>
      </w:tabs>
      <w:spacing w:before="60" w:after="60"/>
      <w:ind w:left="340" w:hanging="340"/>
    </w:pPr>
  </w:style>
  <w:style w:type="paragraph" w:customStyle="1" w:styleId="Note">
    <w:name w:val="Note"/>
    <w:basedOn w:val="BodyText"/>
    <w:rsid w:val="00B94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C22"/>
    <w:pPr>
      <w:framePr w:wrap="auto" w:hAnchor="text" w:y="6049"/>
    </w:pPr>
    <w:rPr>
      <w:color w:val="000000"/>
      <w:sz w:val="40"/>
    </w:rPr>
  </w:style>
  <w:style w:type="paragraph" w:customStyle="1" w:styleId="TOCTitle">
    <w:name w:val="TOCTitle"/>
    <w:basedOn w:val="Heading1"/>
    <w:rsid w:val="00B94C22"/>
    <w:pPr>
      <w:spacing w:after="240"/>
      <w:jc w:val="center"/>
      <w:outlineLvl w:val="9"/>
    </w:pPr>
    <w:rPr>
      <w:caps/>
    </w:rPr>
  </w:style>
  <w:style w:type="paragraph" w:customStyle="1" w:styleId="Version">
    <w:name w:val="Version"/>
    <w:rsid w:val="00B94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C22"/>
    <w:pPr>
      <w:keepNext w:val="0"/>
      <w:tabs>
        <w:tab w:val="right" w:pos="4176"/>
      </w:tabs>
      <w:ind w:left="198" w:hanging="198"/>
    </w:pPr>
    <w:rPr>
      <w:rFonts w:ascii="Garamond" w:hAnsi="Garamond"/>
    </w:rPr>
  </w:style>
  <w:style w:type="paragraph" w:styleId="IndexHeading">
    <w:name w:val="index heading"/>
    <w:basedOn w:val="Normal"/>
    <w:next w:val="Index1"/>
    <w:semiHidden/>
    <w:rsid w:val="00B94C22"/>
    <w:pPr>
      <w:spacing w:before="120" w:after="120"/>
    </w:pPr>
    <w:rPr>
      <w:rFonts w:ascii="Arial" w:hAnsi="Arial"/>
      <w:b/>
      <w:color w:val="918585"/>
      <w:sz w:val="24"/>
    </w:rPr>
  </w:style>
  <w:style w:type="paragraph" w:styleId="Header">
    <w:name w:val="header"/>
    <w:basedOn w:val="Normal"/>
    <w:link w:val="HeaderChar"/>
    <w:rsid w:val="00B94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C22"/>
    <w:rPr>
      <w:rFonts w:ascii="Times New Roman" w:eastAsia="Times New Roman" w:hAnsi="Times New Roman" w:cs="Times New Roman"/>
      <w:sz w:val="16"/>
      <w:szCs w:val="20"/>
      <w:lang w:val="en-GB" w:eastAsia="en-US"/>
    </w:rPr>
  </w:style>
  <w:style w:type="paragraph" w:customStyle="1" w:styleId="Chapter">
    <w:name w:val="Chapter"/>
    <w:basedOn w:val="Normal"/>
    <w:rsid w:val="00B94C22"/>
    <w:pPr>
      <w:spacing w:before="240"/>
    </w:pPr>
    <w:rPr>
      <w:rFonts w:ascii="Times New Roman" w:hAnsi="Times New Roman"/>
      <w:smallCaps/>
      <w:spacing w:val="80"/>
      <w:sz w:val="28"/>
    </w:rPr>
  </w:style>
  <w:style w:type="paragraph" w:customStyle="1" w:styleId="InChapter">
    <w:name w:val="InChapter"/>
    <w:basedOn w:val="Heading3"/>
    <w:rsid w:val="00B94C22"/>
    <w:pPr>
      <w:spacing w:after="240"/>
      <w:outlineLvl w:val="9"/>
    </w:pPr>
    <w:rPr>
      <w:noProof/>
    </w:rPr>
  </w:style>
  <w:style w:type="paragraph" w:styleId="Index2">
    <w:name w:val="index 2"/>
    <w:basedOn w:val="Normal"/>
    <w:next w:val="Normal"/>
    <w:semiHidden/>
    <w:rsid w:val="00B94C22"/>
    <w:pPr>
      <w:tabs>
        <w:tab w:val="right" w:pos="4176"/>
      </w:tabs>
      <w:ind w:left="568" w:hanging="284"/>
    </w:pPr>
    <w:rPr>
      <w:rFonts w:ascii="Garamond" w:hAnsi="Garamond"/>
    </w:rPr>
  </w:style>
  <w:style w:type="paragraph" w:customStyle="1" w:styleId="Byline">
    <w:name w:val="Byline"/>
    <w:rsid w:val="00B94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C22"/>
    <w:pPr>
      <w:tabs>
        <w:tab w:val="clear" w:pos="3600"/>
        <w:tab w:val="clear" w:pos="3958"/>
      </w:tabs>
      <w:jc w:val="right"/>
    </w:pPr>
  </w:style>
  <w:style w:type="character" w:styleId="Emphasis">
    <w:name w:val="Emphasis"/>
    <w:basedOn w:val="DefaultParagraphFont"/>
    <w:qFormat/>
    <w:rsid w:val="00B94C22"/>
    <w:rPr>
      <w:i/>
    </w:rPr>
  </w:style>
  <w:style w:type="paragraph" w:styleId="Caption">
    <w:name w:val="caption"/>
    <w:basedOn w:val="BodyText"/>
    <w:next w:val="Normal"/>
    <w:qFormat/>
    <w:rsid w:val="00B94C22"/>
    <w:pPr>
      <w:framePr w:w="2268" w:hSpace="181" w:vSpace="181" w:wrap="around" w:vAnchor="text" w:hAnchor="page" w:x="1135" w:y="285" w:anchorLock="1"/>
    </w:pPr>
    <w:rPr>
      <w:i/>
    </w:rPr>
  </w:style>
  <w:style w:type="paragraph" w:customStyle="1" w:styleId="MiniTOCTitle">
    <w:name w:val="MiniTOCTitle"/>
    <w:basedOn w:val="Heading4"/>
    <w:rsid w:val="00B94C22"/>
    <w:pPr>
      <w:spacing w:before="240"/>
      <w:outlineLvl w:val="9"/>
    </w:pPr>
    <w:rPr>
      <w:noProof/>
      <w:sz w:val="24"/>
    </w:rPr>
  </w:style>
  <w:style w:type="paragraph" w:customStyle="1" w:styleId="MiniTOCItem">
    <w:name w:val="MiniTOCItem"/>
    <w:basedOn w:val="ListBullet"/>
    <w:rsid w:val="00B94C22"/>
    <w:pPr>
      <w:numPr>
        <w:numId w:val="0"/>
      </w:numPr>
      <w:tabs>
        <w:tab w:val="right" w:leader="dot" w:pos="6521"/>
      </w:tabs>
      <w:spacing w:before="0" w:after="0"/>
    </w:pPr>
  </w:style>
  <w:style w:type="paragraph" w:customStyle="1" w:styleId="TOFTitle">
    <w:name w:val="TOFTitle"/>
    <w:basedOn w:val="TOCTitle"/>
    <w:rsid w:val="00B94C22"/>
  </w:style>
  <w:style w:type="paragraph" w:styleId="TableofFigures">
    <w:name w:val="table of figures"/>
    <w:basedOn w:val="Normal"/>
    <w:next w:val="Normal"/>
    <w:semiHidden/>
    <w:rsid w:val="00B94C22"/>
    <w:pPr>
      <w:tabs>
        <w:tab w:val="right" w:leader="dot" w:pos="9072"/>
      </w:tabs>
      <w:ind w:left="970" w:hanging="403"/>
    </w:pPr>
    <w:rPr>
      <w:rFonts w:ascii="Times New Roman" w:hAnsi="Times New Roman"/>
      <w:b/>
    </w:rPr>
  </w:style>
  <w:style w:type="paragraph" w:styleId="ListNumber">
    <w:name w:val="List Number"/>
    <w:basedOn w:val="List"/>
    <w:rsid w:val="00B94C22"/>
    <w:pPr>
      <w:numPr>
        <w:numId w:val="11"/>
      </w:numPr>
    </w:pPr>
  </w:style>
  <w:style w:type="character" w:customStyle="1" w:styleId="WingdingSymbols">
    <w:name w:val="Wingding Symbols"/>
    <w:rsid w:val="00B94C22"/>
    <w:rPr>
      <w:rFonts w:ascii="Wingdings" w:hAnsi="Wingdings"/>
    </w:rPr>
  </w:style>
  <w:style w:type="paragraph" w:customStyle="1" w:styleId="TableHeading">
    <w:name w:val="Table Heading"/>
    <w:basedOn w:val="HeadingBase"/>
    <w:rsid w:val="00B94C22"/>
    <w:pPr>
      <w:keepLines/>
      <w:pBdr>
        <w:bottom w:val="single" w:sz="6" w:space="1" w:color="918585"/>
      </w:pBdr>
      <w:spacing w:before="240"/>
    </w:pPr>
  </w:style>
  <w:style w:type="character" w:customStyle="1" w:styleId="HotSpot">
    <w:name w:val="HotSpot"/>
    <w:rsid w:val="00B94C22"/>
    <w:rPr>
      <w:color w:val="0033CC"/>
      <w:u w:val="none"/>
    </w:rPr>
  </w:style>
  <w:style w:type="paragraph" w:customStyle="1" w:styleId="BodyTextRight">
    <w:name w:val="Body Text Right"/>
    <w:basedOn w:val="BodyText"/>
    <w:rsid w:val="00B94C22"/>
    <w:pPr>
      <w:spacing w:before="0" w:after="0"/>
      <w:jc w:val="right"/>
    </w:pPr>
  </w:style>
  <w:style w:type="paragraph" w:styleId="Index3">
    <w:name w:val="index 3"/>
    <w:basedOn w:val="ListNumber2"/>
    <w:next w:val="Normal"/>
    <w:semiHidden/>
    <w:rsid w:val="00B94C22"/>
    <w:pPr>
      <w:numPr>
        <w:numId w:val="0"/>
      </w:numPr>
      <w:tabs>
        <w:tab w:val="right" w:leader="dot" w:pos="4176"/>
      </w:tabs>
    </w:pPr>
  </w:style>
  <w:style w:type="paragraph" w:styleId="ListNumber2">
    <w:name w:val="List Number 2"/>
    <w:basedOn w:val="List2"/>
    <w:rsid w:val="00B94C22"/>
    <w:pPr>
      <w:numPr>
        <w:numId w:val="10"/>
      </w:numPr>
      <w:tabs>
        <w:tab w:val="clear" w:pos="1060"/>
      </w:tabs>
    </w:pPr>
  </w:style>
  <w:style w:type="paragraph" w:customStyle="1" w:styleId="MarginNote">
    <w:name w:val="Margin Note"/>
    <w:basedOn w:val="BodyText"/>
    <w:rsid w:val="00B94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C22"/>
    <w:rPr>
      <w:sz w:val="32"/>
    </w:rPr>
  </w:style>
  <w:style w:type="paragraph" w:customStyle="1" w:styleId="HeadingProcedure">
    <w:name w:val="Heading Procedure"/>
    <w:basedOn w:val="HeadingBase"/>
    <w:next w:val="Normal"/>
    <w:rsid w:val="00B94C22"/>
    <w:pPr>
      <w:tabs>
        <w:tab w:val="left" w:pos="0"/>
      </w:tabs>
      <w:spacing w:before="120" w:after="60"/>
    </w:pPr>
    <w:rPr>
      <w:i/>
      <w:color w:val="918585"/>
      <w:sz w:val="22"/>
    </w:rPr>
  </w:style>
  <w:style w:type="paragraph" w:customStyle="1" w:styleId="TableBodyText">
    <w:name w:val="Table Body Text"/>
    <w:basedOn w:val="BodyText"/>
    <w:rsid w:val="00B94C22"/>
    <w:pPr>
      <w:spacing w:before="60" w:after="60"/>
    </w:pPr>
  </w:style>
  <w:style w:type="paragraph" w:styleId="ListContinue">
    <w:name w:val="List Continue"/>
    <w:basedOn w:val="List"/>
    <w:rsid w:val="00B94C22"/>
    <w:pPr>
      <w:ind w:firstLine="0"/>
    </w:pPr>
  </w:style>
  <w:style w:type="paragraph" w:customStyle="1" w:styleId="ListNote">
    <w:name w:val="List Note"/>
    <w:basedOn w:val="List"/>
    <w:rsid w:val="00B94C22"/>
    <w:pPr>
      <w:pBdr>
        <w:top w:val="single" w:sz="6" w:space="2" w:color="918585"/>
        <w:bottom w:val="single" w:sz="6" w:space="2" w:color="918585"/>
      </w:pBdr>
      <w:tabs>
        <w:tab w:val="left" w:pos="1021"/>
      </w:tabs>
      <w:ind w:firstLine="0"/>
    </w:pPr>
  </w:style>
  <w:style w:type="paragraph" w:customStyle="1" w:styleId="Warning">
    <w:name w:val="Warning"/>
    <w:basedOn w:val="BodyText"/>
    <w:rsid w:val="00B94C22"/>
    <w:pPr>
      <w:shd w:val="clear" w:color="auto" w:fill="D9D9D9"/>
      <w:tabs>
        <w:tab w:val="left" w:pos="992"/>
      </w:tabs>
      <w:ind w:left="119" w:right="119"/>
    </w:pPr>
    <w:rPr>
      <w:sz w:val="20"/>
    </w:rPr>
  </w:style>
  <w:style w:type="paragraph" w:customStyle="1" w:styleId="MarginIcons">
    <w:name w:val="Margin Icons"/>
    <w:basedOn w:val="BodyText"/>
    <w:rsid w:val="00B94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C22"/>
    <w:rPr>
      <w:rFonts w:ascii="Courier New" w:hAnsi="Courier New"/>
    </w:rPr>
  </w:style>
  <w:style w:type="paragraph" w:customStyle="1" w:styleId="NoteBullet">
    <w:name w:val="Note Bullet"/>
    <w:basedOn w:val="Note"/>
    <w:rsid w:val="00B94C22"/>
    <w:pPr>
      <w:tabs>
        <w:tab w:val="clear" w:pos="680"/>
      </w:tabs>
      <w:spacing w:before="60" w:after="60"/>
    </w:pPr>
  </w:style>
  <w:style w:type="paragraph" w:customStyle="1" w:styleId="SubHeading2">
    <w:name w:val="SubHeading2"/>
    <w:basedOn w:val="HeadingBase"/>
    <w:rsid w:val="00B94C22"/>
    <w:pPr>
      <w:spacing w:before="240" w:after="60"/>
    </w:pPr>
    <w:rPr>
      <w:sz w:val="20"/>
    </w:rPr>
  </w:style>
  <w:style w:type="paragraph" w:customStyle="1" w:styleId="SubHeading1">
    <w:name w:val="SubHeading1"/>
    <w:basedOn w:val="HeadingBase"/>
    <w:rsid w:val="00B94C22"/>
    <w:pPr>
      <w:spacing w:before="240" w:after="60"/>
    </w:pPr>
    <w:rPr>
      <w:color w:val="918585"/>
      <w:sz w:val="22"/>
    </w:rPr>
  </w:style>
  <w:style w:type="paragraph" w:customStyle="1" w:styleId="SideHeading">
    <w:name w:val="Side Heading"/>
    <w:basedOn w:val="HeadingBase"/>
    <w:rsid w:val="00B94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C22"/>
    <w:pPr>
      <w:numPr>
        <w:numId w:val="12"/>
      </w:numPr>
    </w:pPr>
  </w:style>
  <w:style w:type="paragraph" w:styleId="PlainText">
    <w:name w:val="Plain Text"/>
    <w:basedOn w:val="Normal"/>
    <w:link w:val="PlainTextChar"/>
    <w:rsid w:val="00B94C22"/>
    <w:rPr>
      <w:sz w:val="20"/>
    </w:rPr>
  </w:style>
  <w:style w:type="character" w:customStyle="1" w:styleId="PlainTextChar">
    <w:name w:val="Plain Text Char"/>
    <w:basedOn w:val="DefaultParagraphFont"/>
    <w:link w:val="PlainText"/>
    <w:rsid w:val="00B94C22"/>
    <w:rPr>
      <w:rFonts w:ascii="Courier New" w:eastAsia="Times New Roman" w:hAnsi="Courier New" w:cs="Times New Roman"/>
      <w:sz w:val="20"/>
      <w:szCs w:val="20"/>
      <w:lang w:eastAsia="en-US"/>
    </w:rPr>
  </w:style>
  <w:style w:type="character" w:customStyle="1" w:styleId="MenuOption">
    <w:name w:val="Menu Option"/>
    <w:basedOn w:val="DefaultParagraphFont"/>
    <w:rsid w:val="00B94C22"/>
    <w:rPr>
      <w:b/>
      <w:smallCaps/>
    </w:rPr>
  </w:style>
  <w:style w:type="paragraph" w:customStyle="1" w:styleId="TableListNumber">
    <w:name w:val="Table List Number"/>
    <w:basedOn w:val="ListNumber"/>
    <w:rsid w:val="00B94C22"/>
    <w:pPr>
      <w:numPr>
        <w:numId w:val="0"/>
      </w:numPr>
    </w:pPr>
  </w:style>
  <w:style w:type="paragraph" w:styleId="TOC4">
    <w:name w:val="toc 4"/>
    <w:basedOn w:val="TOCBase"/>
    <w:next w:val="Normal"/>
    <w:semiHidden/>
    <w:rsid w:val="00B94C22"/>
    <w:pPr>
      <w:tabs>
        <w:tab w:val="right" w:leader="dot" w:pos="9071"/>
      </w:tabs>
      <w:ind w:left="1701"/>
    </w:pPr>
  </w:style>
  <w:style w:type="paragraph" w:customStyle="1" w:styleId="ListAlpha">
    <w:name w:val="List Alpha"/>
    <w:basedOn w:val="List"/>
    <w:rsid w:val="00B94C22"/>
    <w:pPr>
      <w:numPr>
        <w:numId w:val="9"/>
      </w:numPr>
    </w:pPr>
  </w:style>
  <w:style w:type="paragraph" w:customStyle="1" w:styleId="ListAlpha2">
    <w:name w:val="List Alpha 2"/>
    <w:basedOn w:val="List2"/>
    <w:rsid w:val="00B94C22"/>
    <w:pPr>
      <w:numPr>
        <w:numId w:val="8"/>
      </w:numPr>
    </w:pPr>
  </w:style>
  <w:style w:type="paragraph" w:styleId="List2">
    <w:name w:val="List 2"/>
    <w:basedOn w:val="BodyText"/>
    <w:rsid w:val="00B94C22"/>
    <w:pPr>
      <w:tabs>
        <w:tab w:val="left" w:pos="680"/>
      </w:tabs>
      <w:spacing w:before="60" w:after="60"/>
      <w:ind w:left="680" w:hanging="340"/>
    </w:pPr>
  </w:style>
  <w:style w:type="paragraph" w:styleId="List3">
    <w:name w:val="List 3"/>
    <w:basedOn w:val="BodyText"/>
    <w:rsid w:val="00B94C22"/>
    <w:pPr>
      <w:tabs>
        <w:tab w:val="left" w:pos="1021"/>
      </w:tabs>
      <w:spacing w:before="60" w:after="60"/>
      <w:ind w:left="1020" w:hanging="340"/>
    </w:pPr>
  </w:style>
  <w:style w:type="paragraph" w:styleId="List4">
    <w:name w:val="List 4"/>
    <w:basedOn w:val="BodyText"/>
    <w:rsid w:val="00B94C22"/>
    <w:pPr>
      <w:tabs>
        <w:tab w:val="left" w:pos="1361"/>
      </w:tabs>
      <w:spacing w:before="60" w:after="60"/>
      <w:ind w:left="1361" w:hanging="340"/>
    </w:pPr>
  </w:style>
  <w:style w:type="paragraph" w:styleId="List5">
    <w:name w:val="List 5"/>
    <w:basedOn w:val="BodyText"/>
    <w:rsid w:val="00B94C22"/>
    <w:pPr>
      <w:tabs>
        <w:tab w:val="left" w:pos="1701"/>
      </w:tabs>
      <w:spacing w:before="60" w:after="60"/>
      <w:ind w:left="1701" w:hanging="340"/>
    </w:pPr>
  </w:style>
  <w:style w:type="paragraph" w:styleId="ListBullet3">
    <w:name w:val="List Bullet 3"/>
    <w:basedOn w:val="List3"/>
    <w:rsid w:val="00B94C22"/>
    <w:pPr>
      <w:numPr>
        <w:numId w:val="15"/>
      </w:numPr>
      <w:tabs>
        <w:tab w:val="clear" w:pos="1021"/>
      </w:tabs>
      <w:ind w:left="1037" w:hanging="357"/>
    </w:pPr>
  </w:style>
  <w:style w:type="paragraph" w:styleId="ListBullet4">
    <w:name w:val="List Bullet 4"/>
    <w:basedOn w:val="List4"/>
    <w:rsid w:val="00B94C22"/>
    <w:pPr>
      <w:numPr>
        <w:numId w:val="3"/>
      </w:numPr>
    </w:pPr>
  </w:style>
  <w:style w:type="paragraph" w:styleId="ListBullet5">
    <w:name w:val="List Bullet 5"/>
    <w:basedOn w:val="List5"/>
    <w:rsid w:val="00B94C22"/>
    <w:pPr>
      <w:numPr>
        <w:numId w:val="4"/>
      </w:numPr>
    </w:pPr>
  </w:style>
  <w:style w:type="paragraph" w:styleId="ListContinue2">
    <w:name w:val="List Continue 2"/>
    <w:basedOn w:val="List2"/>
    <w:rsid w:val="00B94C22"/>
    <w:pPr>
      <w:ind w:firstLine="0"/>
    </w:pPr>
  </w:style>
  <w:style w:type="paragraph" w:styleId="ListContinue3">
    <w:name w:val="List Continue 3"/>
    <w:basedOn w:val="List3"/>
    <w:rsid w:val="00B94C22"/>
    <w:pPr>
      <w:ind w:left="1021" w:firstLine="0"/>
    </w:pPr>
  </w:style>
  <w:style w:type="paragraph" w:styleId="ListContinue4">
    <w:name w:val="List Continue 4"/>
    <w:basedOn w:val="List4"/>
    <w:rsid w:val="00B94C22"/>
    <w:pPr>
      <w:ind w:firstLine="0"/>
    </w:pPr>
  </w:style>
  <w:style w:type="paragraph" w:styleId="ListContinue5">
    <w:name w:val="List Continue 5"/>
    <w:basedOn w:val="List5"/>
    <w:rsid w:val="00B94C22"/>
    <w:pPr>
      <w:ind w:firstLine="0"/>
    </w:pPr>
  </w:style>
  <w:style w:type="paragraph" w:styleId="ListNumber3">
    <w:name w:val="List Number 3"/>
    <w:basedOn w:val="List3"/>
    <w:rsid w:val="00B94C22"/>
    <w:pPr>
      <w:numPr>
        <w:numId w:val="5"/>
      </w:numPr>
    </w:pPr>
  </w:style>
  <w:style w:type="paragraph" w:styleId="ListNumber4">
    <w:name w:val="List Number 4"/>
    <w:basedOn w:val="List4"/>
    <w:rsid w:val="00B94C22"/>
    <w:pPr>
      <w:numPr>
        <w:numId w:val="6"/>
      </w:numPr>
    </w:pPr>
  </w:style>
  <w:style w:type="paragraph" w:styleId="ListNumber5">
    <w:name w:val="List Number 5"/>
    <w:basedOn w:val="List5"/>
    <w:rsid w:val="00B94C22"/>
    <w:pPr>
      <w:numPr>
        <w:numId w:val="7"/>
      </w:numPr>
    </w:pPr>
  </w:style>
  <w:style w:type="paragraph" w:styleId="BlockText">
    <w:name w:val="Block Text"/>
    <w:basedOn w:val="Normal"/>
    <w:rsid w:val="00B94C22"/>
    <w:pPr>
      <w:spacing w:after="120"/>
      <w:ind w:left="1440" w:right="1440"/>
    </w:pPr>
  </w:style>
  <w:style w:type="character" w:customStyle="1" w:styleId="Subscript">
    <w:name w:val="Subscript"/>
    <w:basedOn w:val="DefaultParagraphFont"/>
    <w:rsid w:val="00B94C22"/>
    <w:rPr>
      <w:sz w:val="16"/>
      <w:vertAlign w:val="subscript"/>
    </w:rPr>
  </w:style>
  <w:style w:type="character" w:customStyle="1" w:styleId="Superscript">
    <w:name w:val="Superscript"/>
    <w:basedOn w:val="DefaultParagraphFont"/>
    <w:rsid w:val="00B94C22"/>
    <w:rPr>
      <w:sz w:val="16"/>
      <w:vertAlign w:val="superscript"/>
    </w:rPr>
  </w:style>
  <w:style w:type="character" w:customStyle="1" w:styleId="Symbols">
    <w:name w:val="Symbols"/>
    <w:basedOn w:val="DefaultParagraphFont"/>
    <w:rsid w:val="00B94C22"/>
    <w:rPr>
      <w:rFonts w:ascii="Symbol" w:hAnsi="Symbol"/>
    </w:rPr>
  </w:style>
  <w:style w:type="character" w:customStyle="1" w:styleId="MenuOptions">
    <w:name w:val="Menu Options"/>
    <w:basedOn w:val="DefaultParagraphFont"/>
    <w:rsid w:val="00B94C22"/>
    <w:rPr>
      <w:rFonts w:ascii="Arial Narrow" w:hAnsi="Arial Narrow"/>
      <w:smallCaps/>
    </w:rPr>
  </w:style>
  <w:style w:type="character" w:customStyle="1" w:styleId="Buttons">
    <w:name w:val="Buttons"/>
    <w:basedOn w:val="DefaultParagraphFont"/>
    <w:rsid w:val="00B94C22"/>
    <w:rPr>
      <w:b/>
    </w:rPr>
  </w:style>
  <w:style w:type="character" w:customStyle="1" w:styleId="Underlined">
    <w:name w:val="Underlined"/>
    <w:basedOn w:val="DefaultParagraphFont"/>
    <w:rsid w:val="00B94C22"/>
    <w:rPr>
      <w:u w:val="single"/>
    </w:rPr>
  </w:style>
  <w:style w:type="paragraph" w:customStyle="1" w:styleId="TableBodyTextRight">
    <w:name w:val="Table Body Text Right"/>
    <w:basedOn w:val="TableBodyText"/>
    <w:rsid w:val="00B94C22"/>
    <w:pPr>
      <w:widowControl w:val="0"/>
      <w:autoSpaceDE w:val="0"/>
      <w:autoSpaceDN w:val="0"/>
      <w:adjustRightInd w:val="0"/>
      <w:jc w:val="right"/>
    </w:pPr>
    <w:rPr>
      <w:rFonts w:cs="Arial"/>
      <w:szCs w:val="18"/>
    </w:rPr>
  </w:style>
  <w:style w:type="paragraph" w:customStyle="1" w:styleId="CopyrightText">
    <w:name w:val="Copyright Text"/>
    <w:basedOn w:val="BodyText"/>
    <w:rsid w:val="00B94C22"/>
    <w:rPr>
      <w:sz w:val="18"/>
    </w:rPr>
  </w:style>
  <w:style w:type="paragraph" w:customStyle="1" w:styleId="BodySmallRight">
    <w:name w:val="Body Small Right"/>
    <w:basedOn w:val="BodyTextRight"/>
    <w:rsid w:val="00B94C22"/>
    <w:rPr>
      <w:sz w:val="18"/>
      <w:szCs w:val="18"/>
    </w:rPr>
  </w:style>
  <w:style w:type="paragraph" w:customStyle="1" w:styleId="MarginEdition">
    <w:name w:val="Margin Edition"/>
    <w:basedOn w:val="MarginNote"/>
    <w:rsid w:val="00B94C22"/>
    <w:pPr>
      <w:spacing w:before="0" w:after="0"/>
    </w:pPr>
    <w:rPr>
      <w:rFonts w:ascii="Times New Roman" w:hAnsi="Times New Roman"/>
      <w:color w:val="999999"/>
    </w:rPr>
  </w:style>
  <w:style w:type="paragraph" w:customStyle="1" w:styleId="Spacer">
    <w:name w:val="Spacer"/>
    <w:basedOn w:val="Normal"/>
    <w:rsid w:val="00B94C22"/>
    <w:rPr>
      <w:sz w:val="2"/>
      <w:szCs w:val="2"/>
    </w:rPr>
  </w:style>
  <w:style w:type="character" w:customStyle="1" w:styleId="Small">
    <w:name w:val="Small"/>
    <w:basedOn w:val="DefaultParagraphFont"/>
    <w:rsid w:val="00B94C22"/>
    <w:rPr>
      <w:sz w:val="16"/>
    </w:rPr>
  </w:style>
  <w:style w:type="paragraph" w:customStyle="1" w:styleId="WideTable">
    <w:name w:val="Wide Table"/>
    <w:basedOn w:val="Normal"/>
    <w:rsid w:val="00B94C22"/>
    <w:pPr>
      <w:ind w:left="-1418"/>
    </w:pPr>
    <w:rPr>
      <w:sz w:val="2"/>
      <w:szCs w:val="2"/>
    </w:rPr>
  </w:style>
  <w:style w:type="character" w:styleId="PageNumber">
    <w:name w:val="page number"/>
    <w:basedOn w:val="DefaultParagraphFont"/>
    <w:rsid w:val="00B94C22"/>
  </w:style>
  <w:style w:type="paragraph" w:styleId="Quote">
    <w:name w:val="Quote"/>
    <w:basedOn w:val="Heading1"/>
    <w:link w:val="QuoteChar"/>
    <w:qFormat/>
    <w:rsid w:val="00B94C22"/>
    <w:rPr>
      <w:b w:val="0"/>
      <w:sz w:val="72"/>
      <w:szCs w:val="72"/>
      <w:lang w:val="en-NZ"/>
    </w:rPr>
  </w:style>
  <w:style w:type="character" w:customStyle="1" w:styleId="QuoteChar">
    <w:name w:val="Quote Char"/>
    <w:basedOn w:val="DefaultParagraphFont"/>
    <w:link w:val="Quote"/>
    <w:rsid w:val="00B94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C22"/>
    <w:pPr>
      <w:pageBreakBefore/>
    </w:pPr>
  </w:style>
  <w:style w:type="paragraph" w:customStyle="1" w:styleId="Border">
    <w:name w:val="Border"/>
    <w:basedOn w:val="Normal"/>
    <w:qFormat/>
    <w:rsid w:val="00B94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C22"/>
    <w:rPr>
      <w:b/>
      <w:bCs/>
      <w:i/>
      <w:iCs/>
      <w:color w:val="auto"/>
    </w:rPr>
  </w:style>
  <w:style w:type="paragraph" w:styleId="IntenseQuote">
    <w:name w:val="Intense Quote"/>
    <w:basedOn w:val="Normal"/>
    <w:next w:val="Normal"/>
    <w:link w:val="IntenseQuoteChar"/>
    <w:uiPriority w:val="30"/>
    <w:qFormat/>
    <w:rsid w:val="00B94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C22"/>
    <w:rPr>
      <w:smallCaps/>
      <w:color w:val="auto"/>
      <w:u w:val="single"/>
    </w:rPr>
  </w:style>
  <w:style w:type="character" w:styleId="IntenseReference">
    <w:name w:val="Intense Reference"/>
    <w:basedOn w:val="DefaultParagraphFont"/>
    <w:uiPriority w:val="32"/>
    <w:qFormat/>
    <w:rsid w:val="00B94C22"/>
    <w:rPr>
      <w:b/>
      <w:bCs/>
      <w:smallCaps/>
      <w:color w:val="auto"/>
      <w:spacing w:val="5"/>
      <w:u w:val="single"/>
    </w:rPr>
  </w:style>
  <w:style w:type="paragraph" w:customStyle="1" w:styleId="2ColumnHeading">
    <w:name w:val="2Column Heading"/>
    <w:basedOn w:val="BodyText"/>
    <w:qFormat/>
    <w:rsid w:val="00B94C22"/>
    <w:pPr>
      <w:spacing w:after="60"/>
      <w:ind w:left="-2268"/>
    </w:pPr>
    <w:rPr>
      <w:b/>
    </w:rPr>
  </w:style>
  <w:style w:type="paragraph" w:customStyle="1" w:styleId="Heading1TOC">
    <w:name w:val="Heading1 TOC"/>
    <w:basedOn w:val="Normal"/>
    <w:qFormat/>
    <w:rsid w:val="00B94C22"/>
    <w:pPr>
      <w:spacing w:before="240" w:after="120"/>
    </w:pPr>
    <w:rPr>
      <w:rFonts w:ascii="Times New Roman" w:hAnsi="Times New Roman"/>
      <w:b/>
      <w:sz w:val="32"/>
    </w:rPr>
  </w:style>
  <w:style w:type="paragraph" w:customStyle="1" w:styleId="Heading2TOC">
    <w:name w:val="Heading2 TOC"/>
    <w:basedOn w:val="Normal"/>
    <w:qFormat/>
    <w:rsid w:val="00B94C22"/>
    <w:pPr>
      <w:spacing w:before="240" w:after="60"/>
    </w:pPr>
    <w:rPr>
      <w:rFonts w:ascii="Times New Roman" w:hAnsi="Times New Roman"/>
      <w:b/>
      <w:sz w:val="28"/>
    </w:rPr>
  </w:style>
  <w:style w:type="character" w:customStyle="1" w:styleId="Underline">
    <w:name w:val="Underline"/>
    <w:basedOn w:val="DefaultParagraphFont"/>
    <w:qFormat/>
    <w:rsid w:val="00B94C22"/>
    <w:rPr>
      <w:u w:val="single"/>
    </w:rPr>
  </w:style>
  <w:style w:type="character" w:customStyle="1" w:styleId="BoldandItalics">
    <w:name w:val="Bold and Italics"/>
    <w:qFormat/>
    <w:rsid w:val="00B94C22"/>
    <w:rPr>
      <w:b/>
      <w:i/>
      <w:u w:val="none"/>
    </w:rPr>
  </w:style>
  <w:style w:type="paragraph" w:styleId="BalloonText">
    <w:name w:val="Balloon Text"/>
    <w:basedOn w:val="Normal"/>
    <w:link w:val="BalloonTextChar"/>
    <w:rsid w:val="00B94C22"/>
    <w:rPr>
      <w:rFonts w:ascii="Tahoma" w:hAnsi="Tahoma" w:cs="Tahoma"/>
      <w:sz w:val="16"/>
      <w:szCs w:val="16"/>
    </w:rPr>
  </w:style>
  <w:style w:type="character" w:customStyle="1" w:styleId="BalloonTextChar">
    <w:name w:val="Balloon Text Char"/>
    <w:basedOn w:val="DefaultParagraphFont"/>
    <w:link w:val="BalloonText"/>
    <w:rsid w:val="00B94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C22"/>
    <w:rPr>
      <w:b/>
      <w:color w:val="660033"/>
      <w:spacing w:val="0"/>
    </w:rPr>
  </w:style>
  <w:style w:type="paragraph" w:customStyle="1" w:styleId="Nameditemlist">
    <w:name w:val="Named item list"/>
    <w:basedOn w:val="BodyText"/>
    <w:qFormat/>
    <w:rsid w:val="00B94C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3115</Words>
  <Characters>19096</Characters>
  <Application>Microsoft Office Word</Application>
  <DocSecurity>0</DocSecurity>
  <Lines>629</Lines>
  <Paragraphs>313</Paragraphs>
  <ScaleCrop>false</ScaleCrop>
  <Company>Author-it Software Corporation Ltd.</Company>
  <LinksUpToDate>false</LinksUpToDate>
  <CharactersWithSpaces>22063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UEENEEJ165A Evaluate thermodynamic and fluid parameters of refrigeration systems</dc:title>
  <dc:subject>Approved</dc:subject>
  <dc:creator>E-OZ Training Standards</dc:creator>
  <cp:keywords>Release 3</cp:keywords>
  <dc:description>Review Date: 12 April 2008</dc:description>
  <cp:lastModifiedBy>TPCMS</cp:lastModifiedBy>
  <cp:revision>3</cp:revision>
  <dcterms:created xsi:type="dcterms:W3CDTF">2013-08-14T00:41:00Z</dcterms:created>
  <dcterms:modified xsi:type="dcterms:W3CDTF">2013-08-14T00:41:00Z</dcterms:modified>
</cp:coreProperties>
</file>