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C08" w:rsidP="00CF4C08">
      <w:pPr>
        <w:pStyle w:val="Title"/>
      </w:pPr>
      <w:r>
        <w:fldChar w:fldCharType="begin"/>
      </w:r>
      <w:r>
        <w:instrText xml:space="preserve"> TITLE   \* MERGEFORMAT </w:instrText>
      </w:r>
      <w:r>
        <w:fldChar w:fldCharType="separate"/>
      </w:r>
      <w:r>
        <w:t>UEENEEJ162A Recover, pressure test, evacuate, charge and leak test refrigerants - appliances</w:t>
      </w:r>
      <w:r>
        <w:fldChar w:fldCharType="end"/>
      </w:r>
    </w:p>
    <w:p w:rsidR="00CF4C08" w:rsidP="00CF4C08">
      <w:pPr>
        <w:pStyle w:val="Version"/>
        <w:sectPr w:rsidSect="00B057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057A4" w:rsidP="00B057A4">
      <w:pPr>
        <w:pStyle w:val="SuperHeading"/>
      </w:pPr>
      <w:r w:rsidRPr="00B057A4">
        <w:t>UEENEEJ162A Recover, pressure test, evacuate, charge and leak test refrigerants - appliances</w:t>
      </w:r>
    </w:p>
    <w:p w:rsidR="00000000" w:rsidRPr="00B057A4" w:rsidP="00B057A4">
      <w:pPr>
        <w:pStyle w:val="Heading1"/>
      </w:pPr>
      <w:bookmarkStart w:id="1" w:name="O_590202"/>
      <w:bookmarkEnd w:id="1"/>
      <w:r w:rsidRPr="00B057A4">
        <w:t>Modification History</w:t>
      </w:r>
    </w:p>
    <w:p w:rsidR="00000000" w:rsidRPr="00B057A4" w:rsidP="00B057A4">
      <w:pPr>
        <w:pStyle w:val="BodyText"/>
      </w:pPr>
      <w:r w:rsidRPr="00B057A4">
        <w:t>Not Applicable</w:t>
      </w:r>
    </w:p>
    <w:p w:rsidR="00000000" w:rsidRPr="00B057A4" w:rsidP="00B057A4">
      <w:pPr>
        <w:pStyle w:val="AllowPageBreak"/>
      </w:pPr>
    </w:p>
    <w:p w:rsidR="00000000" w:rsidRPr="00B057A4" w:rsidP="00B057A4">
      <w:pPr>
        <w:pStyle w:val="Heading1"/>
      </w:pPr>
      <w:bookmarkStart w:id="2" w:name="O_590201"/>
      <w:bookmarkEnd w:id="2"/>
      <w:r w:rsidRPr="00B057A4">
        <w:t>Unit Descriptor</w:t>
      </w:r>
    </w:p>
    <w:tbl>
      <w:tblPr>
        <w:tblW w:w="0" w:type="auto"/>
        <w:tblLayout w:type="fixed"/>
        <w:tblCellMar>
          <w:left w:w="62" w:type="dxa"/>
          <w:right w:w="62" w:type="dxa"/>
        </w:tblCellMar>
        <w:tblLook w:val="0000"/>
      </w:tblPr>
      <w:tblGrid>
        <w:gridCol w:w="2698"/>
        <w:gridCol w:w="5762"/>
      </w:tblGrid>
      <w:tr w:rsidTr="00CF4C08">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1</w:t>
            </w:r>
            <w:r w:rsidRPr="00B057A4">
              <w:t xml:space="preserve">) </w:t>
            </w:r>
          </w:p>
          <w:p w:rsidR="00000000" w:rsidP="00B057A4">
            <w:pPr>
              <w:pStyle w:val="BodyText"/>
              <w:rPr>
                <w:lang w:val="en-NZ"/>
              </w:rPr>
            </w:pPr>
            <w:r w:rsidRPr="00B057A4">
              <w:rPr>
                <w:rStyle w:val="SpecialBold"/>
              </w:rPr>
              <w:t>1</w:t>
            </w:r>
            <w:r w:rsidRPr="00B057A4">
              <w:t>.</w:t>
            </w:r>
            <w:r w:rsidRPr="00B057A4">
              <w:rPr>
                <w:rStyle w:val="SpecialBold"/>
              </w:rPr>
              <w:t>1</w:t>
            </w:r>
            <w:r w:rsidRPr="00B057A4">
              <w:t xml:space="preserve">) </w:t>
            </w:r>
            <w:r w:rsidRPr="00B057A4">
              <w:rPr>
                <w:rStyle w:val="SpecialBold"/>
              </w:rPr>
              <w:t>Descriptor</w:t>
            </w:r>
          </w:p>
        </w:tc>
      </w:tr>
      <w:tr w:rsidTr="00CF4C08">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t>This unit covers the recovery of refrigerants from appliances, pressure and leak testing evacuation and charging refrigerants in self contained appliances. It encompasses working safely and to standards, following regulations and industry practices for han</w:t>
            </w:r>
            <w:r w:rsidRPr="00B057A4">
              <w:t>dling refrigerants and completing the necessary documentation.</w:t>
            </w:r>
          </w:p>
          <w:p w:rsidR="00000000" w:rsidRPr="00B057A4" w:rsidP="00B057A4">
            <w:pPr>
              <w:pStyle w:val="BodyText"/>
            </w:pPr>
            <w:r w:rsidRPr="00B057A4">
              <w:t xml:space="preserve">Note: </w:t>
            </w:r>
          </w:p>
          <w:p w:rsidR="00000000" w:rsidRPr="00B057A4" w:rsidP="00B057A4">
            <w:pPr>
              <w:pStyle w:val="BodyText"/>
            </w:pPr>
            <w:r w:rsidRPr="00B057A4">
              <w:t>1. Refrigeration systems may be those used for refrigerating or for air conditioning.</w:t>
            </w:r>
          </w:p>
          <w:p w:rsidR="00000000" w:rsidRPr="00B057A4" w:rsidP="00B057A4">
            <w:pPr>
              <w:pStyle w:val="BodyText"/>
            </w:pPr>
            <w:r w:rsidRPr="00B057A4">
              <w:t>2. The Ozone Protection and Synthetic Greenhouse Gas Legislation Amendment Bill 2003 may apply to th</w:t>
            </w:r>
            <w:r w:rsidRPr="00B057A4">
              <w:t>is competency standard unit. Prior to planning the delivery of any training and/or assessment activities all legislative and regulatory requirements shall be identified and included.</w:t>
            </w:r>
          </w:p>
        </w:tc>
      </w:tr>
    </w:tbl>
    <w:p w:rsidR="00CF4C08" w:rsidP="00B057A4">
      <w:pPr>
        <w:pStyle w:val="BodyText"/>
      </w:pPr>
    </w:p>
    <w:p w:rsidR="00CF4C08" w:rsidP="00B057A4">
      <w:pPr>
        <w:pStyle w:val="BodyText"/>
      </w:pPr>
    </w:p>
    <w:p w:rsidR="00000000" w:rsidRPr="00B057A4" w:rsidP="00B057A4">
      <w:pPr>
        <w:pStyle w:val="Heading1"/>
      </w:pPr>
      <w:bookmarkStart w:id="3" w:name="O_590200"/>
      <w:bookmarkEnd w:id="3"/>
      <w:r w:rsidRPr="00B057A4">
        <w:t>Application of the Unit</w:t>
      </w:r>
    </w:p>
    <w:tbl>
      <w:tblPr>
        <w:tblW w:w="0" w:type="auto"/>
        <w:tblLayout w:type="fixed"/>
        <w:tblCellMar>
          <w:left w:w="62" w:type="dxa"/>
          <w:right w:w="62" w:type="dxa"/>
        </w:tblCellMar>
        <w:tblLook w:val="0000"/>
      </w:tblPr>
      <w:tblGrid>
        <w:gridCol w:w="2698"/>
        <w:gridCol w:w="5762"/>
      </w:tblGrid>
      <w:tr w:rsidTr="00CF4C08">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Application of the Unit</w:t>
            </w:r>
          </w:p>
        </w:tc>
        <w:tc>
          <w:tcPr>
            <w:tcW w:w="5762"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rPr>
                <w:rStyle w:val="SpecialBold"/>
              </w:rPr>
              <w:t>4</w:t>
            </w:r>
            <w:r w:rsidRPr="00B057A4">
              <w:t>)</w:t>
            </w:r>
          </w:p>
        </w:tc>
      </w:tr>
      <w:tr w:rsidTr="00CF4C08">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t>This competency standard is suitable for employment-based programs under an approved contract of training at the AQF level of the qualification in which the unit is first packaged or higher.</w:t>
            </w:r>
          </w:p>
          <w:p w:rsidR="00000000" w:rsidRPr="00B057A4" w:rsidP="00B057A4">
            <w:pPr>
              <w:pStyle w:val="BodyText"/>
            </w:pPr>
            <w:r w:rsidRPr="00B057A4">
              <w:t>The unit may be selected as an elective from the relevant schedul</w:t>
            </w:r>
            <w:r w:rsidRPr="00B057A4">
              <w:t>e (see qualification packaging rules) provided that all prerequisite units are undertaken or addressed through recognition processes.</w:t>
            </w:r>
          </w:p>
          <w:p w:rsidR="00000000" w:rsidRPr="00B057A4" w:rsidP="00B057A4">
            <w:pPr>
              <w:pStyle w:val="BodyText"/>
            </w:pPr>
            <w:r w:rsidRPr="00B057A4">
              <w:t>This unit may be included in a skill set provided that it is listed in the schedule of electives (see Qualification Framew</w:t>
            </w:r>
            <w:r w:rsidRPr="00B057A4">
              <w:t>ork) and all prerequisite units are undertaken or addressed through recognition processes.</w:t>
            </w:r>
          </w:p>
          <w:p w:rsidR="00000000" w:rsidRPr="00B057A4" w:rsidP="00B057A4">
            <w:pPr>
              <w:pStyle w:val="BodyText"/>
            </w:pPr>
            <w:r w:rsidRPr="00B057A4">
              <w:t>Delivery and assessment of this unit should be undertaken within regard to the requirements of License to Practice (1.2 above), Prerequisite Competencies and Literac</w:t>
            </w:r>
            <w:r w:rsidRPr="00B057A4">
              <w:t>y and Numeracy skills (2 above) and the  recommendations for concurrent assessment and relationship with other units (9.5 below).</w:t>
            </w:r>
          </w:p>
          <w:p w:rsidR="00000000" w:rsidRPr="00B057A4" w:rsidP="00B057A4">
            <w:pPr>
              <w:pStyle w:val="BodyText"/>
            </w:pPr>
            <w:r w:rsidRPr="00B057A4">
              <w:t>Practice in the workplace and during training is also subject to regulations directly related to occupational health and safet</w:t>
            </w:r>
            <w:r w:rsidRPr="00B057A4">
              <w:t>y and where applicable contracts of training such as apprenticeships.</w:t>
            </w:r>
          </w:p>
          <w:p w:rsidR="00000000" w:rsidRPr="00B057A4" w:rsidP="00B057A4">
            <w:pPr>
              <w:pStyle w:val="BodyText"/>
            </w:pPr>
            <w:r w:rsidRPr="00B057A4">
              <w:t>Note:</w:t>
            </w:r>
          </w:p>
          <w:p w:rsidR="00000000" w:rsidRPr="00B057A4" w:rsidP="00B057A4">
            <w:pPr>
              <w:pStyle w:val="BodyText"/>
            </w:pPr>
            <w:r w:rsidRPr="00B057A4">
              <w:t>1. Compliance with permits may be required in various jurisdictions and typically relates to the operation of plant, machinery and equipment such as elevating work platforms, powde</w:t>
            </w:r>
            <w:r w:rsidRPr="00B057A4">
              <w:t>r operated fixing tools, power operated tools, vehicles, road signage and traffic control and lifting equipment. Permits may also be required for some work environments such as confined spaces, working aloft, near live electrical apparatus and site rehabil</w:t>
            </w:r>
            <w:r w:rsidRPr="00B057A4">
              <w:t>itation.</w:t>
            </w:r>
          </w:p>
          <w:p w:rsidR="00000000" w:rsidRPr="00B057A4" w:rsidP="00B057A4">
            <w:pPr>
              <w:pStyle w:val="BodyText"/>
            </w:pPr>
            <w:r w:rsidRPr="00B057A4">
              <w:t>2. Compliance may be required in various jurisdictions relating to currency in First Aid, confined space, lifting, risk safety measures etc.</w:t>
            </w:r>
          </w:p>
        </w:tc>
      </w:tr>
    </w:tbl>
    <w:p w:rsidR="00CF4C08" w:rsidP="00B057A4">
      <w:pPr>
        <w:pStyle w:val="BodyText"/>
      </w:pPr>
    </w:p>
    <w:p w:rsidR="00CF4C08" w:rsidP="00B057A4">
      <w:pPr>
        <w:pStyle w:val="BodyText"/>
      </w:pPr>
    </w:p>
    <w:p w:rsidR="00000000" w:rsidRPr="00B057A4" w:rsidP="00B057A4">
      <w:pPr>
        <w:pStyle w:val="Heading1"/>
      </w:pPr>
      <w:bookmarkStart w:id="4" w:name="O_590199"/>
      <w:bookmarkEnd w:id="4"/>
      <w:r w:rsidRPr="00B057A4">
        <w:t>Licensing/Regulatory Information</w:t>
      </w:r>
    </w:p>
    <w:tbl>
      <w:tblPr>
        <w:tblW w:w="0" w:type="auto"/>
        <w:tblLayout w:type="fixed"/>
        <w:tblCellMar>
          <w:left w:w="62" w:type="dxa"/>
          <w:right w:w="62" w:type="dxa"/>
        </w:tblCellMar>
        <w:tblLook w:val="0000"/>
      </w:tblPr>
      <w:tblGrid>
        <w:gridCol w:w="8460"/>
      </w:tblGrid>
      <w:tr w:rsidTr="00CF4C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rPr>
                <w:rStyle w:val="SpecialBold"/>
              </w:rPr>
              <w:t>1</w:t>
            </w:r>
            <w:r w:rsidRPr="00B057A4">
              <w:t>.</w:t>
            </w:r>
            <w:r w:rsidRPr="00B057A4">
              <w:rPr>
                <w:rStyle w:val="SpecialBold"/>
              </w:rPr>
              <w:t>2</w:t>
            </w:r>
            <w:r w:rsidRPr="00B057A4">
              <w:t xml:space="preserve">) </w:t>
            </w:r>
            <w:r w:rsidRPr="00B057A4">
              <w:rPr>
                <w:rStyle w:val="SpecialBold"/>
              </w:rPr>
              <w:t>License to practice</w:t>
            </w:r>
          </w:p>
        </w:tc>
      </w:tr>
      <w:tr w:rsidTr="00CF4C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t>The skills and knowledge described in this unit may, in some States/Territories, require a license to practice in the workplace subject to regulations for undertaking refrigeration and air conditioning work. Practice in workplace and during training is als</w:t>
            </w:r>
            <w:r w:rsidRPr="00B057A4">
              <w:t>o subject to regulations directly related to occupational health and safety and where applicable contracts of training such as apprenticeships.</w:t>
            </w:r>
          </w:p>
          <w:p w:rsidR="00000000" w:rsidRPr="00B057A4" w:rsidP="00B057A4">
            <w:pPr>
              <w:pStyle w:val="BodyText"/>
            </w:pPr>
            <w:r w:rsidRPr="00B057A4">
              <w:t xml:space="preserve">Note: </w:t>
            </w:r>
          </w:p>
          <w:p w:rsidR="00000000" w:rsidRPr="00B057A4" w:rsidP="00B057A4">
            <w:pPr>
              <w:pStyle w:val="BodyText"/>
            </w:pPr>
            <w:r w:rsidRPr="00B057A4">
              <w:t>1. Compliance with permits may be required in various jurisdictions and typically relates to the operatio</w:t>
            </w:r>
            <w:r w:rsidRPr="00B057A4">
              <w:t>n of plant, machinery and equipment such as elevating work platforms, powder operated fixing tools, power operated tools, vehicles, road signage and traffic control, lifting equipment. Permits may also be required for some work environments such as confine</w:t>
            </w:r>
            <w:r w:rsidRPr="00B057A4">
              <w:t>d spaces, working aloft, near live electrical apparatus and site rehabilitation.</w:t>
            </w:r>
          </w:p>
          <w:p w:rsidR="00000000" w:rsidRPr="00B057A4" w:rsidP="00B057A4">
            <w:pPr>
              <w:pStyle w:val="BodyText"/>
            </w:pPr>
            <w:r w:rsidRPr="00B057A4">
              <w:t xml:space="preserve">2. Compliance may be required in various jurisdictions relating to currency in First Aid, confined space, lifting and risk safety measures </w:t>
            </w:r>
          </w:p>
          <w:p w:rsidR="00000000" w:rsidRPr="00B057A4" w:rsidP="00B057A4">
            <w:pPr>
              <w:pStyle w:val="BodyText"/>
            </w:pPr>
            <w:r w:rsidRPr="00B057A4">
              <w:t>3. The Ozone Protection and Synthet</w:t>
            </w:r>
            <w:r w:rsidRPr="00B057A4">
              <w:t>ic Greenhouse Gas Legislation Amendment Bill 2003 may apply to this competency standard unit. Prior to planning the delivery of any training and/or assessment activities all legislative and regulatory requirements shall be identified and included.</w:t>
            </w:r>
          </w:p>
        </w:tc>
      </w:tr>
    </w:tbl>
    <w:p w:rsidR="00CF4C08" w:rsidP="00B057A4">
      <w:pPr>
        <w:pStyle w:val="BodyText"/>
      </w:pPr>
    </w:p>
    <w:p w:rsidR="00CF4C08" w:rsidP="00B057A4">
      <w:pPr>
        <w:pStyle w:val="BodyText"/>
      </w:pPr>
    </w:p>
    <w:p w:rsidR="00000000" w:rsidRPr="00B057A4" w:rsidP="00B057A4">
      <w:pPr>
        <w:pStyle w:val="Heading1"/>
      </w:pPr>
      <w:bookmarkStart w:id="5" w:name="O_590198"/>
      <w:bookmarkEnd w:id="5"/>
      <w:r w:rsidRPr="00B057A4">
        <w:t>Pre-Requisites</w:t>
      </w:r>
    </w:p>
    <w:tbl>
      <w:tblPr>
        <w:tblW w:w="9360" w:type="dxa"/>
        <w:tblLayout w:type="fixed"/>
        <w:tblCellMar>
          <w:left w:w="62" w:type="dxa"/>
          <w:right w:w="62" w:type="dxa"/>
        </w:tblCellMar>
        <w:tblLook w:val="0000"/>
      </w:tblPr>
      <w:tblGrid>
        <w:gridCol w:w="2070"/>
        <w:gridCol w:w="1440"/>
        <w:gridCol w:w="5830"/>
        <w:gridCol w:w="20"/>
      </w:tblGrid>
      <w:tr w:rsidTr="00CF4C08">
        <w:tblPrEx>
          <w:tblW w:w="9360" w:type="dxa"/>
          <w:tblLayout w:type="fixed"/>
          <w:tblCellMar>
            <w:left w:w="62" w:type="dxa"/>
            <w:right w:w="62" w:type="dxa"/>
          </w:tblCellMar>
          <w:tblLook w:val="0000"/>
        </w:tblPrEx>
        <w:trPr>
          <w:tblHeader/>
        </w:trPr>
        <w:tc>
          <w:tcPr>
            <w:tcW w:w="2070"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Prerequisite Unit</w:t>
            </w:r>
            <w:r w:rsidRPr="00B057A4">
              <w:t>(</w:t>
            </w:r>
            <w:r w:rsidRPr="00B057A4">
              <w:rPr>
                <w:rStyle w:val="SpecialBold"/>
              </w:rPr>
              <w:t>s</w:t>
            </w:r>
            <w:r w:rsidRPr="00B057A4">
              <w:t>)</w:t>
            </w:r>
          </w:p>
        </w:tc>
        <w:tc>
          <w:tcPr>
            <w:tcW w:w="7290" w:type="dxa"/>
            <w:gridSpan w:val="3"/>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rPr>
                <w:rStyle w:val="SpecialBold"/>
              </w:rPr>
              <w:t>2</w:t>
            </w:r>
            <w:r w:rsidRPr="00B057A4">
              <w:t xml:space="preserve">) </w:t>
            </w:r>
          </w:p>
        </w:tc>
      </w:tr>
      <w:tr w:rsidTr="00CF4C08">
        <w:tblPrEx>
          <w:tblW w:w="9360" w:type="dxa"/>
          <w:tblLayout w:type="fixed"/>
          <w:tblCellMar>
            <w:left w:w="62" w:type="dxa"/>
            <w:right w:w="62" w:type="dxa"/>
          </w:tblCellMar>
          <w:tblLook w:val="0000"/>
        </w:tblPrEx>
        <w:trPr>
          <w:tblHeader/>
        </w:trPr>
        <w:tc>
          <w:tcPr>
            <w:tcW w:w="2070" w:type="dxa"/>
            <w:tcBorders>
              <w:top w:val="nil"/>
              <w:left w:val="nil"/>
              <w:bottom w:val="nil"/>
              <w:right w:val="nil"/>
            </w:tcBorders>
            <w:tcMar>
              <w:top w:w="0" w:type="dxa"/>
              <w:left w:w="62" w:type="dxa"/>
              <w:bottom w:w="0" w:type="dxa"/>
              <w:right w:w="62" w:type="dxa"/>
            </w:tcMar>
          </w:tcPr>
          <w:p w:rsidR="00000000" w:rsidRPr="00B057A4">
            <w:pPr>
              <w:pStyle w:val="BodyText"/>
              <w:keepNext w:val="0"/>
              <w:keepLines w:val="0"/>
              <w:contextualSpacing w:val="0"/>
            </w:pPr>
          </w:p>
        </w:tc>
        <w:tc>
          <w:tcPr>
            <w:tcW w:w="7290" w:type="dxa"/>
            <w:gridSpan w:val="3"/>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rPr>
                <w:rStyle w:val="SpecialBold"/>
              </w:rPr>
              <w:t>2</w:t>
            </w:r>
            <w:r w:rsidRPr="00B057A4">
              <w:t>.</w:t>
            </w:r>
            <w:r w:rsidRPr="00B057A4">
              <w:rPr>
                <w:rStyle w:val="SpecialBold"/>
              </w:rPr>
              <w:t>1</w:t>
            </w:r>
            <w:r w:rsidRPr="00B057A4">
              <w:t xml:space="preserve">) </w:t>
            </w:r>
            <w:r w:rsidRPr="00B057A4">
              <w:rPr>
                <w:rStyle w:val="SpecialBold"/>
              </w:rPr>
              <w:t>Competencies</w:t>
            </w:r>
          </w:p>
        </w:tc>
      </w:tr>
      <w:tr w:rsidTr="00CF4C08">
        <w:tblPrEx>
          <w:tblW w:w="9360" w:type="dxa"/>
          <w:tblLayout w:type="fixed"/>
          <w:tblCellMar>
            <w:left w:w="62" w:type="dxa"/>
            <w:right w:w="62" w:type="dxa"/>
          </w:tblCellMar>
          <w:tblLook w:val="0000"/>
        </w:tblPrEx>
        <w:trPr>
          <w:trHeight w:val="632"/>
          <w:tblHeader/>
        </w:trPr>
        <w:tc>
          <w:tcPr>
            <w:tcW w:w="2070" w:type="dxa"/>
            <w:tcBorders>
              <w:top w:val="nil"/>
              <w:left w:val="nil"/>
              <w:bottom w:val="nil"/>
              <w:right w:val="nil"/>
            </w:tcBorders>
            <w:tcMar>
              <w:top w:w="0" w:type="dxa"/>
              <w:left w:w="62" w:type="dxa"/>
              <w:bottom w:w="0" w:type="dxa"/>
              <w:right w:w="62" w:type="dxa"/>
            </w:tcMar>
          </w:tcPr>
          <w:p w:rsidR="00000000" w:rsidRPr="00B057A4" w:rsidP="00B057A4">
            <w:pPr>
              <w:pStyle w:val="BodyText"/>
            </w:pPr>
          </w:p>
          <w:p w:rsidR="00000000">
            <w:pPr>
              <w:pStyle w:val="BodyText"/>
              <w:keepNext w:val="0"/>
              <w:keepLines w:val="0"/>
              <w:contextualSpacing w:val="0"/>
              <w:rPr>
                <w:rFonts w:ascii="Tahoma" w:hAnsi="Tahoma"/>
                <w:color w:val="000000"/>
                <w:sz w:val="20"/>
                <w:lang w:val="en-NZ"/>
              </w:rPr>
            </w:pPr>
          </w:p>
        </w:tc>
        <w:tc>
          <w:tcPr>
            <w:tcW w:w="7290" w:type="dxa"/>
            <w:gridSpan w:val="3"/>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Granting competency in this unit shall be made only after competency in the following unit(s) has/have been confirmed.</w:t>
            </w:r>
          </w:p>
        </w:tc>
      </w:tr>
      <w:tr w:rsidTr="00CF4C08">
        <w:tblPrEx>
          <w:tblW w:w="9360" w:type="dxa"/>
          <w:tblLayout w:type="fixed"/>
          <w:tblCellMar>
            <w:left w:w="62" w:type="dxa"/>
            <w:right w:w="62" w:type="dxa"/>
          </w:tblCellMar>
          <w:tblLook w:val="0000"/>
        </w:tblPrEx>
        <w:trPr>
          <w:gridAfter w:val="1"/>
          <w:wAfter w:w="20" w:type="dxa"/>
        </w:trPr>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UEENEEJ102A</w:t>
            </w:r>
          </w:p>
        </w:tc>
        <w:tc>
          <w:tcPr>
            <w:tcW w:w="583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Prepare and connect refrigeration tubing and fittings</w:t>
            </w:r>
          </w:p>
        </w:tc>
      </w:tr>
      <w:tr w:rsidTr="00CF4C08">
        <w:tblPrEx>
          <w:tblW w:w="9360" w:type="dxa"/>
          <w:tblLayout w:type="fixed"/>
          <w:tblCellMar>
            <w:left w:w="62" w:type="dxa"/>
            <w:right w:w="62" w:type="dxa"/>
          </w:tblCellMar>
          <w:tblLook w:val="0000"/>
        </w:tblPrEx>
        <w:trPr>
          <w:gridAfter w:val="1"/>
          <w:wAfter w:w="20" w:type="dxa"/>
        </w:trPr>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UEENEEJ195A</w:t>
            </w:r>
          </w:p>
        </w:tc>
        <w:tc>
          <w:tcPr>
            <w:tcW w:w="583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Establish the basic operating conditions of vapour compression systems - appliances</w:t>
            </w:r>
          </w:p>
        </w:tc>
      </w:tr>
      <w:tr w:rsidTr="00CF4C08">
        <w:tblPrEx>
          <w:tblW w:w="9360" w:type="dxa"/>
          <w:tblLayout w:type="fixed"/>
          <w:tblCellMar>
            <w:left w:w="62" w:type="dxa"/>
            <w:right w:w="62" w:type="dxa"/>
          </w:tblCellMar>
          <w:tblLook w:val="0000"/>
        </w:tblPrEx>
        <w:trPr>
          <w:gridAfter w:val="1"/>
          <w:wAfter w:w="20" w:type="dxa"/>
        </w:trPr>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UEENEEE101A</w:t>
            </w:r>
          </w:p>
        </w:tc>
        <w:tc>
          <w:tcPr>
            <w:tcW w:w="5830"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t>Apply Occupational Health and Safety regulations, codes and practices in the workplace</w:t>
            </w:r>
          </w:p>
        </w:tc>
      </w:tr>
    </w:tbl>
    <w:p w:rsidR="00CF4C08" w:rsidP="00B057A4">
      <w:pPr>
        <w:pStyle w:val="BodyText"/>
      </w:pPr>
    </w:p>
    <w:p w:rsidR="00CF4C08" w:rsidP="00B057A4">
      <w:pPr>
        <w:pStyle w:val="BodyText"/>
      </w:pPr>
    </w:p>
    <w:p w:rsidR="00000000" w:rsidRPr="00B057A4" w:rsidP="00B057A4">
      <w:pPr>
        <w:pStyle w:val="Heading1"/>
      </w:pPr>
      <w:bookmarkStart w:id="6" w:name="O_590197"/>
      <w:bookmarkEnd w:id="6"/>
      <w:r w:rsidRPr="00B057A4">
        <w:t>Employability Skills Information</w:t>
      </w:r>
    </w:p>
    <w:tbl>
      <w:tblPr>
        <w:tblW w:w="0" w:type="auto"/>
        <w:tblLayout w:type="fixed"/>
        <w:tblCellMar>
          <w:left w:w="62" w:type="dxa"/>
          <w:right w:w="62" w:type="dxa"/>
        </w:tblCellMar>
        <w:tblLook w:val="0000"/>
      </w:tblPr>
      <w:tblGrid>
        <w:gridCol w:w="2698"/>
        <w:gridCol w:w="5762"/>
      </w:tblGrid>
      <w:tr w:rsidTr="00CF4C08">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3</w:t>
            </w:r>
            <w:r w:rsidRPr="00B057A4">
              <w:t>)</w:t>
            </w:r>
          </w:p>
          <w:p w:rsidR="00000000" w:rsidRPr="00B057A4" w:rsidP="00B057A4">
            <w:pPr>
              <w:pStyle w:val="BodyText"/>
            </w:pPr>
            <w:r w:rsidRPr="00B057A4">
              <w:t>This unit contains Employability Skills</w:t>
            </w:r>
          </w:p>
          <w:p w:rsidR="00000000" w:rsidRPr="00B057A4" w:rsidP="00B057A4">
            <w:pPr>
              <w:pStyle w:val="BodyText"/>
            </w:pPr>
            <w:r w:rsidRPr="00B057A4">
              <w:t>The required outcomes described in this unit of competency contain applicable facets of Employability Skills. The Employability Skills Summar</w:t>
            </w:r>
            <w:r w:rsidRPr="00B057A4">
              <w:t>y of the qualification in which this unit of competency is packaged will assist in identifying Employability Skill requirements.</w:t>
            </w:r>
          </w:p>
        </w:tc>
      </w:tr>
    </w:tbl>
    <w:p w:rsidR="00CF4C08" w:rsidP="00B057A4">
      <w:pPr>
        <w:pStyle w:val="BodyText"/>
      </w:pPr>
    </w:p>
    <w:p w:rsidR="00CF4C08" w:rsidP="00B057A4">
      <w:pPr>
        <w:pStyle w:val="BodyText"/>
      </w:pPr>
    </w:p>
    <w:p w:rsidR="00000000" w:rsidRPr="00B057A4" w:rsidP="00B057A4">
      <w:pPr>
        <w:pStyle w:val="Heading1"/>
      </w:pPr>
      <w:bookmarkStart w:id="7" w:name="O_590196"/>
      <w:bookmarkEnd w:id="7"/>
      <w:r w:rsidRPr="00B057A4">
        <w:t>Elements and Performance Criteria Pre-Content</w:t>
      </w:r>
    </w:p>
    <w:tbl>
      <w:tblPr>
        <w:tblW w:w="0" w:type="auto"/>
        <w:tblLayout w:type="fixed"/>
        <w:tblCellMar>
          <w:left w:w="62" w:type="dxa"/>
          <w:right w:w="62" w:type="dxa"/>
        </w:tblCellMar>
        <w:tblLook w:val="0000"/>
      </w:tblPr>
      <w:tblGrid>
        <w:gridCol w:w="2268"/>
        <w:gridCol w:w="6240"/>
      </w:tblGrid>
      <w:tr w:rsidTr="00CF4C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rPr>
                <w:rStyle w:val="SpecialBold"/>
              </w:rPr>
              <w:t>6</w:t>
            </w:r>
            <w:r w:rsidRPr="00B057A4">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t>Perform</w:t>
            </w:r>
            <w:r w:rsidRPr="00B057A4">
              <w:t>ance criteria describe the required performance needed to demonstrate achievement of the element. Assessment of performance is to be consistent with the evidence guide.</w:t>
            </w:r>
          </w:p>
        </w:tc>
      </w:tr>
    </w:tbl>
    <w:p w:rsidR="00000000" w:rsidRPr="00B057A4" w:rsidP="00B057A4">
      <w:pPr>
        <w:pStyle w:val="BodyText"/>
      </w:pPr>
    </w:p>
    <w:p w:rsidR="00000000" w:rsidRPr="00B057A4" w:rsidP="00B057A4">
      <w:pPr>
        <w:pStyle w:val="AllowPageBreak"/>
      </w:pPr>
    </w:p>
    <w:p w:rsidR="00000000" w:rsidRPr="00B057A4" w:rsidP="00B057A4">
      <w:pPr>
        <w:pStyle w:val="Heading1"/>
      </w:pPr>
      <w:bookmarkStart w:id="8" w:name="O_590195"/>
      <w:bookmarkEnd w:id="8"/>
      <w:r w:rsidRPr="00B057A4">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CF4C08">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rPr>
                <w:rStyle w:val="SpecialBold"/>
              </w:rPr>
              <w:t>PERFORMANCE CRITERIA</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1</w:t>
            </w:r>
          </w:p>
        </w:tc>
        <w:tc>
          <w:tcPr>
            <w:tcW w:w="1728" w:type="dxa"/>
            <w:vMerge w:val="restart"/>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Prepare to recover refrigerants, pressure and leak test, evacuate and charge refrigeration appliance.</w:t>
            </w: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1.1</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 xml:space="preserve">OHS procedures for a given work area are identified, identified, obtained and understood </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1.2</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Established OHS risk control measures and procedures are followed in preparation for the work.</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1.3</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Safety hazards which have not previously been identified are noted and established risk control measures are implemented.</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1.4</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The nature and location of the work is determined from documentation or appropriate person(s) to establish the scope of work to be undertaken.</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1.5</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The work is appropriately sequenced in accordance with job schedule</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1.6</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Appropriate personnel are consu</w:t>
            </w:r>
            <w:r w:rsidRPr="00B057A4">
              <w:t>lted to ensure the work is coordinated effectively with others involved on the work site</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1.7</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Refrigerants, lubricants and cleaning materials needed for the work are obtained in accordance with established procedures and checked against job requirements</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1.8</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Tools, equipment and testing devices needed to carry out the work are obtained in accordance with established procedures and checked for correct operation and safety</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1.9</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Preparatory work is checked to ensure no damage has occurred and complies with requirements</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2</w:t>
            </w:r>
          </w:p>
        </w:tc>
        <w:tc>
          <w:tcPr>
            <w:tcW w:w="1728" w:type="dxa"/>
            <w:vMerge w:val="restart"/>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Recover refrigerants, pressure and leak test, evacuate and charge refrigeration appliance.</w:t>
            </w: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2.1</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OHS risk control measures and procedures for carrying out the work</w:t>
            </w:r>
            <w:r w:rsidRPr="00B057A4">
              <w:t xml:space="preserve"> are followed.</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2.2</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Checks are carried out to ensure the system or component parts are isolated, when necessary, in strict accordance with OHS requirements and procedures</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2.3</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Circuits/machines/plant a</w:t>
            </w:r>
            <w:r w:rsidRPr="00B057A4">
              <w:t>re checked as being electrically isolated where necessary in strict accordance OHS requirements and procedures</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2.4</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Refrigerants are removed from a appliance safely into suitably labelled containers in accordance with regulatory requirements and industry</w:t>
            </w:r>
            <w:r w:rsidRPr="00B057A4">
              <w:t xml:space="preserve"> practices.</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2.5</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Precautions are taken to prevent damage to components while pressure testing the appliance.</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2.6</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Pressure testing is conducted using dry nitrogen at a pressure relative to the refrigerant to be used.</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2.7</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Leaks are located and rectified using testing methods appropriate to the appliance under test and in accordance with industry practices.</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2.8</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 xml:space="preserve">Appliances are evacuated to the required level and cleaned the appliance of all moisture and other containments </w:t>
            </w:r>
            <w:r w:rsidRPr="00B057A4">
              <w:t xml:space="preserve">in accordance with industry practices. </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2.9</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A 'Drop test' is used to prove effectiveness of the evacuation in accordance with industry practice using an appropriate electronic vacuum gauge.</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2.10</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Components lubricants are checked and maintained in accordance with manufacturer's requirements.</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2.11</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Appliances are charged with the appropriate refrigerant in accordance with manufacturer's requirements and industry practices.</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2.12</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Problematic situ</w:t>
            </w:r>
            <w:r w:rsidRPr="00B057A4">
              <w:t>ations that arise during the work are dealt with in an appropriate manner.</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2.13</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 xml:space="preserve">Appliances are pressure and leak tested, evacuated and charged efficiently without waste of materials or damage to apparatus and the surrounding environment or services and </w:t>
            </w:r>
            <w:r w:rsidRPr="00B057A4">
              <w:t>using sustainable energy practices.</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3</w:t>
            </w:r>
          </w:p>
        </w:tc>
        <w:tc>
          <w:tcPr>
            <w:tcW w:w="1728" w:type="dxa"/>
            <w:vMerge w:val="restart"/>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 xml:space="preserve">Complete and report </w:t>
            </w:r>
            <w:r w:rsidRPr="00B057A4">
              <w:t>refrigerants recovery, pressure and leak test and evacuate and charge work</w:t>
            </w: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3.1</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OHS work completion risk control measures and procedures are followed.</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3.2</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 xml:space="preserve">Work site and equipment is cleaned and made safe in accordance with established procedures. </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3.3</w:t>
            </w:r>
          </w:p>
        </w:tc>
        <w:tc>
          <w:tcPr>
            <w:tcW w:w="53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Contaminated refrigerant is dealt with in accordance with legislative/regulatory requirements.</w:t>
            </w:r>
          </w:p>
        </w:tc>
      </w:tr>
      <w:tr w:rsidTr="00CF4C0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3.4</w:t>
            </w:r>
          </w:p>
        </w:tc>
        <w:tc>
          <w:tcPr>
            <w:tcW w:w="5340"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t>Completion of the work is documented and an appropriate person or persons notified in accordance with established procedures</w:t>
            </w:r>
          </w:p>
        </w:tc>
      </w:tr>
    </w:tbl>
    <w:p w:rsidR="00CF4C08" w:rsidP="00B057A4">
      <w:pPr>
        <w:pStyle w:val="BodyText"/>
      </w:pPr>
    </w:p>
    <w:p w:rsidR="00CF4C08" w:rsidP="00B057A4">
      <w:pPr>
        <w:pStyle w:val="BodyText"/>
      </w:pPr>
    </w:p>
    <w:p w:rsidR="00000000" w:rsidRPr="00B057A4" w:rsidP="00B057A4">
      <w:pPr>
        <w:pStyle w:val="Heading1"/>
      </w:pPr>
      <w:bookmarkStart w:id="9" w:name="O_590194"/>
      <w:bookmarkEnd w:id="9"/>
      <w:r w:rsidRPr="00B057A4">
        <w:t>Required Skills and Knowledge</w:t>
      </w:r>
    </w:p>
    <w:tbl>
      <w:tblPr>
        <w:tblW w:w="0" w:type="auto"/>
        <w:tblLayout w:type="fixed"/>
        <w:tblCellMar>
          <w:left w:w="62" w:type="dxa"/>
          <w:right w:w="62" w:type="dxa"/>
        </w:tblCellMar>
        <w:tblLook w:val="0000"/>
      </w:tblPr>
      <w:tblGrid>
        <w:gridCol w:w="8508"/>
      </w:tblGrid>
      <w:tr w:rsidTr="00CF4C08">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rPr>
                <w:rStyle w:val="SpecialBold"/>
              </w:rPr>
              <w:t>REQUIRED SKILLS AND KNOWLEDGE</w:t>
            </w:r>
          </w:p>
        </w:tc>
      </w:tr>
      <w:tr w:rsidTr="00CF4C0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rPr>
                <w:rStyle w:val="SpecialBold"/>
              </w:rPr>
              <w:t>7)</w:t>
            </w:r>
            <w:r w:rsidRPr="00B057A4">
              <w:t xml:space="preserve"> This describes the essential skills and knowled</w:t>
            </w:r>
            <w:r w:rsidRPr="00B057A4">
              <w:t>ge and their level, required for this unit.</w:t>
            </w:r>
          </w:p>
        </w:tc>
      </w:tr>
      <w:tr w:rsidTr="00CF4C0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t xml:space="preserve">Evidence shall show that knowledge has been acquired of safe working practices and recovering, pressure and leak testing, evacuating and charging refrigerants  appliances. </w:t>
            </w:r>
          </w:p>
          <w:p w:rsidR="00000000" w:rsidRPr="00B057A4" w:rsidP="00B057A4">
            <w:pPr>
              <w:pStyle w:val="BodyText"/>
            </w:pPr>
            <w:r w:rsidRPr="00B057A4">
              <w:t>All knowledge and skills detailed in this unit should be contextualised to current industry practices and technologies.</w:t>
            </w:r>
          </w:p>
          <w:p w:rsidR="00000000" w:rsidRPr="00B057A4" w:rsidP="00B057A4">
            <w:pPr>
              <w:pStyle w:val="BodyText"/>
            </w:pPr>
            <w:r w:rsidRPr="00B057A4">
              <w:rPr>
                <w:rStyle w:val="SpecialBold"/>
              </w:rPr>
              <w:t>KS01-EJ162A                      Appliance Refrigerants and lubricants</w:t>
            </w:r>
          </w:p>
          <w:p w:rsidR="00000000" w:rsidRPr="00B057A4" w:rsidP="00B057A4">
            <w:pPr>
              <w:pStyle w:val="BodyText"/>
            </w:pPr>
            <w:r w:rsidRPr="00B057A4">
              <w:t>Evidence shall show an understanding of refrigerants and lubrican</w:t>
            </w:r>
            <w:r w:rsidRPr="00B057A4">
              <w:t>ts used in self contained appliances, applying safe working practices and relevant Standards, Codes and Regulations to an extent indicated by the following aspects:</w:t>
            </w:r>
          </w:p>
          <w:p w:rsidR="00000000" w:rsidRPr="00B057A4" w:rsidP="00B057A4">
            <w:pPr>
              <w:pStyle w:val="BodyText"/>
            </w:pPr>
            <w:r w:rsidRPr="00B057A4">
              <w:t>T1</w:t>
            </w:r>
            <w:r w:rsidRPr="00B057A4">
              <w:tab/>
              <w:t>Introduction to refrigerants</w:t>
            </w:r>
          </w:p>
          <w:p w:rsidR="00000000" w:rsidRPr="00B057A4" w:rsidP="00B057A4">
            <w:pPr>
              <w:pStyle w:val="ListBullet"/>
            </w:pPr>
            <w:r w:rsidRPr="00B057A4">
              <w:t>Purpose of refrigerant</w:t>
            </w:r>
          </w:p>
          <w:p w:rsidR="00000000" w:rsidRPr="00B057A4" w:rsidP="00B057A4">
            <w:pPr>
              <w:pStyle w:val="ListBullet"/>
            </w:pPr>
            <w:r w:rsidRPr="00B057A4">
              <w:t>Ideal properties</w:t>
            </w:r>
          </w:p>
          <w:p w:rsidR="00000000" w:rsidRPr="00B057A4" w:rsidP="00B057A4">
            <w:pPr>
              <w:pStyle w:val="ListBullet"/>
            </w:pPr>
            <w:r w:rsidRPr="00B057A4">
              <w:t xml:space="preserve">Pure, azeotropic, </w:t>
            </w:r>
            <w:r w:rsidRPr="00B057A4">
              <w:t>zeotropic and blend refrigerants</w:t>
            </w:r>
          </w:p>
          <w:p w:rsidR="00000000" w:rsidRPr="00B057A4" w:rsidP="00B057A4">
            <w:pPr>
              <w:pStyle w:val="ListBullet"/>
            </w:pPr>
            <w:r w:rsidRPr="00B057A4">
              <w:t>General safety requirements and personal protection equipment</w:t>
            </w:r>
          </w:p>
          <w:p w:rsidR="00000000" w:rsidRPr="00B057A4" w:rsidP="00B057A4">
            <w:pPr>
              <w:pStyle w:val="BodyText"/>
            </w:pPr>
            <w:r w:rsidRPr="00B057A4">
              <w:t>T2</w:t>
            </w:r>
            <w:r w:rsidRPr="00B057A4">
              <w:tab/>
              <w:t>Relevant Acts,  Regulations, Codes and Standards</w:t>
            </w:r>
          </w:p>
          <w:p w:rsidR="00000000" w:rsidRPr="00B057A4" w:rsidP="00B057A4">
            <w:pPr>
              <w:pStyle w:val="ListBullet"/>
            </w:pPr>
            <w:r w:rsidRPr="00B057A4">
              <w:t>The ozone layer (function, ozone depleting substances)</w:t>
            </w:r>
          </w:p>
          <w:p w:rsidR="00000000" w:rsidRPr="00B057A4" w:rsidP="00B057A4">
            <w:pPr>
              <w:pStyle w:val="ListBullet"/>
            </w:pPr>
            <w:r w:rsidRPr="00B057A4">
              <w:t>The ozone protection act and regulation</w:t>
            </w:r>
          </w:p>
          <w:p w:rsidR="00000000" w:rsidRPr="00B057A4" w:rsidP="00B057A4">
            <w:pPr>
              <w:pStyle w:val="ListBullet"/>
            </w:pPr>
            <w:r w:rsidRPr="00B057A4">
              <w:t>State and fed</w:t>
            </w:r>
            <w:r w:rsidRPr="00B057A4">
              <w:t>eral agencies (Dept of the environment, water, heritage and the arts; Dept of climate change; Australian Refrigeration Council Ltd etc)</w:t>
            </w:r>
          </w:p>
          <w:p w:rsidR="00000000" w:rsidRPr="00B057A4" w:rsidP="00B057A4">
            <w:pPr>
              <w:pStyle w:val="ListBullet"/>
            </w:pPr>
            <w:r w:rsidRPr="00B057A4">
              <w:t>State and federal licensing requirements</w:t>
            </w:r>
          </w:p>
          <w:p w:rsidR="00000000" w:rsidRPr="00B057A4" w:rsidP="00B057A4">
            <w:pPr>
              <w:pStyle w:val="ListBullet"/>
            </w:pPr>
            <w:r w:rsidRPr="00B057A4">
              <w:t xml:space="preserve">Refrigerant handling code of practice </w:t>
            </w:r>
          </w:p>
          <w:p w:rsidR="00000000" w:rsidRPr="00B057A4" w:rsidP="00B057A4">
            <w:pPr>
              <w:pStyle w:val="ListBullet"/>
            </w:pPr>
            <w:r w:rsidRPr="00B057A4">
              <w:t xml:space="preserve">Relevant Standards </w:t>
            </w:r>
          </w:p>
          <w:p w:rsidR="00000000" w:rsidRPr="00B057A4" w:rsidP="00B057A4">
            <w:pPr>
              <w:pStyle w:val="ListBullet2"/>
            </w:pPr>
            <w:r w:rsidRPr="00B057A4">
              <w:t>Standards philosophy and format</w:t>
            </w:r>
          </w:p>
          <w:p w:rsidR="00000000" w:rsidRPr="00B057A4" w:rsidP="00B057A4">
            <w:pPr>
              <w:pStyle w:val="ListBullet2"/>
            </w:pPr>
            <w:r w:rsidRPr="00B057A4">
              <w:t>How to read and apply a standard</w:t>
            </w:r>
          </w:p>
          <w:p w:rsidR="00000000" w:rsidRPr="00B057A4" w:rsidP="00B057A4">
            <w:pPr>
              <w:pStyle w:val="ListBullet"/>
            </w:pPr>
            <w:r w:rsidRPr="00B057A4">
              <w:t>Equipment manufactures specifications</w:t>
            </w:r>
          </w:p>
          <w:p w:rsidR="00000000" w:rsidRPr="00B057A4" w:rsidP="00B057A4">
            <w:pPr>
              <w:pStyle w:val="BodyText"/>
            </w:pPr>
            <w:r w:rsidRPr="00B057A4">
              <w:t>T3</w:t>
            </w:r>
            <w:r w:rsidRPr="00B057A4">
              <w:tab/>
              <w:t>Refrigerant properties</w:t>
            </w:r>
          </w:p>
          <w:p w:rsidR="00000000" w:rsidRPr="00B057A4" w:rsidP="00B057A4">
            <w:pPr>
              <w:pStyle w:val="ListBullet"/>
            </w:pPr>
            <w:r w:rsidRPr="00B057A4">
              <w:t xml:space="preserve">Commonly used types used in appliances, including CFC, HCFC, HFC, high pressure and natural refrigerants </w:t>
            </w:r>
          </w:p>
          <w:p w:rsidR="00000000" w:rsidRPr="00B057A4" w:rsidP="00B057A4">
            <w:pPr>
              <w:pStyle w:val="ListBullet"/>
            </w:pPr>
            <w:r w:rsidRPr="00B057A4">
              <w:t>Terms (blend, azeot</w:t>
            </w:r>
            <w:r w:rsidRPr="00B057A4">
              <w:t>rope, zeotrope, glide, CFC, HCFC, HFC, HC, bubble point, dew point, critical point, ODP, GWP etc)</w:t>
            </w:r>
          </w:p>
          <w:p w:rsidR="00000000" w:rsidRPr="00B057A4" w:rsidP="00B057A4">
            <w:pPr>
              <w:pStyle w:val="ListBullet"/>
            </w:pPr>
            <w:r w:rsidRPr="00B057A4">
              <w:t>Typical properties and applications of the current refrigerants used in appliances (boiling point, glide, composition (components), comparative latent heat pe</w:t>
            </w:r>
            <w:r w:rsidRPr="00B057A4">
              <w:t>rformance etc)</w:t>
            </w:r>
          </w:p>
          <w:p w:rsidR="00000000" w:rsidRPr="00B057A4" w:rsidP="00B057A4">
            <w:pPr>
              <w:pStyle w:val="BodyText"/>
            </w:pPr>
            <w:r w:rsidRPr="00B057A4">
              <w:t>T4</w:t>
            </w:r>
            <w:r w:rsidRPr="00B057A4">
              <w:tab/>
              <w:t>Safe handling of refrigerants</w:t>
            </w:r>
          </w:p>
          <w:p w:rsidR="00000000" w:rsidRPr="00B057A4" w:rsidP="00B057A4">
            <w:pPr>
              <w:pStyle w:val="ListBullet"/>
            </w:pPr>
            <w:r w:rsidRPr="00B057A4">
              <w:t>Refrigerant identification and the numbering system (AS 1677 part 1 sect 3)</w:t>
            </w:r>
          </w:p>
          <w:p w:rsidR="00000000" w:rsidRPr="00B057A4" w:rsidP="00B057A4">
            <w:pPr>
              <w:pStyle w:val="ListBullet"/>
            </w:pPr>
            <w:r w:rsidRPr="00B057A4">
              <w:t>System refrigerant identification (labeling requirements, Code of Practice)</w:t>
            </w:r>
          </w:p>
          <w:p w:rsidR="00000000" w:rsidRPr="00B057A4" w:rsidP="00B057A4">
            <w:pPr>
              <w:pStyle w:val="ListBullet"/>
            </w:pPr>
            <w:r w:rsidRPr="00B057A4">
              <w:t>Typical hazards (classification groups - AS 1677 part 1</w:t>
            </w:r>
            <w:r w:rsidRPr="00B057A4">
              <w:t xml:space="preserve"> sect 2 and handling precautions - inhalation, skin contact, cardiac sensitization, decomposition, reaction with moisture etc)</w:t>
            </w:r>
          </w:p>
          <w:p w:rsidR="00000000" w:rsidRPr="00B057A4" w:rsidP="00B057A4">
            <w:pPr>
              <w:pStyle w:val="ListBullet"/>
            </w:pPr>
            <w:r w:rsidRPr="00B057A4">
              <w:t>Personal safety (MSDS - all common refrigerants plus phosgene, recommended PPE)</w:t>
            </w:r>
          </w:p>
          <w:p w:rsidR="00000000" w:rsidRPr="00B057A4" w:rsidP="00B057A4">
            <w:pPr>
              <w:pStyle w:val="ListBullet"/>
            </w:pPr>
            <w:r w:rsidRPr="00B057A4">
              <w:t>Cylinders (cylinder terminol</w:t>
            </w:r>
            <w:r w:rsidRPr="00B057A4">
              <w:t>ogy (WC, tare etc), transporting safely)</w:t>
            </w:r>
          </w:p>
          <w:p w:rsidR="00000000" w:rsidRPr="00B057A4" w:rsidP="00B057A4">
            <w:pPr>
              <w:pStyle w:val="ListBullet"/>
            </w:pPr>
            <w:r w:rsidRPr="00B057A4">
              <w:t>Safe Filling (density and water capacity methods)</w:t>
            </w:r>
          </w:p>
          <w:p w:rsidR="00000000" w:rsidRPr="00B057A4" w:rsidP="00B057A4">
            <w:pPr>
              <w:pStyle w:val="ListBullet"/>
            </w:pPr>
            <w:r w:rsidRPr="00B057A4">
              <w:t>Decanting methods (pumping, temperature differential etc)</w:t>
            </w:r>
          </w:p>
          <w:p w:rsidR="00000000" w:rsidRPr="00B057A4" w:rsidP="00B057A4">
            <w:pPr>
              <w:pStyle w:val="ListBullet"/>
            </w:pPr>
            <w:r w:rsidRPr="00B057A4">
              <w:t>Recovery cylinders and their safe filling.</w:t>
            </w:r>
          </w:p>
          <w:p w:rsidR="00000000" w:rsidRPr="00B057A4" w:rsidP="00B057A4">
            <w:pPr>
              <w:pStyle w:val="ListBullet"/>
            </w:pPr>
            <w:r w:rsidRPr="00B057A4">
              <w:t>Disposal of recovered refrigerants (including RRA)</w:t>
            </w:r>
          </w:p>
          <w:p w:rsidR="00000000" w:rsidRPr="00B057A4" w:rsidP="00B057A4">
            <w:pPr>
              <w:pStyle w:val="BodyText"/>
            </w:pPr>
            <w:r w:rsidRPr="00B057A4">
              <w:t>T5</w:t>
            </w:r>
            <w:r w:rsidRPr="00B057A4">
              <w:tab/>
              <w:t>Refrigerat</w:t>
            </w:r>
            <w:r w:rsidRPr="00B057A4">
              <w:t>ion oil</w:t>
            </w:r>
          </w:p>
          <w:p w:rsidR="00000000" w:rsidRPr="00B057A4" w:rsidP="00B057A4">
            <w:pPr>
              <w:pStyle w:val="ListBullet"/>
            </w:pPr>
            <w:r w:rsidRPr="00B057A4">
              <w:t>Types (mineral, POE, AB etc) used in appliances and their applications</w:t>
            </w:r>
          </w:p>
          <w:p w:rsidR="00000000" w:rsidRPr="00B057A4" w:rsidP="00B057A4">
            <w:pPr>
              <w:pStyle w:val="ListBullet"/>
            </w:pPr>
            <w:r w:rsidRPr="00B057A4">
              <w:t>Basic properties (miscibility, dielectric strength, viscosity and hygroscopic abilities)</w:t>
            </w:r>
          </w:p>
          <w:p w:rsidR="00000000" w:rsidRPr="00B057A4" w:rsidP="00B057A4">
            <w:pPr>
              <w:pStyle w:val="ListBullet"/>
            </w:pPr>
            <w:r w:rsidRPr="00B057A4">
              <w:t>Typical issues regarding compatibility (neoprene and POE, POE and mineral etc</w:t>
            </w:r>
          </w:p>
          <w:p w:rsidR="00000000" w:rsidRPr="00B057A4" w:rsidP="00B057A4">
            <w:pPr>
              <w:pStyle w:val="ListBullet"/>
            </w:pPr>
            <w:r w:rsidRPr="00B057A4">
              <w:t>Safe hand</w:t>
            </w:r>
            <w:r w:rsidRPr="00B057A4">
              <w:t>ling (MSDS - POE's, Mineral, AB's - Residual acid's in used oils</w:t>
            </w:r>
          </w:p>
          <w:p w:rsidR="00000000" w:rsidRPr="00B057A4" w:rsidP="00B057A4">
            <w:pPr>
              <w:pStyle w:val="ListBullet"/>
            </w:pPr>
            <w:r w:rsidRPr="00B057A4">
              <w:t>Applications for the various compressor lubricants used in the trade</w:t>
            </w:r>
          </w:p>
          <w:p w:rsidR="00000000" w:rsidRPr="00B057A4" w:rsidP="00B057A4">
            <w:pPr>
              <w:pStyle w:val="BodyText"/>
            </w:pPr>
            <w:r w:rsidRPr="00B057A4">
              <w:t>T6</w:t>
            </w:r>
            <w:r w:rsidRPr="00B057A4">
              <w:tab/>
              <w:t>Recovery and reclaim procedures</w:t>
            </w:r>
          </w:p>
          <w:p w:rsidR="00000000" w:rsidRPr="00B057A4" w:rsidP="00B057A4">
            <w:pPr>
              <w:pStyle w:val="ListBullet"/>
            </w:pPr>
            <w:r w:rsidRPr="00B057A4">
              <w:t>Refrigerant recovery systems and procedures</w:t>
            </w:r>
          </w:p>
          <w:p w:rsidR="00000000" w:rsidRPr="00B057A4" w:rsidP="00B057A4">
            <w:pPr>
              <w:pStyle w:val="ListBullet2"/>
            </w:pPr>
            <w:r w:rsidRPr="00B057A4">
              <w:t>Vapour</w:t>
            </w:r>
          </w:p>
          <w:p w:rsidR="00000000" w:rsidRPr="00B057A4" w:rsidP="00B057A4">
            <w:pPr>
              <w:pStyle w:val="ListBullet2"/>
            </w:pPr>
            <w:r w:rsidRPr="00B057A4">
              <w:t xml:space="preserve">Liquid </w:t>
            </w:r>
          </w:p>
          <w:p w:rsidR="00000000" w:rsidRPr="00B057A4" w:rsidP="00B057A4">
            <w:pPr>
              <w:pStyle w:val="ListBullet"/>
            </w:pPr>
            <w:r w:rsidRPr="00B057A4">
              <w:t xml:space="preserve">Recovery cylinders </w:t>
            </w:r>
          </w:p>
          <w:p w:rsidR="00000000" w:rsidRPr="00B057A4" w:rsidP="00B057A4">
            <w:pPr>
              <w:pStyle w:val="ListBullet"/>
            </w:pPr>
            <w:r w:rsidRPr="00B057A4">
              <w:t xml:space="preserve">Disposing of recovered refrigerants </w:t>
            </w:r>
          </w:p>
          <w:p w:rsidR="00000000" w:rsidRPr="00B057A4" w:rsidP="00B057A4">
            <w:pPr>
              <w:pStyle w:val="ListBullet"/>
            </w:pPr>
            <w:r w:rsidRPr="00B057A4">
              <w:t>Safety and general issues when recovering refrigerant</w:t>
            </w:r>
          </w:p>
          <w:p w:rsidR="00000000" w:rsidRPr="00B057A4" w:rsidP="00B057A4">
            <w:pPr>
              <w:pStyle w:val="BodyText"/>
            </w:pPr>
            <w:r w:rsidRPr="00B057A4">
              <w:t>T7</w:t>
            </w:r>
            <w:r w:rsidRPr="00B057A4">
              <w:tab/>
              <w:t xml:space="preserve">Pressure testing </w:t>
            </w:r>
          </w:p>
          <w:p w:rsidR="00000000" w:rsidRPr="00B057A4" w:rsidP="00B057A4">
            <w:pPr>
              <w:pStyle w:val="ListBullet"/>
            </w:pPr>
            <w:r w:rsidRPr="00B057A4">
              <w:t>Pressure testing</w:t>
            </w:r>
          </w:p>
          <w:p w:rsidR="00000000" w:rsidRPr="00B057A4" w:rsidP="00B057A4">
            <w:pPr>
              <w:pStyle w:val="ListBullet"/>
            </w:pPr>
            <w:r w:rsidRPr="00B057A4">
              <w:t xml:space="preserve">Pressure testing procedures and test pressures per Standards, </w:t>
            </w:r>
          </w:p>
          <w:p w:rsidR="00000000" w:rsidRPr="00B057A4" w:rsidP="00B057A4">
            <w:pPr>
              <w:pStyle w:val="ListBullet"/>
            </w:pPr>
            <w:r w:rsidRPr="00B057A4">
              <w:t>Codes, Regulations and manufacturers requirements</w:t>
            </w:r>
          </w:p>
          <w:p w:rsidR="00000000" w:rsidRPr="00B057A4" w:rsidP="00B057A4">
            <w:pPr>
              <w:pStyle w:val="ListBullet"/>
            </w:pPr>
            <w:r w:rsidRPr="00B057A4">
              <w:t>Safety and ge</w:t>
            </w:r>
            <w:r w:rsidRPr="00B057A4">
              <w:t>neral issues when pressure testing refrigeration systems</w:t>
            </w:r>
          </w:p>
          <w:p w:rsidR="00000000" w:rsidRPr="00B057A4" w:rsidP="00B057A4">
            <w:pPr>
              <w:pStyle w:val="BodyText"/>
            </w:pPr>
            <w:r w:rsidRPr="00B057A4">
              <w:t>T8</w:t>
            </w:r>
            <w:r w:rsidRPr="00B057A4">
              <w:tab/>
              <w:t>Leak detection</w:t>
            </w:r>
          </w:p>
          <w:p w:rsidR="00000000" w:rsidRPr="00B057A4" w:rsidP="00B057A4">
            <w:pPr>
              <w:pStyle w:val="ListBullet"/>
            </w:pPr>
            <w:r w:rsidRPr="00B057A4">
              <w:t>Leak detector types and applications (electronic, halide, bubble, ultra violet,  etc)</w:t>
            </w:r>
          </w:p>
          <w:p w:rsidR="00000000" w:rsidRPr="00B057A4" w:rsidP="00B057A4">
            <w:pPr>
              <w:pStyle w:val="ListBullet"/>
            </w:pPr>
            <w:r w:rsidRPr="00B057A4">
              <w:t>Hazards and related safe working practices (working around rotating machinery, open flames, ul</w:t>
            </w:r>
            <w:r w:rsidRPr="00B057A4">
              <w:t>tra violet light etc)</w:t>
            </w:r>
          </w:p>
          <w:p w:rsidR="00000000" w:rsidRPr="00B057A4" w:rsidP="00B057A4">
            <w:pPr>
              <w:pStyle w:val="ListBullet"/>
            </w:pPr>
            <w:r w:rsidRPr="00B057A4">
              <w:t>Care and maintenance (delicate electronic equipment, changing sensor tip filters, changing gas cartridges etc)</w:t>
            </w:r>
          </w:p>
          <w:p w:rsidR="00000000" w:rsidRPr="00B057A4" w:rsidP="00B057A4">
            <w:pPr>
              <w:pStyle w:val="ListBullet"/>
            </w:pPr>
            <w:r w:rsidRPr="00B057A4">
              <w:t>Calibration (auto calibrating , send to a specialist etc)</w:t>
            </w:r>
          </w:p>
          <w:p w:rsidR="00000000" w:rsidRPr="00B057A4" w:rsidP="00B057A4">
            <w:pPr>
              <w:pStyle w:val="ListBullet"/>
            </w:pPr>
            <w:r w:rsidRPr="00B057A4">
              <w:t>Leak testing methods</w:t>
            </w:r>
          </w:p>
          <w:p w:rsidR="00000000" w:rsidRPr="00B057A4" w:rsidP="00B057A4">
            <w:pPr>
              <w:pStyle w:val="BodyText"/>
            </w:pPr>
            <w:r w:rsidRPr="00B057A4">
              <w:t>T9</w:t>
            </w:r>
            <w:r w:rsidRPr="00B057A4">
              <w:tab/>
              <w:t xml:space="preserve">Evacuation and dehydration </w:t>
            </w:r>
          </w:p>
          <w:p w:rsidR="00000000" w:rsidRPr="00B057A4" w:rsidP="00B057A4">
            <w:pPr>
              <w:pStyle w:val="ListBullet"/>
            </w:pPr>
            <w:r w:rsidRPr="00B057A4">
              <w:t>Evacuation and dehydration</w:t>
            </w:r>
          </w:p>
          <w:p w:rsidR="00000000" w:rsidRPr="00B057A4" w:rsidP="00B057A4">
            <w:pPr>
              <w:pStyle w:val="ListBullet2"/>
            </w:pPr>
            <w:r w:rsidRPr="00B057A4">
              <w:t>Deep vacuum methods</w:t>
            </w:r>
          </w:p>
          <w:p w:rsidR="00000000" w:rsidRPr="00B057A4" w:rsidP="00B057A4">
            <w:pPr>
              <w:pStyle w:val="ListBullet2"/>
            </w:pPr>
            <w:r w:rsidRPr="00B057A4">
              <w:t>Triple evacuation</w:t>
            </w:r>
          </w:p>
          <w:p w:rsidR="00000000" w:rsidRPr="00B057A4" w:rsidP="00B057A4">
            <w:pPr>
              <w:pStyle w:val="ListBullet"/>
            </w:pPr>
            <w:r w:rsidRPr="00B057A4">
              <w:t>Vacuum Measurement</w:t>
            </w:r>
          </w:p>
          <w:p w:rsidR="00000000" w:rsidRPr="00B057A4" w:rsidP="00B057A4">
            <w:pPr>
              <w:pStyle w:val="ListBullet2"/>
            </w:pPr>
            <w:r w:rsidRPr="00B057A4">
              <w:t>Instruments</w:t>
            </w:r>
          </w:p>
          <w:p w:rsidR="00000000" w:rsidRPr="00B057A4" w:rsidP="00B057A4">
            <w:pPr>
              <w:pStyle w:val="ListBullet2"/>
            </w:pPr>
            <w:r w:rsidRPr="00B057A4">
              <w:t>Drop test</w:t>
            </w:r>
          </w:p>
          <w:p w:rsidR="00000000" w:rsidRPr="00B057A4" w:rsidP="00B057A4">
            <w:pPr>
              <w:pStyle w:val="ListBullet"/>
            </w:pPr>
            <w:r w:rsidRPr="00B057A4">
              <w:t>Vacuum Pumps</w:t>
            </w:r>
          </w:p>
          <w:p w:rsidR="00000000" w:rsidRPr="00B057A4" w:rsidP="00B057A4">
            <w:pPr>
              <w:pStyle w:val="ListBullet2"/>
            </w:pPr>
            <w:r w:rsidRPr="00B057A4">
              <w:t>Types, size and applications</w:t>
            </w:r>
          </w:p>
          <w:p w:rsidR="00000000" w:rsidRPr="00B057A4" w:rsidP="00B057A4">
            <w:pPr>
              <w:pStyle w:val="ListBullet2"/>
            </w:pPr>
            <w:r w:rsidRPr="00B057A4">
              <w:t>Use and connections</w:t>
            </w:r>
          </w:p>
          <w:p w:rsidR="00000000" w:rsidRPr="00B057A4" w:rsidP="00B057A4">
            <w:pPr>
              <w:pStyle w:val="ListBullet2"/>
            </w:pPr>
            <w:r w:rsidRPr="00B057A4">
              <w:t>Care and maintenance</w:t>
            </w:r>
          </w:p>
          <w:p w:rsidR="00000000" w:rsidRPr="00B057A4" w:rsidP="00B057A4">
            <w:pPr>
              <w:pStyle w:val="ListBullet"/>
            </w:pPr>
            <w:r w:rsidRPr="00B057A4">
              <w:t>Safety and general issues when evacuating refrigeration systems</w:t>
            </w:r>
          </w:p>
          <w:p w:rsidR="00000000" w:rsidRPr="00B057A4" w:rsidP="00B057A4">
            <w:pPr>
              <w:pStyle w:val="BodyText"/>
            </w:pPr>
            <w:r w:rsidRPr="00B057A4">
              <w:t>T10</w:t>
            </w:r>
            <w:r w:rsidRPr="00B057A4">
              <w:tab/>
              <w:t xml:space="preserve">Refrigerant and oil charging </w:t>
            </w:r>
          </w:p>
          <w:p w:rsidR="00000000" w:rsidRPr="00B057A4" w:rsidP="00B057A4">
            <w:pPr>
              <w:pStyle w:val="ListBullet"/>
            </w:pPr>
            <w:r w:rsidRPr="00B057A4">
              <w:t>Refrigerant cylinders, storage and safe handling</w:t>
            </w:r>
          </w:p>
          <w:p w:rsidR="00000000" w:rsidRPr="00B057A4" w:rsidP="00B057A4">
            <w:pPr>
              <w:pStyle w:val="ListBullet"/>
            </w:pPr>
            <w:r w:rsidRPr="00B057A4">
              <w:t>Refrigerant charging methods</w:t>
            </w:r>
          </w:p>
          <w:p w:rsidR="00000000" w:rsidRPr="00B057A4" w:rsidP="00B057A4">
            <w:pPr>
              <w:pStyle w:val="ListBullet2"/>
            </w:pPr>
            <w:r w:rsidRPr="00B057A4">
              <w:t>Vapour</w:t>
            </w:r>
          </w:p>
          <w:p w:rsidR="00000000" w:rsidRPr="00B057A4" w:rsidP="00B057A4">
            <w:pPr>
              <w:pStyle w:val="ListBullet2"/>
            </w:pPr>
            <w:r w:rsidRPr="00B057A4">
              <w:t>Liquid</w:t>
            </w:r>
          </w:p>
          <w:p w:rsidR="00000000" w:rsidRPr="00B057A4" w:rsidP="00B057A4">
            <w:pPr>
              <w:pStyle w:val="ListBullet"/>
            </w:pPr>
            <w:r w:rsidRPr="00B057A4">
              <w:t>Safety and general issues when charging refrigeration systems i</w:t>
            </w:r>
            <w:r w:rsidRPr="00B057A4">
              <w:t>ncluding personal protection equipment</w:t>
            </w:r>
          </w:p>
          <w:p w:rsidR="00000000" w:rsidRPr="00B057A4" w:rsidP="00B057A4">
            <w:pPr>
              <w:pStyle w:val="ListBullet"/>
            </w:pPr>
            <w:r w:rsidRPr="00B057A4">
              <w:t>Refrigerant oil removal and addition tools, procedures and safety</w:t>
            </w:r>
          </w:p>
          <w:p w:rsidR="00000000" w:rsidRPr="00B057A4" w:rsidP="00B057A4">
            <w:pPr>
              <w:pStyle w:val="BodyText"/>
            </w:pPr>
            <w:r w:rsidRPr="00B057A4">
              <w:t>T11</w:t>
            </w:r>
            <w:r w:rsidRPr="00B057A4">
              <w:tab/>
              <w:t>System contamination</w:t>
            </w:r>
          </w:p>
          <w:p w:rsidR="00000000" w:rsidRPr="00B057A4" w:rsidP="00B057A4">
            <w:pPr>
              <w:pStyle w:val="ListBullet"/>
            </w:pPr>
            <w:r w:rsidRPr="00B057A4">
              <w:t>Contaminants (Non-condensables, moisture, acids, carbon, copper etc)</w:t>
            </w:r>
          </w:p>
          <w:p w:rsidR="00000000" w:rsidRPr="00B057A4" w:rsidP="00B057A4">
            <w:pPr>
              <w:pStyle w:val="ListBullet"/>
            </w:pPr>
            <w:r w:rsidRPr="00B057A4">
              <w:t>Effects of contamination (Acid, motor burnout, o</w:t>
            </w:r>
            <w:r w:rsidRPr="00B057A4">
              <w:t xml:space="preserve">il contamination, copper plating, seizing, RMD blockage, excessive condensing temps etc) </w:t>
            </w:r>
          </w:p>
          <w:p w:rsidR="00000000" w:rsidRPr="00B057A4" w:rsidP="00B057A4">
            <w:pPr>
              <w:pStyle w:val="ListBullet"/>
            </w:pPr>
            <w:r w:rsidRPr="00B057A4">
              <w:t>Practices/procedures that cause contamination</w:t>
            </w:r>
          </w:p>
          <w:p w:rsidR="00000000" w:rsidRPr="00B057A4" w:rsidP="00B057A4">
            <w:pPr>
              <w:pStyle w:val="ListBullet"/>
            </w:pPr>
            <w:r w:rsidRPr="00B057A4">
              <w:t>Methods and components use to remove contamination</w:t>
            </w:r>
          </w:p>
          <w:p w:rsidR="00000000" w:rsidRPr="00B057A4" w:rsidP="00B057A4">
            <w:pPr>
              <w:pStyle w:val="ListBullet2"/>
            </w:pPr>
            <w:r w:rsidRPr="00B057A4">
              <w:t>Filter dryers – liquid, suction, burnout</w:t>
            </w:r>
          </w:p>
          <w:p w:rsidR="00000000" w:rsidRPr="00B057A4" w:rsidP="00B057A4">
            <w:pPr>
              <w:pStyle w:val="ListBullet2"/>
            </w:pPr>
            <w:r w:rsidRPr="00B057A4">
              <w:t>Dry nitrogen</w:t>
            </w:r>
          </w:p>
          <w:p w:rsidR="00000000" w:rsidRPr="00B057A4" w:rsidP="00B057A4">
            <w:pPr>
              <w:pStyle w:val="ListBullet2"/>
            </w:pPr>
            <w:r w:rsidRPr="00B057A4">
              <w:t>Flushing agent</w:t>
            </w:r>
            <w:r w:rsidRPr="00B057A4">
              <w:t>s</w:t>
            </w:r>
          </w:p>
          <w:p w:rsidR="00000000" w:rsidRPr="00B057A4" w:rsidP="00B057A4">
            <w:pPr>
              <w:pStyle w:val="ListBullet"/>
            </w:pPr>
            <w:r w:rsidRPr="00B057A4">
              <w:t>Evacuation</w:t>
            </w:r>
          </w:p>
          <w:p w:rsidR="00000000" w:rsidRPr="00B057A4" w:rsidP="00B057A4">
            <w:pPr>
              <w:pStyle w:val="BodyText"/>
            </w:pPr>
            <w:r w:rsidRPr="00B057A4">
              <w:t>T12</w:t>
            </w:r>
            <w:r w:rsidRPr="00B057A4">
              <w:tab/>
              <w:t xml:space="preserve">Basic refrigeration component replacement </w:t>
            </w:r>
          </w:p>
          <w:p w:rsidR="00000000" w:rsidRPr="00B057A4" w:rsidP="00B057A4">
            <w:pPr>
              <w:pStyle w:val="ListBullet"/>
            </w:pPr>
            <w:r w:rsidRPr="00B057A4">
              <w:t>Risks of working with refrigerants and rotating equipment</w:t>
            </w:r>
          </w:p>
          <w:p w:rsidR="00000000" w:rsidRPr="00B057A4" w:rsidP="00B057A4">
            <w:pPr>
              <w:pStyle w:val="ListBullet"/>
            </w:pPr>
            <w:r w:rsidRPr="00B057A4">
              <w:t>Refrigerant recovery</w:t>
            </w:r>
          </w:p>
          <w:p w:rsidR="00000000" w:rsidRPr="00B057A4" w:rsidP="00B057A4">
            <w:pPr>
              <w:pStyle w:val="ListBullet"/>
            </w:pPr>
            <w:r w:rsidRPr="00B057A4">
              <w:t>Prevention of system contamination</w:t>
            </w:r>
          </w:p>
          <w:p w:rsidR="00000000" w:rsidRPr="00B057A4" w:rsidP="00B057A4">
            <w:pPr>
              <w:pStyle w:val="ListBullet"/>
            </w:pPr>
            <w:r w:rsidRPr="00B057A4">
              <w:t>Protection of damage to surrounding equipment/ environment</w:t>
            </w:r>
          </w:p>
          <w:p w:rsidR="00000000" w:rsidRPr="00B057A4" w:rsidP="00B057A4">
            <w:pPr>
              <w:pStyle w:val="ListBullet"/>
            </w:pPr>
            <w:r w:rsidRPr="00B057A4">
              <w:t>Replace basic components on a refrigeration system, for example filter dryer.</w:t>
            </w:r>
          </w:p>
          <w:p w:rsidR="00000000" w:rsidRPr="00B057A4" w:rsidP="00B057A4">
            <w:pPr>
              <w:pStyle w:val="BodyText"/>
            </w:pPr>
            <w:r w:rsidRPr="00B057A4">
              <w:t>Pressure testing, evacuation, checking refrigerant charge, refrigerant charging and leak detection</w:t>
            </w:r>
          </w:p>
        </w:tc>
      </w:tr>
    </w:tbl>
    <w:p w:rsidR="00CF4C08" w:rsidP="00B057A4">
      <w:pPr>
        <w:pStyle w:val="BodyText"/>
      </w:pPr>
    </w:p>
    <w:p w:rsidR="00CF4C08" w:rsidP="00B057A4">
      <w:pPr>
        <w:pStyle w:val="BodyText"/>
      </w:pPr>
    </w:p>
    <w:p w:rsidR="00000000" w:rsidRPr="00B057A4" w:rsidP="00B057A4">
      <w:pPr>
        <w:pStyle w:val="Heading1"/>
      </w:pPr>
      <w:bookmarkStart w:id="10" w:name="O_590193"/>
      <w:bookmarkEnd w:id="10"/>
      <w:r w:rsidRPr="00B057A4">
        <w:t>Evidence Guide</w:t>
      </w:r>
    </w:p>
    <w:tbl>
      <w:tblPr>
        <w:tblW w:w="0" w:type="auto"/>
        <w:tblLayout w:type="fixed"/>
        <w:tblCellMar>
          <w:left w:w="62" w:type="dxa"/>
          <w:right w:w="62" w:type="dxa"/>
        </w:tblCellMar>
        <w:tblLook w:val="0000"/>
      </w:tblPr>
      <w:tblGrid>
        <w:gridCol w:w="2160"/>
        <w:gridCol w:w="288"/>
        <w:gridCol w:w="540"/>
        <w:gridCol w:w="5520"/>
      </w:tblGrid>
      <w:tr w:rsidTr="00CF4C08">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rPr>
                <w:rStyle w:val="SpecialBold"/>
              </w:rPr>
              <w:t>EVIDENCE GUIDE</w:t>
            </w:r>
          </w:p>
        </w:tc>
      </w:tr>
      <w:tr w:rsidTr="00CF4C08">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9</w:t>
            </w:r>
            <w:r w:rsidRPr="00B057A4">
              <w:t>) The evidence guide provides advice on assessment and must be read in conjunction with the Performance Criteria, Required Skills and Knowledge, the Range Statement and the Assessment Guidelines for this Training Package. .</w:t>
            </w:r>
          </w:p>
          <w:p w:rsidR="00000000" w:rsidP="00B057A4">
            <w:pPr>
              <w:pStyle w:val="BodyText"/>
              <w:rPr>
                <w:lang w:val="en-NZ"/>
              </w:rPr>
            </w:pPr>
            <w:r w:rsidRPr="00B057A4">
              <w:t>The Evidence Guide forms an inte</w:t>
            </w:r>
            <w:r w:rsidRPr="00B057A4">
              <w:t>gral part of this Unit. It must be used in conjunction with all parts of this unit and performed in accordance with the Assessment Guidelines of this Training Package.</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9</w:t>
            </w:r>
            <w:r w:rsidRPr="00B057A4">
              <w:t>.</w:t>
            </w:r>
            <w:r w:rsidRPr="00B057A4">
              <w:rPr>
                <w:rStyle w:val="SpecialBold"/>
              </w:rPr>
              <w:t>1</w:t>
            </w:r>
            <w:r w:rsidRPr="00B057A4">
              <w:t xml:space="preserve">) </w:t>
            </w:r>
          </w:p>
          <w:p w:rsidR="00000000" w:rsidRPr="00B057A4" w:rsidP="00B057A4">
            <w:pPr>
              <w:pStyle w:val="BodyText"/>
            </w:pPr>
            <w:r w:rsidRPr="00B057A4">
              <w:t>Longitudinal competency development approaches to asses</w:t>
            </w:r>
            <w:r w:rsidRPr="00B057A4">
              <w:t>sment, such as Profiling, require data to be reliably gathered in a form that can be consistently interpreted over time. This approach is best utilised in Apprenticeship programs and reduces assessment intervention. It is the industry-preferred model for a</w:t>
            </w:r>
            <w:r w:rsidRPr="00B057A4">
              <w:t>pprenticeships. However, where summative (or final) assessment is used it is to include the application of the competency in the normal work environment or, at a minimum, the application of the competency in a realistically simulated work environment. In s</w:t>
            </w:r>
            <w:r w:rsidRPr="00B057A4">
              <w:t>ome circumstances, assessment in part or full can occur outside the workplace. However, it must be in accordance with industry and regulatory policy.</w:t>
            </w:r>
          </w:p>
          <w:p w:rsidR="00000000" w:rsidRPr="00B057A4" w:rsidP="00B057A4">
            <w:pPr>
              <w:pStyle w:val="BodyText"/>
            </w:pPr>
            <w:r w:rsidRPr="00B057A4">
              <w:t>Methods chosen for a particular assessment will be influenced by various factors. These include the extent</w:t>
            </w:r>
            <w:r w:rsidRPr="00B057A4">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B057A4" w:rsidP="00B057A4">
            <w:pPr>
              <w:pStyle w:val="BodyText"/>
            </w:pPr>
            <w:r w:rsidRPr="00B057A4">
              <w:t>The critical safety natu</w:t>
            </w:r>
            <w:r w:rsidRPr="00B057A4">
              <w:t>re of working with electricity, electrical equipment, gas or any other hazardous substance/material carries risk in deeming a person competent. Sources of evidence need to be 'rich' in nature to minimise error in judgment.</w:t>
            </w:r>
          </w:p>
          <w:p w:rsidR="00000000" w:rsidP="00B057A4">
            <w:pPr>
              <w:pStyle w:val="BodyText"/>
              <w:rPr>
                <w:lang w:val="en-NZ"/>
              </w:rPr>
            </w:pPr>
            <w:r w:rsidRPr="00B057A4">
              <w:t>Activities associated with normal</w:t>
            </w:r>
            <w:r w:rsidRPr="00B057A4">
              <w:t xml:space="preserve"> everyday work influence decisions about how/how much the data gathered will contribute to its 'richness'. Some skills are more critical to safety and operational requirements while the same skills may be more or less frequently practised. These points are</w:t>
            </w:r>
            <w:r w:rsidRPr="00B057A4">
              <w:t xml:space="preserve"> raised for the assessors to consider when choosing an assessment method and developing assessment instruments. Sample assessment instruments are included for Assessors in the Assessment Guidelines of this Training Package.</w:t>
            </w:r>
          </w:p>
        </w:tc>
      </w:tr>
      <w:tr w:rsidTr="00CF4C0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 xml:space="preserve">Critical aspects of evidence required to demonstrate competency </w:t>
            </w:r>
            <w:r w:rsidRPr="00B057A4">
              <w:rPr>
                <w:rStyle w:val="SpecialBold"/>
              </w:rPr>
              <w:t>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9</w:t>
            </w:r>
            <w:r w:rsidRPr="00B057A4">
              <w:t>.</w:t>
            </w:r>
            <w:r w:rsidRPr="00B057A4">
              <w:rPr>
                <w:rStyle w:val="SpecialBold"/>
              </w:rPr>
              <w:t>2</w:t>
            </w:r>
            <w:r w:rsidRPr="00B057A4">
              <w:t xml:space="preserve">) </w:t>
            </w:r>
          </w:p>
          <w:p w:rsidR="00000000" w:rsidP="00B057A4">
            <w:pPr>
              <w:pStyle w:val="BodyText"/>
              <w:rPr>
                <w:lang w:val="en-NZ"/>
              </w:rPr>
            </w:pPr>
            <w:r w:rsidRPr="00B057A4">
              <w:t>Before the critical aspects of evidence are considered all prerequisites must be met.</w:t>
            </w:r>
          </w:p>
        </w:tc>
      </w:tr>
      <w:tr w:rsidTr="00CF4C0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t>Evidence for competence in this unit shall be considered holistically.  Each Elemen</w:t>
            </w:r>
            <w:r w:rsidRPr="00B057A4">
              <w:t>t and associated performance criteria shall be demonstrated on at least two occasions in accordance with the 'Assessment Guidelines - UEE07'.  Evidence shall also comprise:</w:t>
            </w:r>
          </w:p>
          <w:p w:rsidR="00000000" w:rsidP="00B057A4">
            <w:pPr>
              <w:pStyle w:val="ListBullet"/>
              <w:rPr>
                <w:lang w:val="en-NZ"/>
              </w:rPr>
            </w:pPr>
            <w:r w:rsidRPr="00B057A4">
              <w:t>A representative body of work performance demonstrated within the timeframes typic</w:t>
            </w:r>
            <w:r w:rsidRPr="00B057A4">
              <w:t>ally expected of the discipline, work function and industrial environment. In particular this shall incorporate evidence that shows a candidate is able to:</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B057A4" w:rsidP="00B057A4">
            <w:pPr>
              <w:pStyle w:val="ListBullet2"/>
            </w:pPr>
            <w:r w:rsidRPr="00B057A4">
              <w:t xml:space="preserve">Implement Occupational Health and Safety workplace procedures and practices including </w:t>
            </w:r>
            <w:r w:rsidRPr="00B057A4">
              <w:t>the use of risk control measures as specified in the performance criteria and range statement</w:t>
            </w:r>
          </w:p>
          <w:p w:rsidR="00000000" w:rsidRPr="00B057A4" w:rsidP="00B057A4">
            <w:pPr>
              <w:pStyle w:val="ListBullet2"/>
            </w:pPr>
            <w:r w:rsidRPr="00B057A4">
              <w:t>Apply sustainable energy principles and practices as specified in the performance criteria and range statement</w:t>
            </w:r>
          </w:p>
          <w:p w:rsidR="00000000" w:rsidRPr="00B057A4" w:rsidP="00B057A4">
            <w:pPr>
              <w:pStyle w:val="ListBullet2"/>
            </w:pPr>
            <w:r w:rsidRPr="00B057A4">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B057A4" w:rsidP="00B057A4">
            <w:pPr>
              <w:pStyle w:val="ListBullet2"/>
            </w:pPr>
            <w:r w:rsidRPr="00B057A4">
              <w:t>Demonst</w:t>
            </w:r>
            <w:r w:rsidRPr="00B057A4">
              <w:t>rate an appropriate level of skills enabling employment</w:t>
            </w:r>
          </w:p>
          <w:p w:rsidR="00000000" w:rsidP="00B057A4">
            <w:pPr>
              <w:pStyle w:val="ListBullet2"/>
              <w:rPr>
                <w:lang w:val="en-NZ"/>
              </w:rPr>
            </w:pPr>
            <w:r w:rsidRPr="00B057A4">
              <w:t>Conduct work observing the relevant Anti Discrimination legislation, regulations, polices and workplace procedures</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B057A4">
            <w:pPr>
              <w:pStyle w:val="ListBullet"/>
              <w:rPr>
                <w:lang w:val="en-NZ"/>
              </w:rPr>
            </w:pPr>
            <w:r w:rsidRPr="00B057A4">
              <w:t>Demonstrated consistent performance across a representative range of contexts fr</w:t>
            </w:r>
            <w:r w:rsidRPr="00B057A4">
              <w:t>om the prescribed items below:</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B057A4">
            <w:pPr>
              <w:pStyle w:val="ListBullet2"/>
              <w:rPr>
                <w:lang w:val="en-NZ"/>
              </w:rPr>
            </w:pPr>
            <w:r w:rsidRPr="00B057A4">
              <w:t>Recover, pressure and leak test, evacuate and charge refrigerants  appliances as described in 8) and including:</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A</w:t>
            </w:r>
          </w:p>
        </w:tc>
        <w:tc>
          <w:tcPr>
            <w:tcW w:w="552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Selecting appropriate materials and equipment</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B</w:t>
            </w:r>
          </w:p>
        </w:tc>
        <w:tc>
          <w:tcPr>
            <w:tcW w:w="552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Removing and storing refrigerant correctly</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C</w:t>
            </w:r>
          </w:p>
        </w:tc>
        <w:tc>
          <w:tcPr>
            <w:tcW w:w="552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Conducting pressure testing at the appropriate pressure level and without damaging components</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D</w:t>
            </w:r>
          </w:p>
        </w:tc>
        <w:tc>
          <w:tcPr>
            <w:tcW w:w="552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Locating and rectifying leaks</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E</w:t>
            </w:r>
          </w:p>
        </w:tc>
        <w:tc>
          <w:tcPr>
            <w:tcW w:w="552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Evacuating the system to the required level</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F</w:t>
            </w:r>
          </w:p>
        </w:tc>
        <w:tc>
          <w:tcPr>
            <w:tcW w:w="552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Evacuating the system to the required standard and using appropriate vacuum measuring instruments</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G</w:t>
            </w:r>
          </w:p>
        </w:tc>
        <w:tc>
          <w:tcPr>
            <w:tcW w:w="552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Completing the necessary documentation.</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H</w:t>
            </w:r>
          </w:p>
        </w:tc>
        <w:tc>
          <w:tcPr>
            <w:tcW w:w="552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 xml:space="preserve">Dealing with unplanned events by drawing on essential knowledge and skills to provide appropriate solutions </w:t>
            </w:r>
            <w:r w:rsidRPr="00B057A4">
              <w:t>incorporated in the holistic assessment with the above listed items</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9</w:t>
            </w:r>
            <w:r w:rsidRPr="00B057A4">
              <w:t>.</w:t>
            </w:r>
            <w:r w:rsidRPr="00B057A4">
              <w:rPr>
                <w:rStyle w:val="SpecialBold"/>
              </w:rPr>
              <w:t>3</w:t>
            </w:r>
            <w:r w:rsidRPr="00B057A4">
              <w:t xml:space="preserve">) </w:t>
            </w:r>
          </w:p>
          <w:p w:rsidR="00000000" w:rsidRPr="00B057A4" w:rsidP="00B057A4">
            <w:pPr>
              <w:pStyle w:val="BodyText"/>
            </w:pPr>
            <w:r w:rsidRPr="00B057A4">
              <w:t>This unit should be assessed as it relates to normal work practice using procedures, information and resources typical of a workplac</w:t>
            </w:r>
            <w:r w:rsidRPr="00B057A4">
              <w:t>e. This should include:</w:t>
            </w:r>
          </w:p>
          <w:p w:rsidR="00000000" w:rsidRPr="00B057A4" w:rsidP="00B057A4">
            <w:pPr>
              <w:pStyle w:val="ListBullet"/>
            </w:pPr>
            <w:r w:rsidRPr="00B057A4">
              <w:t>OHS policy and work procedures and instructions.</w:t>
            </w:r>
          </w:p>
          <w:p w:rsidR="00000000" w:rsidRPr="00B057A4" w:rsidP="00B057A4">
            <w:pPr>
              <w:pStyle w:val="ListBullet"/>
            </w:pPr>
            <w:r w:rsidRPr="00B057A4">
              <w:t>Suitable work environment, facilities, equipment and materials to undertake actual work as prescribed by this unit.</w:t>
            </w:r>
          </w:p>
          <w:p w:rsidR="00000000" w:rsidRPr="00B057A4" w:rsidP="00B057A4">
            <w:pPr>
              <w:pStyle w:val="BodyText"/>
            </w:pPr>
            <w:r w:rsidRPr="00B057A4">
              <w:t>These should be part of the formal learning/assessment environment.</w:t>
            </w:r>
          </w:p>
          <w:p w:rsidR="00000000" w:rsidRPr="00B057A4" w:rsidP="00B057A4">
            <w:pPr>
              <w:pStyle w:val="BodyText"/>
            </w:pPr>
            <w:r w:rsidRPr="00B057A4">
              <w:t>Note:</w:t>
            </w:r>
          </w:p>
          <w:p w:rsidR="00000000" w:rsidP="00B057A4">
            <w:pPr>
              <w:pStyle w:val="BodyText"/>
              <w:rPr>
                <w:lang w:val="en-NZ"/>
              </w:rPr>
            </w:pPr>
            <w:r w:rsidRPr="00B057A4">
              <w:t>Where simulation is considered a suitable strategy for assessment, conditions must be authentic and as far as possible reproduce and replicate the workplace and be consistent with th</w:t>
            </w:r>
            <w:r w:rsidRPr="00B057A4">
              <w:t>e approved industry simulation policy.</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Evidence should show demonstrated competency in recovering, pressure and leak testing, evacuating and charging refrigerants  appliances.</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9</w:t>
            </w:r>
            <w:r w:rsidRPr="00B057A4">
              <w:t>.</w:t>
            </w:r>
            <w:r w:rsidRPr="00B057A4">
              <w:rPr>
                <w:rStyle w:val="SpecialBold"/>
              </w:rPr>
              <w:t>4</w:t>
            </w:r>
            <w:r w:rsidRPr="00B057A4">
              <w:t xml:space="preserve">) </w:t>
            </w:r>
          </w:p>
          <w:p w:rsidR="00000000" w:rsidRPr="00B057A4" w:rsidP="00B057A4">
            <w:pPr>
              <w:pStyle w:val="BodyText"/>
            </w:pPr>
            <w:r w:rsidRPr="00B057A4">
              <w:t>This unit shall be assessed by methods given in Volume 1, Part 3 'Assessment Guidelines'.</w:t>
            </w:r>
          </w:p>
          <w:p w:rsidR="00000000" w:rsidRPr="00B057A4" w:rsidP="00B057A4">
            <w:pPr>
              <w:pStyle w:val="BodyText"/>
            </w:pPr>
            <w:r w:rsidRPr="00B057A4">
              <w:t>Note:</w:t>
            </w:r>
          </w:p>
          <w:p w:rsidR="00000000" w:rsidP="00B057A4">
            <w:pPr>
              <w:pStyle w:val="BodyText"/>
              <w:rPr>
                <w:lang w:val="en-NZ"/>
              </w:rPr>
            </w:pPr>
            <w:r w:rsidRPr="00B057A4">
              <w:t>Competent performance with inherent safe working practices is expected in the Industry to which this unit applies. This requires assessment in a structured envi</w:t>
            </w:r>
            <w:r w:rsidRPr="00B057A4">
              <w:t>ronment which is intended primarily for learning/assessment and incorporates all necessary equipment and facilities for learners to develop and demonstrate the essential knowledge and skills described in this unit.</w:t>
            </w:r>
          </w:p>
        </w:tc>
      </w:tr>
      <w:tr w:rsidTr="00CF4C0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Concurrent assessment and relationship</w:t>
            </w:r>
            <w:r w:rsidRPr="00B057A4">
              <w:rPr>
                <w:rStyle w:val="SpecialBold"/>
              </w:rPr>
              <w:t xml:space="preserve">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rPr>
                <w:rStyle w:val="SpecialBold"/>
              </w:rPr>
              <w:t>9</w:t>
            </w:r>
            <w:r w:rsidRPr="00B057A4">
              <w:t>.</w:t>
            </w:r>
            <w:r w:rsidRPr="00B057A4">
              <w:rPr>
                <w:rStyle w:val="SpecialBold"/>
              </w:rPr>
              <w:t>5</w:t>
            </w:r>
            <w:r w:rsidRPr="00B057A4">
              <w:t>)</w:t>
            </w:r>
          </w:p>
        </w:tc>
      </w:tr>
      <w:tr w:rsidTr="00CF4C0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t>There are no concurrent assessment recommendations for this unit.</w:t>
            </w:r>
          </w:p>
        </w:tc>
      </w:tr>
    </w:tbl>
    <w:p w:rsidR="00CF4C08" w:rsidP="00B057A4">
      <w:pPr>
        <w:pStyle w:val="BodyText"/>
      </w:pPr>
    </w:p>
    <w:p w:rsidR="00CF4C08" w:rsidP="00B057A4">
      <w:pPr>
        <w:pStyle w:val="BodyText"/>
      </w:pPr>
    </w:p>
    <w:p w:rsidR="00000000" w:rsidRPr="00B057A4" w:rsidP="00B057A4">
      <w:pPr>
        <w:pStyle w:val="Heading1"/>
      </w:pPr>
      <w:bookmarkStart w:id="11" w:name="O_590192"/>
      <w:bookmarkEnd w:id="11"/>
      <w:r w:rsidRPr="00B057A4">
        <w:t>Range Statement</w:t>
      </w:r>
    </w:p>
    <w:tbl>
      <w:tblPr>
        <w:tblW w:w="0" w:type="auto"/>
        <w:tblLayout w:type="fixed"/>
        <w:tblCellMar>
          <w:left w:w="62" w:type="dxa"/>
          <w:right w:w="62" w:type="dxa"/>
        </w:tblCellMar>
        <w:tblLook w:val="0000"/>
      </w:tblPr>
      <w:tblGrid>
        <w:gridCol w:w="2160"/>
        <w:gridCol w:w="6348"/>
      </w:tblGrid>
      <w:tr w:rsidTr="00CF4C08">
        <w:tblPrEx>
          <w:tblW w:w="0" w:type="auto"/>
          <w:tblLayout w:type="fixed"/>
          <w:tblCellMar>
            <w:left w:w="62" w:type="dxa"/>
            <w:right w:w="62" w:type="dxa"/>
          </w:tblCellMar>
          <w:tblLook w:val="0000"/>
        </w:tblPrEx>
        <w:trPr>
          <w:tblHeader/>
        </w:trPr>
        <w:tc>
          <w:tcPr>
            <w:tcW w:w="8508" w:type="dxa"/>
            <w:gridSpan w:val="2"/>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rPr>
                <w:rStyle w:val="SpecialBold"/>
              </w:rPr>
              <w:t>RANGE STATEMENT</w:t>
            </w:r>
          </w:p>
        </w:tc>
      </w:tr>
      <w:tr w:rsidTr="00CF4C08">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rPr>
                <w:rStyle w:val="SpecialBold"/>
              </w:rPr>
              <w:t>8</w:t>
            </w:r>
            <w:r w:rsidRPr="00B057A4">
              <w:t>) This re</w:t>
            </w:r>
            <w:r w:rsidRPr="00B057A4">
              <w:t>lates to the unit as a whole providing the range of contexts and conditions to which the performance criteria apply. It allows for different work environments and situations that will affect performance.</w:t>
            </w:r>
          </w:p>
        </w:tc>
      </w:tr>
      <w:tr w:rsidTr="00CF4C08">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This unit must be demonstrated in relation to testing and charging refrigeration appliances used for refrigeration or air conditioning using appropriate vacuum measuring instruments encompassing the following:</w:t>
            </w:r>
          </w:p>
        </w:tc>
      </w:tr>
      <w:tr w:rsidTr="00CF4C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p>
        </w:tc>
        <w:tc>
          <w:tcPr>
            <w:tcW w:w="6348" w:type="dxa"/>
            <w:tcBorders>
              <w:top w:val="nil"/>
              <w:left w:val="nil"/>
              <w:bottom w:val="nil"/>
              <w:right w:val="nil"/>
            </w:tcBorders>
            <w:tcMar>
              <w:top w:w="0" w:type="dxa"/>
              <w:left w:w="62" w:type="dxa"/>
              <w:bottom w:w="0" w:type="dxa"/>
              <w:right w:w="62" w:type="dxa"/>
            </w:tcMar>
          </w:tcPr>
          <w:p w:rsidR="00000000" w:rsidRPr="00B057A4" w:rsidP="00B057A4">
            <w:pPr>
              <w:pStyle w:val="ListBullet"/>
            </w:pPr>
            <w:r w:rsidRPr="00B057A4">
              <w:t>Recovering refrigerant from an existing ap</w:t>
            </w:r>
            <w:r w:rsidRPr="00B057A4">
              <w:t>pliance that may contains contaminants</w:t>
            </w:r>
          </w:p>
          <w:p w:rsidR="00000000" w:rsidRPr="00B057A4" w:rsidP="00B057A4">
            <w:pPr>
              <w:pStyle w:val="ListBullet"/>
            </w:pPr>
            <w:r w:rsidRPr="00B057A4">
              <w:t>Pressure and leak testing a newly installed or repaired appliance</w:t>
            </w:r>
          </w:p>
          <w:p w:rsidR="00000000" w:rsidRPr="00B057A4" w:rsidP="00B057A4">
            <w:pPr>
              <w:pStyle w:val="ListBullet"/>
            </w:pPr>
            <w:r w:rsidRPr="00B057A4">
              <w:t>Evacuating a appliance in preparation for charging with refrigerant</w:t>
            </w:r>
          </w:p>
          <w:p w:rsidR="00000000" w:rsidP="00B057A4">
            <w:pPr>
              <w:pStyle w:val="ListBullet"/>
              <w:rPr>
                <w:lang w:val="en-NZ"/>
              </w:rPr>
            </w:pPr>
            <w:r w:rsidRPr="00B057A4">
              <w:t>Charging an appliance with refrigerant with minimal loss.</w:t>
            </w:r>
          </w:p>
        </w:tc>
      </w:tr>
      <w:tr w:rsidTr="00CF4C08">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t>Generic terms used throughout this Vocational Standard shall be regarded as part of the Range Statement in which competency is demonstrated. The definition of these and other terms that apply are given in Volume 2, Part 2.1.</w:t>
            </w:r>
          </w:p>
        </w:tc>
      </w:tr>
    </w:tbl>
    <w:p w:rsidR="00CF4C08" w:rsidP="00B057A4">
      <w:pPr>
        <w:pStyle w:val="BodyText"/>
      </w:pPr>
    </w:p>
    <w:p w:rsidR="00CF4C08" w:rsidP="00B057A4">
      <w:pPr>
        <w:pStyle w:val="BodyText"/>
      </w:pPr>
    </w:p>
    <w:p w:rsidR="00000000" w:rsidRPr="00B057A4" w:rsidP="00B057A4">
      <w:pPr>
        <w:pStyle w:val="Heading1"/>
      </w:pPr>
      <w:bookmarkStart w:id="12" w:name="O_590191"/>
      <w:bookmarkEnd w:id="12"/>
      <w:r w:rsidRPr="00B057A4">
        <w:t>Unit Secto</w:t>
      </w:r>
      <w:r w:rsidRPr="00B057A4">
        <w:t>r(s)</w:t>
      </w:r>
    </w:p>
    <w:p w:rsidR="00000000" w:rsidRPr="00B057A4" w:rsidP="00B057A4">
      <w:pPr>
        <w:pStyle w:val="BodyText"/>
      </w:pPr>
      <w:r w:rsidRPr="00B057A4">
        <w:t>Not Applicable</w:t>
      </w:r>
    </w:p>
    <w:p w:rsidR="00000000" w:rsidRPr="00B057A4" w:rsidP="00B057A4">
      <w:pPr>
        <w:pStyle w:val="AllowPageBreak"/>
      </w:pPr>
    </w:p>
    <w:p w:rsidR="00000000" w:rsidRPr="00B057A4" w:rsidP="00B057A4">
      <w:pPr>
        <w:pStyle w:val="Heading1"/>
      </w:pPr>
      <w:bookmarkStart w:id="13" w:name="O_590190"/>
      <w:bookmarkEnd w:id="13"/>
      <w:r w:rsidRPr="00B057A4">
        <w:t>Competency Field</w:t>
      </w:r>
    </w:p>
    <w:tbl>
      <w:tblPr>
        <w:tblW w:w="0" w:type="auto"/>
        <w:tblLayout w:type="fixed"/>
        <w:tblCellMar>
          <w:left w:w="62" w:type="dxa"/>
          <w:right w:w="62" w:type="dxa"/>
        </w:tblCellMar>
        <w:tblLook w:val="0000"/>
      </w:tblPr>
      <w:tblGrid>
        <w:gridCol w:w="1451"/>
        <w:gridCol w:w="1182"/>
        <w:gridCol w:w="1738"/>
        <w:gridCol w:w="1182"/>
        <w:gridCol w:w="1721"/>
        <w:gridCol w:w="1186"/>
      </w:tblGrid>
      <w:tr w:rsidTr="00CF4C0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2</w:t>
            </w:r>
            <w:r w:rsidRPr="00B057A4">
              <w:t>.</w:t>
            </w:r>
            <w:r w:rsidRPr="00B057A4">
              <w:rPr>
                <w:rStyle w:val="SpecialBold"/>
              </w:rPr>
              <w:t>2</w:t>
            </w:r>
            <w:r w:rsidRPr="00B057A4">
              <w:t xml:space="preserve">) </w:t>
            </w:r>
            <w:r w:rsidRPr="00B057A4">
              <w:rPr>
                <w:rStyle w:val="SpecialBold"/>
              </w:rPr>
              <w:t>Literacy and numeracy skills</w:t>
            </w:r>
          </w:p>
          <w:p w:rsidR="00000000" w:rsidP="00B057A4">
            <w:pPr>
              <w:pStyle w:val="BodyText"/>
              <w:rPr>
                <w:lang w:val="en-NZ"/>
              </w:rPr>
            </w:pPr>
            <w:r w:rsidRPr="00B057A4">
              <w:t>Participants are best equipped to achieve competency in this unit if they have reading, writing and numeracy skills indicated by the following scales. Description of ea</w:t>
            </w:r>
            <w:r w:rsidRPr="00B057A4">
              <w:t>ch scale is given in Volume 2, Part 3 'Literacy and Numeracy'</w:t>
            </w:r>
          </w:p>
        </w:tc>
      </w:tr>
      <w:tr w:rsidTr="00CF4C08">
        <w:tblPrEx>
          <w:tblW w:w="0" w:type="auto"/>
          <w:tblLayout w:type="fixed"/>
          <w:tblCellMar>
            <w:left w:w="62" w:type="dxa"/>
            <w:right w:w="62" w:type="dxa"/>
          </w:tblCellMar>
          <w:tblLook w:val="0000"/>
        </w:tblPrEx>
        <w:tc>
          <w:tcPr>
            <w:tcW w:w="1451"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Reading</w:t>
            </w:r>
          </w:p>
        </w:tc>
        <w:tc>
          <w:tcPr>
            <w:tcW w:w="1182"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3</w:t>
            </w:r>
          </w:p>
        </w:tc>
        <w:tc>
          <w:tcPr>
            <w:tcW w:w="1738"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Writing</w:t>
            </w:r>
          </w:p>
        </w:tc>
        <w:tc>
          <w:tcPr>
            <w:tcW w:w="1182"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3</w:t>
            </w:r>
          </w:p>
        </w:tc>
        <w:tc>
          <w:tcPr>
            <w:tcW w:w="1721"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t>Numeracy</w:t>
            </w:r>
          </w:p>
        </w:tc>
        <w:tc>
          <w:tcPr>
            <w:tcW w:w="1186"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t>3</w:t>
            </w:r>
          </w:p>
        </w:tc>
      </w:tr>
    </w:tbl>
    <w:p w:rsidR="00CF4C08" w:rsidP="00B057A4">
      <w:pPr>
        <w:pStyle w:val="BodyText"/>
      </w:pPr>
    </w:p>
    <w:p w:rsidR="00CF4C08" w:rsidP="00B057A4">
      <w:pPr>
        <w:pStyle w:val="BodyText"/>
      </w:pPr>
    </w:p>
    <w:p w:rsidR="00000000" w:rsidRPr="00B057A4" w:rsidP="00B057A4">
      <w:pPr>
        <w:pStyle w:val="Heading1"/>
      </w:pPr>
      <w:bookmarkStart w:id="14" w:name="O_590189"/>
      <w:bookmarkEnd w:id="14"/>
      <w:r w:rsidRPr="00B057A4">
        <w:t>Custom Content Section</w:t>
      </w:r>
    </w:p>
    <w:tbl>
      <w:tblPr>
        <w:tblW w:w="0" w:type="auto"/>
        <w:tblLayout w:type="fixed"/>
        <w:tblCellMar>
          <w:left w:w="62" w:type="dxa"/>
          <w:right w:w="62" w:type="dxa"/>
        </w:tblCellMar>
        <w:tblLook w:val="0000"/>
      </w:tblPr>
      <w:tblGrid>
        <w:gridCol w:w="2698"/>
        <w:gridCol w:w="5762"/>
      </w:tblGrid>
      <w:tr w:rsidTr="00CF4C08">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B057A4">
            <w:pPr>
              <w:pStyle w:val="BodyText"/>
              <w:rPr>
                <w:lang w:val="en-NZ"/>
              </w:rPr>
            </w:pPr>
            <w:r w:rsidRPr="00B057A4">
              <w:rPr>
                <w:rStyle w:val="SpecialBold"/>
              </w:rPr>
              <w:t>5</w:t>
            </w:r>
            <w:r w:rsidRPr="00B057A4">
              <w:t>)</w:t>
            </w:r>
          </w:p>
        </w:tc>
      </w:tr>
      <w:tr w:rsidTr="00CF4C08">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B057A4" w:rsidP="00B057A4">
            <w:pPr>
              <w:pStyle w:val="BodyText"/>
            </w:pPr>
            <w:r w:rsidRPr="00B057A4">
              <w:t>Refrigeration and Air Conditioning</w:t>
            </w:r>
          </w:p>
        </w:tc>
      </w:tr>
    </w:tbl>
    <w:p w:rsidR="00CF4C08" w:rsidP="00B057A4">
      <w:pPr>
        <w:pStyle w:val="BodyText"/>
      </w:pPr>
    </w:p>
    <w:p w:rsidR="00CF4C08" w:rsidP="00B057A4">
      <w:pPr>
        <w:pStyle w:val="BodyText"/>
      </w:pPr>
    </w:p>
    <w:p w:rsidR="00000000" w:rsidRPr="00B057A4" w:rsidP="00B057A4"/>
    <w:sectPr w:rsidSect="00B057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A4" w:rsidRPr="00CF4C08" w:rsidP="00CF4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08" w:rsidP="00B057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F4C08" w:rsidP="00B057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F4C08" w:rsidP="00B057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A4" w:rsidRPr="00CF4C08" w:rsidP="00CF4C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08" w:rsidRPr="002D2AF8" w:rsidP="00B057A4">
    <w:pPr>
      <w:pStyle w:val="Header"/>
      <w:framePr w:wrap="around"/>
    </w:pPr>
    <w:r>
      <w:fldChar w:fldCharType="begin"/>
    </w:r>
    <w:r>
      <w:instrText xml:space="preserve"> TITLE   \* MERGEFORMAT </w:instrText>
    </w:r>
    <w:r>
      <w:fldChar w:fldCharType="separate"/>
    </w:r>
    <w:r>
      <w:t>UEENEEJ162A Recover, pressure test, evacuate, charge and leak test refrigerants -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F4C08" w:rsidP="00B057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A24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DA23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6A5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7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7A4"/>
    <w:pPr>
      <w:spacing w:before="360" w:after="60"/>
      <w:outlineLvl w:val="0"/>
    </w:pPr>
    <w:rPr>
      <w:sz w:val="32"/>
    </w:rPr>
  </w:style>
  <w:style w:type="paragraph" w:styleId="Heading2">
    <w:name w:val="heading 2"/>
    <w:basedOn w:val="HeadingBase"/>
    <w:next w:val="BodyText"/>
    <w:link w:val="Heading2Char"/>
    <w:qFormat/>
    <w:rsid w:val="00B057A4"/>
    <w:pPr>
      <w:keepLines/>
      <w:spacing w:before="240" w:after="120"/>
      <w:outlineLvl w:val="1"/>
    </w:pPr>
    <w:rPr>
      <w:sz w:val="28"/>
      <w:szCs w:val="40"/>
    </w:rPr>
  </w:style>
  <w:style w:type="paragraph" w:styleId="Heading3">
    <w:name w:val="heading 3"/>
    <w:basedOn w:val="HeadingBase"/>
    <w:next w:val="BodyText"/>
    <w:link w:val="Heading3Char"/>
    <w:qFormat/>
    <w:rsid w:val="00B057A4"/>
    <w:pPr>
      <w:spacing w:before="180" w:after="120"/>
      <w:outlineLvl w:val="2"/>
    </w:pPr>
    <w:rPr>
      <w:spacing w:val="-10"/>
      <w:kern w:val="32"/>
    </w:rPr>
  </w:style>
  <w:style w:type="paragraph" w:styleId="Heading4">
    <w:name w:val="heading 4"/>
    <w:basedOn w:val="HeadingBase"/>
    <w:next w:val="BodyText"/>
    <w:link w:val="Heading4Char"/>
    <w:qFormat/>
    <w:rsid w:val="00B057A4"/>
    <w:pPr>
      <w:spacing w:before="160" w:after="120"/>
      <w:outlineLvl w:val="3"/>
    </w:pPr>
    <w:rPr>
      <w:sz w:val="22"/>
    </w:rPr>
  </w:style>
  <w:style w:type="paragraph" w:styleId="Heading5">
    <w:name w:val="heading 5"/>
    <w:basedOn w:val="HeadingBase"/>
    <w:next w:val="Normal"/>
    <w:link w:val="Heading5Char"/>
    <w:qFormat/>
    <w:rsid w:val="00B057A4"/>
    <w:pPr>
      <w:spacing w:before="80"/>
      <w:outlineLvl w:val="4"/>
    </w:pPr>
    <w:rPr>
      <w:color w:val="918585"/>
      <w:sz w:val="20"/>
    </w:rPr>
  </w:style>
  <w:style w:type="paragraph" w:styleId="Heading6">
    <w:name w:val="heading 6"/>
    <w:basedOn w:val="HeadingBase"/>
    <w:next w:val="Normal"/>
    <w:link w:val="Heading6Char"/>
    <w:qFormat/>
    <w:rsid w:val="00B057A4"/>
    <w:pPr>
      <w:spacing w:before="60"/>
      <w:outlineLvl w:val="5"/>
    </w:pPr>
    <w:rPr>
      <w:color w:val="918585"/>
      <w:sz w:val="20"/>
    </w:rPr>
  </w:style>
  <w:style w:type="paragraph" w:styleId="Heading7">
    <w:name w:val="heading 7"/>
    <w:basedOn w:val="Normal"/>
    <w:next w:val="Normal"/>
    <w:link w:val="Heading7Char"/>
    <w:qFormat/>
    <w:rsid w:val="00B057A4"/>
    <w:pPr>
      <w:ind w:left="720"/>
      <w:outlineLvl w:val="6"/>
    </w:pPr>
    <w:rPr>
      <w:i/>
    </w:rPr>
  </w:style>
  <w:style w:type="paragraph" w:styleId="Heading8">
    <w:name w:val="heading 8"/>
    <w:basedOn w:val="Normal"/>
    <w:next w:val="Normal"/>
    <w:link w:val="Heading8Char"/>
    <w:qFormat/>
    <w:rsid w:val="00B057A4"/>
    <w:pPr>
      <w:ind w:left="720"/>
      <w:outlineLvl w:val="7"/>
    </w:pPr>
    <w:rPr>
      <w:i/>
    </w:rPr>
  </w:style>
  <w:style w:type="paragraph" w:styleId="Heading9">
    <w:name w:val="heading 9"/>
    <w:basedOn w:val="Normal"/>
    <w:next w:val="Normal"/>
    <w:link w:val="Heading9Char"/>
    <w:qFormat/>
    <w:rsid w:val="00B057A4"/>
    <w:pPr>
      <w:ind w:left="720"/>
      <w:outlineLvl w:val="8"/>
    </w:pPr>
    <w:rPr>
      <w:i/>
    </w:rPr>
  </w:style>
  <w:style w:type="character" w:default="1" w:styleId="DefaultParagraphFont">
    <w:name w:val="Default Paragraph Font"/>
    <w:uiPriority w:val="1"/>
    <w:unhideWhenUsed/>
    <w:rsid w:val="00B05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7A4"/>
  </w:style>
  <w:style w:type="character" w:customStyle="1" w:styleId="Heading1Char">
    <w:name w:val="Heading 1 Char"/>
    <w:basedOn w:val="DefaultParagraphFont"/>
    <w:link w:val="Heading1"/>
    <w:rsid w:val="00B057A4"/>
    <w:rPr>
      <w:rFonts w:ascii="Times New Roman" w:eastAsia="Times New Roman" w:hAnsi="Times New Roman" w:cs="Times New Roman"/>
      <w:b/>
      <w:sz w:val="32"/>
      <w:szCs w:val="20"/>
      <w:lang w:eastAsia="en-US"/>
    </w:rPr>
  </w:style>
  <w:style w:type="paragraph" w:styleId="BodyText">
    <w:name w:val="Body Text"/>
    <w:basedOn w:val="Normal"/>
    <w:link w:val="BodyTextChar"/>
    <w:rsid w:val="00B057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57A4"/>
    <w:rPr>
      <w:rFonts w:ascii="Times New Roman" w:eastAsia="Times New Roman" w:hAnsi="Times New Roman" w:cs="Times New Roman"/>
      <w:sz w:val="24"/>
      <w:lang w:eastAsia="en-US"/>
    </w:rPr>
  </w:style>
  <w:style w:type="paragraph" w:styleId="ListBullet">
    <w:name w:val="List Bullet"/>
    <w:basedOn w:val="List"/>
    <w:rsid w:val="00B057A4"/>
    <w:pPr>
      <w:numPr>
        <w:numId w:val="13"/>
      </w:numPr>
      <w:tabs>
        <w:tab w:val="clear" w:pos="340"/>
      </w:tabs>
      <w:spacing w:before="40" w:after="40"/>
    </w:pPr>
  </w:style>
  <w:style w:type="character" w:customStyle="1" w:styleId="SpecialBold">
    <w:name w:val="Special Bold"/>
    <w:basedOn w:val="DefaultParagraphFont"/>
    <w:rsid w:val="00B057A4"/>
    <w:rPr>
      <w:b/>
      <w:spacing w:val="0"/>
    </w:rPr>
  </w:style>
  <w:style w:type="paragraph" w:styleId="ListBullet2">
    <w:name w:val="List Bullet 2"/>
    <w:basedOn w:val="List2"/>
    <w:rsid w:val="00B057A4"/>
    <w:pPr>
      <w:numPr>
        <w:numId w:val="14"/>
      </w:numPr>
      <w:tabs>
        <w:tab w:val="clear" w:pos="680"/>
      </w:tabs>
    </w:pPr>
  </w:style>
  <w:style w:type="paragraph" w:customStyle="1" w:styleId="SuperHeading">
    <w:name w:val="SuperHeading"/>
    <w:basedOn w:val="Normal"/>
    <w:rsid w:val="00B057A4"/>
    <w:pPr>
      <w:spacing w:before="240" w:after="120"/>
      <w:outlineLvl w:val="0"/>
    </w:pPr>
    <w:rPr>
      <w:rFonts w:ascii="Times New Roman" w:hAnsi="Times New Roman"/>
      <w:b/>
      <w:sz w:val="32"/>
    </w:rPr>
  </w:style>
  <w:style w:type="paragraph" w:customStyle="1" w:styleId="AllowPageBreak">
    <w:name w:val="AllowPageBreak"/>
    <w:rsid w:val="00B057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57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7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7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7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7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7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7A4"/>
    <w:rPr>
      <w:rFonts w:ascii="Courier New" w:eastAsia="Times New Roman" w:hAnsi="Courier New" w:cs="Times New Roman"/>
      <w:i/>
      <w:szCs w:val="20"/>
      <w:lang w:eastAsia="en-US"/>
    </w:rPr>
  </w:style>
  <w:style w:type="paragraph" w:customStyle="1" w:styleId="HeadingBase">
    <w:name w:val="Heading Base"/>
    <w:rsid w:val="00B05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7A4"/>
    <w:pPr>
      <w:tabs>
        <w:tab w:val="right" w:leader="dot" w:pos="9072"/>
      </w:tabs>
      <w:ind w:left="567"/>
    </w:pPr>
    <w:rPr>
      <w:szCs w:val="22"/>
    </w:rPr>
  </w:style>
  <w:style w:type="paragraph" w:customStyle="1" w:styleId="TOCBase">
    <w:name w:val="TOC Base"/>
    <w:rsid w:val="00B05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7A4"/>
    <w:pPr>
      <w:tabs>
        <w:tab w:val="right" w:leader="dot" w:pos="9072"/>
      </w:tabs>
      <w:spacing w:before="40" w:after="40"/>
      <w:ind w:left="284"/>
    </w:pPr>
    <w:rPr>
      <w:rFonts w:ascii="Times New Roman" w:hAnsi="Times New Roman"/>
    </w:rPr>
  </w:style>
  <w:style w:type="paragraph" w:styleId="TOC1">
    <w:name w:val="toc 1"/>
    <w:basedOn w:val="TOCBase"/>
    <w:next w:val="Normal"/>
    <w:rsid w:val="00B057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7A4"/>
    <w:rPr>
      <w:rFonts w:ascii="Times New Roman" w:eastAsia="Times New Roman" w:hAnsi="Times New Roman" w:cs="Times New Roman"/>
      <w:sz w:val="16"/>
      <w:lang w:eastAsia="en-US"/>
    </w:rPr>
  </w:style>
  <w:style w:type="paragraph" w:styleId="Title">
    <w:name w:val="Title"/>
    <w:basedOn w:val="HeadingBase"/>
    <w:link w:val="TitleChar"/>
    <w:qFormat/>
    <w:rsid w:val="00B057A4"/>
    <w:pPr>
      <w:spacing w:before="5040"/>
      <w:jc w:val="center"/>
    </w:pPr>
    <w:rPr>
      <w:sz w:val="48"/>
      <w:szCs w:val="72"/>
      <w:lang w:val="en-US"/>
    </w:rPr>
  </w:style>
  <w:style w:type="character" w:customStyle="1" w:styleId="TitleChar">
    <w:name w:val="Title Char"/>
    <w:basedOn w:val="DefaultParagraphFont"/>
    <w:link w:val="Title"/>
    <w:rsid w:val="00B05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7A4"/>
    <w:pPr>
      <w:tabs>
        <w:tab w:val="left" w:pos="3600"/>
        <w:tab w:val="left" w:pos="3958"/>
      </w:tabs>
    </w:pPr>
  </w:style>
  <w:style w:type="paragraph" w:styleId="List">
    <w:name w:val="List"/>
    <w:basedOn w:val="BodyText"/>
    <w:next w:val="BodyText"/>
    <w:rsid w:val="00B057A4"/>
    <w:pPr>
      <w:tabs>
        <w:tab w:val="left" w:pos="340"/>
      </w:tabs>
      <w:spacing w:before="60" w:after="60"/>
      <w:ind w:left="340" w:hanging="340"/>
    </w:pPr>
  </w:style>
  <w:style w:type="paragraph" w:customStyle="1" w:styleId="Note">
    <w:name w:val="Note"/>
    <w:basedOn w:val="BodyText"/>
    <w:rsid w:val="00B057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7A4"/>
    <w:pPr>
      <w:framePr w:wrap="auto" w:hAnchor="text" w:y="6049"/>
    </w:pPr>
    <w:rPr>
      <w:color w:val="000000"/>
      <w:sz w:val="40"/>
    </w:rPr>
  </w:style>
  <w:style w:type="paragraph" w:customStyle="1" w:styleId="TOCTitle">
    <w:name w:val="TOCTitle"/>
    <w:basedOn w:val="Heading1"/>
    <w:rsid w:val="00B057A4"/>
    <w:pPr>
      <w:spacing w:after="240"/>
      <w:jc w:val="center"/>
      <w:outlineLvl w:val="9"/>
    </w:pPr>
    <w:rPr>
      <w:caps/>
    </w:rPr>
  </w:style>
  <w:style w:type="paragraph" w:customStyle="1" w:styleId="Version">
    <w:name w:val="Version"/>
    <w:rsid w:val="00B057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7A4"/>
    <w:pPr>
      <w:keepNext w:val="0"/>
      <w:tabs>
        <w:tab w:val="right" w:pos="4176"/>
      </w:tabs>
      <w:ind w:left="198" w:hanging="198"/>
    </w:pPr>
    <w:rPr>
      <w:rFonts w:ascii="Garamond" w:hAnsi="Garamond"/>
    </w:rPr>
  </w:style>
  <w:style w:type="paragraph" w:styleId="IndexHeading">
    <w:name w:val="index heading"/>
    <w:basedOn w:val="Normal"/>
    <w:next w:val="Index1"/>
    <w:semiHidden/>
    <w:rsid w:val="00B057A4"/>
    <w:pPr>
      <w:spacing w:before="120" w:after="120"/>
    </w:pPr>
    <w:rPr>
      <w:rFonts w:ascii="Arial" w:hAnsi="Arial"/>
      <w:b/>
      <w:color w:val="918585"/>
      <w:sz w:val="24"/>
    </w:rPr>
  </w:style>
  <w:style w:type="paragraph" w:styleId="Header">
    <w:name w:val="header"/>
    <w:basedOn w:val="Normal"/>
    <w:link w:val="HeaderChar"/>
    <w:rsid w:val="00B05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7A4"/>
    <w:rPr>
      <w:rFonts w:ascii="Times New Roman" w:eastAsia="Times New Roman" w:hAnsi="Times New Roman" w:cs="Times New Roman"/>
      <w:sz w:val="16"/>
      <w:szCs w:val="20"/>
      <w:lang w:val="en-GB" w:eastAsia="en-US"/>
    </w:rPr>
  </w:style>
  <w:style w:type="paragraph" w:customStyle="1" w:styleId="Chapter">
    <w:name w:val="Chapter"/>
    <w:basedOn w:val="Normal"/>
    <w:rsid w:val="00B057A4"/>
    <w:pPr>
      <w:spacing w:before="240"/>
    </w:pPr>
    <w:rPr>
      <w:rFonts w:ascii="Times New Roman" w:hAnsi="Times New Roman"/>
      <w:smallCaps/>
      <w:spacing w:val="80"/>
      <w:sz w:val="28"/>
    </w:rPr>
  </w:style>
  <w:style w:type="paragraph" w:customStyle="1" w:styleId="InChapter">
    <w:name w:val="InChapter"/>
    <w:basedOn w:val="Heading3"/>
    <w:rsid w:val="00B057A4"/>
    <w:pPr>
      <w:spacing w:after="240"/>
      <w:outlineLvl w:val="9"/>
    </w:pPr>
    <w:rPr>
      <w:noProof/>
    </w:rPr>
  </w:style>
  <w:style w:type="paragraph" w:styleId="Index2">
    <w:name w:val="index 2"/>
    <w:basedOn w:val="Normal"/>
    <w:next w:val="Normal"/>
    <w:semiHidden/>
    <w:rsid w:val="00B057A4"/>
    <w:pPr>
      <w:tabs>
        <w:tab w:val="right" w:pos="4176"/>
      </w:tabs>
      <w:ind w:left="568" w:hanging="284"/>
    </w:pPr>
    <w:rPr>
      <w:rFonts w:ascii="Garamond" w:hAnsi="Garamond"/>
    </w:rPr>
  </w:style>
  <w:style w:type="paragraph" w:customStyle="1" w:styleId="Byline">
    <w:name w:val="Byline"/>
    <w:rsid w:val="00B05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7A4"/>
    <w:pPr>
      <w:tabs>
        <w:tab w:val="clear" w:pos="3600"/>
        <w:tab w:val="clear" w:pos="3958"/>
      </w:tabs>
      <w:jc w:val="right"/>
    </w:pPr>
  </w:style>
  <w:style w:type="character" w:styleId="Emphasis">
    <w:name w:val="Emphasis"/>
    <w:basedOn w:val="DefaultParagraphFont"/>
    <w:qFormat/>
    <w:rsid w:val="00B057A4"/>
    <w:rPr>
      <w:i/>
    </w:rPr>
  </w:style>
  <w:style w:type="paragraph" w:styleId="Caption">
    <w:name w:val="caption"/>
    <w:basedOn w:val="BodyText"/>
    <w:next w:val="Normal"/>
    <w:qFormat/>
    <w:rsid w:val="00B057A4"/>
    <w:pPr>
      <w:framePr w:w="2268" w:hSpace="181" w:vSpace="181" w:wrap="around" w:vAnchor="text" w:hAnchor="page" w:x="1135" w:y="285" w:anchorLock="1"/>
    </w:pPr>
    <w:rPr>
      <w:i/>
    </w:rPr>
  </w:style>
  <w:style w:type="paragraph" w:customStyle="1" w:styleId="MiniTOCTitle">
    <w:name w:val="MiniTOCTitle"/>
    <w:basedOn w:val="Heading4"/>
    <w:rsid w:val="00B057A4"/>
    <w:pPr>
      <w:spacing w:before="240"/>
      <w:outlineLvl w:val="9"/>
    </w:pPr>
    <w:rPr>
      <w:noProof/>
      <w:sz w:val="24"/>
    </w:rPr>
  </w:style>
  <w:style w:type="paragraph" w:customStyle="1" w:styleId="MiniTOCItem">
    <w:name w:val="MiniTOCItem"/>
    <w:basedOn w:val="ListBullet"/>
    <w:rsid w:val="00B057A4"/>
    <w:pPr>
      <w:numPr>
        <w:numId w:val="0"/>
      </w:numPr>
      <w:tabs>
        <w:tab w:val="right" w:leader="dot" w:pos="6521"/>
      </w:tabs>
      <w:spacing w:before="0" w:after="0"/>
    </w:pPr>
  </w:style>
  <w:style w:type="paragraph" w:customStyle="1" w:styleId="TOFTitle">
    <w:name w:val="TOFTitle"/>
    <w:basedOn w:val="TOCTitle"/>
    <w:rsid w:val="00B057A4"/>
  </w:style>
  <w:style w:type="paragraph" w:styleId="TableofFigures">
    <w:name w:val="table of figures"/>
    <w:basedOn w:val="Normal"/>
    <w:next w:val="Normal"/>
    <w:semiHidden/>
    <w:rsid w:val="00B057A4"/>
    <w:pPr>
      <w:tabs>
        <w:tab w:val="right" w:leader="dot" w:pos="9072"/>
      </w:tabs>
      <w:ind w:left="970" w:hanging="403"/>
    </w:pPr>
    <w:rPr>
      <w:rFonts w:ascii="Times New Roman" w:hAnsi="Times New Roman"/>
      <w:b/>
    </w:rPr>
  </w:style>
  <w:style w:type="paragraph" w:styleId="ListNumber">
    <w:name w:val="List Number"/>
    <w:basedOn w:val="List"/>
    <w:rsid w:val="00B057A4"/>
    <w:pPr>
      <w:numPr>
        <w:numId w:val="11"/>
      </w:numPr>
    </w:pPr>
  </w:style>
  <w:style w:type="character" w:customStyle="1" w:styleId="WingdingSymbols">
    <w:name w:val="Wingding Symbols"/>
    <w:rsid w:val="00B057A4"/>
    <w:rPr>
      <w:rFonts w:ascii="Wingdings" w:hAnsi="Wingdings"/>
    </w:rPr>
  </w:style>
  <w:style w:type="paragraph" w:customStyle="1" w:styleId="TableHeading">
    <w:name w:val="Table Heading"/>
    <w:basedOn w:val="HeadingBase"/>
    <w:rsid w:val="00B057A4"/>
    <w:pPr>
      <w:keepLines/>
      <w:pBdr>
        <w:bottom w:val="single" w:sz="6" w:space="1" w:color="918585"/>
      </w:pBdr>
      <w:spacing w:before="240"/>
    </w:pPr>
  </w:style>
  <w:style w:type="character" w:customStyle="1" w:styleId="HotSpot">
    <w:name w:val="HotSpot"/>
    <w:rsid w:val="00B057A4"/>
    <w:rPr>
      <w:color w:val="0033CC"/>
      <w:u w:val="none"/>
    </w:rPr>
  </w:style>
  <w:style w:type="paragraph" w:customStyle="1" w:styleId="BodyTextRight">
    <w:name w:val="Body Text Right"/>
    <w:basedOn w:val="BodyText"/>
    <w:rsid w:val="00B057A4"/>
    <w:pPr>
      <w:spacing w:before="0" w:after="0"/>
      <w:jc w:val="right"/>
    </w:pPr>
  </w:style>
  <w:style w:type="paragraph" w:styleId="Index3">
    <w:name w:val="index 3"/>
    <w:basedOn w:val="ListNumber2"/>
    <w:next w:val="Normal"/>
    <w:semiHidden/>
    <w:rsid w:val="00B057A4"/>
    <w:pPr>
      <w:numPr>
        <w:numId w:val="0"/>
      </w:numPr>
      <w:tabs>
        <w:tab w:val="right" w:leader="dot" w:pos="4176"/>
      </w:tabs>
    </w:pPr>
  </w:style>
  <w:style w:type="paragraph" w:styleId="ListNumber2">
    <w:name w:val="List Number 2"/>
    <w:basedOn w:val="List2"/>
    <w:rsid w:val="00B057A4"/>
    <w:pPr>
      <w:numPr>
        <w:numId w:val="10"/>
      </w:numPr>
      <w:tabs>
        <w:tab w:val="clear" w:pos="1060"/>
      </w:tabs>
    </w:pPr>
  </w:style>
  <w:style w:type="paragraph" w:customStyle="1" w:styleId="MarginNote">
    <w:name w:val="Margin Note"/>
    <w:basedOn w:val="BodyText"/>
    <w:rsid w:val="00B05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7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7A4"/>
    <w:rPr>
      <w:sz w:val="32"/>
    </w:rPr>
  </w:style>
  <w:style w:type="paragraph" w:customStyle="1" w:styleId="HeadingProcedure">
    <w:name w:val="Heading Procedure"/>
    <w:basedOn w:val="HeadingBase"/>
    <w:next w:val="Normal"/>
    <w:rsid w:val="00B057A4"/>
    <w:pPr>
      <w:tabs>
        <w:tab w:val="left" w:pos="0"/>
      </w:tabs>
      <w:spacing w:before="120" w:after="60"/>
    </w:pPr>
    <w:rPr>
      <w:i/>
      <w:color w:val="918585"/>
      <w:sz w:val="22"/>
    </w:rPr>
  </w:style>
  <w:style w:type="paragraph" w:customStyle="1" w:styleId="TableBodyText">
    <w:name w:val="Table Body Text"/>
    <w:basedOn w:val="BodyText"/>
    <w:rsid w:val="00B057A4"/>
    <w:pPr>
      <w:spacing w:before="60" w:after="60"/>
    </w:pPr>
  </w:style>
  <w:style w:type="paragraph" w:styleId="ListContinue">
    <w:name w:val="List Continue"/>
    <w:basedOn w:val="List"/>
    <w:rsid w:val="00B057A4"/>
    <w:pPr>
      <w:ind w:firstLine="0"/>
    </w:pPr>
  </w:style>
  <w:style w:type="paragraph" w:customStyle="1" w:styleId="ListNote">
    <w:name w:val="List Note"/>
    <w:basedOn w:val="List"/>
    <w:rsid w:val="00B057A4"/>
    <w:pPr>
      <w:pBdr>
        <w:top w:val="single" w:sz="6" w:space="2" w:color="918585"/>
        <w:bottom w:val="single" w:sz="6" w:space="2" w:color="918585"/>
      </w:pBdr>
      <w:tabs>
        <w:tab w:val="left" w:pos="1021"/>
      </w:tabs>
      <w:ind w:firstLine="0"/>
    </w:pPr>
  </w:style>
  <w:style w:type="paragraph" w:customStyle="1" w:styleId="Warning">
    <w:name w:val="Warning"/>
    <w:basedOn w:val="BodyText"/>
    <w:rsid w:val="00B057A4"/>
    <w:pPr>
      <w:shd w:val="clear" w:color="auto" w:fill="D9D9D9"/>
      <w:tabs>
        <w:tab w:val="left" w:pos="992"/>
      </w:tabs>
      <w:ind w:left="119" w:right="119"/>
    </w:pPr>
    <w:rPr>
      <w:sz w:val="20"/>
    </w:rPr>
  </w:style>
  <w:style w:type="paragraph" w:customStyle="1" w:styleId="MarginIcons">
    <w:name w:val="Margin Icons"/>
    <w:basedOn w:val="BodyText"/>
    <w:rsid w:val="00B057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7A4"/>
    <w:rPr>
      <w:rFonts w:ascii="Courier New" w:hAnsi="Courier New"/>
    </w:rPr>
  </w:style>
  <w:style w:type="paragraph" w:customStyle="1" w:styleId="NoteBullet">
    <w:name w:val="Note Bullet"/>
    <w:basedOn w:val="Note"/>
    <w:rsid w:val="00B057A4"/>
    <w:pPr>
      <w:tabs>
        <w:tab w:val="clear" w:pos="680"/>
      </w:tabs>
      <w:spacing w:before="60" w:after="60"/>
    </w:pPr>
  </w:style>
  <w:style w:type="paragraph" w:customStyle="1" w:styleId="SubHeading2">
    <w:name w:val="SubHeading2"/>
    <w:basedOn w:val="HeadingBase"/>
    <w:rsid w:val="00B057A4"/>
    <w:pPr>
      <w:spacing w:before="240" w:after="60"/>
    </w:pPr>
    <w:rPr>
      <w:sz w:val="20"/>
    </w:rPr>
  </w:style>
  <w:style w:type="paragraph" w:customStyle="1" w:styleId="SubHeading1">
    <w:name w:val="SubHeading1"/>
    <w:basedOn w:val="HeadingBase"/>
    <w:rsid w:val="00B057A4"/>
    <w:pPr>
      <w:spacing w:before="240" w:after="60"/>
    </w:pPr>
    <w:rPr>
      <w:color w:val="918585"/>
      <w:sz w:val="22"/>
    </w:rPr>
  </w:style>
  <w:style w:type="paragraph" w:customStyle="1" w:styleId="SideHeading">
    <w:name w:val="Side Heading"/>
    <w:basedOn w:val="HeadingBase"/>
    <w:rsid w:val="00B05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7A4"/>
    <w:pPr>
      <w:numPr>
        <w:numId w:val="12"/>
      </w:numPr>
    </w:pPr>
  </w:style>
  <w:style w:type="paragraph" w:styleId="PlainText">
    <w:name w:val="Plain Text"/>
    <w:basedOn w:val="Normal"/>
    <w:link w:val="PlainTextChar"/>
    <w:rsid w:val="00B057A4"/>
    <w:rPr>
      <w:sz w:val="20"/>
    </w:rPr>
  </w:style>
  <w:style w:type="character" w:customStyle="1" w:styleId="PlainTextChar">
    <w:name w:val="Plain Text Char"/>
    <w:basedOn w:val="DefaultParagraphFont"/>
    <w:link w:val="PlainText"/>
    <w:rsid w:val="00B057A4"/>
    <w:rPr>
      <w:rFonts w:ascii="Courier New" w:eastAsia="Times New Roman" w:hAnsi="Courier New" w:cs="Times New Roman"/>
      <w:sz w:val="20"/>
      <w:szCs w:val="20"/>
      <w:lang w:eastAsia="en-US"/>
    </w:rPr>
  </w:style>
  <w:style w:type="character" w:customStyle="1" w:styleId="MenuOption">
    <w:name w:val="Menu Option"/>
    <w:basedOn w:val="DefaultParagraphFont"/>
    <w:rsid w:val="00B057A4"/>
    <w:rPr>
      <w:b/>
      <w:smallCaps/>
    </w:rPr>
  </w:style>
  <w:style w:type="paragraph" w:customStyle="1" w:styleId="TableListNumber">
    <w:name w:val="Table List Number"/>
    <w:basedOn w:val="ListNumber"/>
    <w:rsid w:val="00B057A4"/>
    <w:pPr>
      <w:numPr>
        <w:numId w:val="0"/>
      </w:numPr>
    </w:pPr>
  </w:style>
  <w:style w:type="paragraph" w:styleId="TOC4">
    <w:name w:val="toc 4"/>
    <w:basedOn w:val="TOCBase"/>
    <w:next w:val="Normal"/>
    <w:semiHidden/>
    <w:rsid w:val="00B057A4"/>
    <w:pPr>
      <w:tabs>
        <w:tab w:val="right" w:leader="dot" w:pos="9071"/>
      </w:tabs>
      <w:ind w:left="1701"/>
    </w:pPr>
  </w:style>
  <w:style w:type="paragraph" w:customStyle="1" w:styleId="ListAlpha">
    <w:name w:val="List Alpha"/>
    <w:basedOn w:val="List"/>
    <w:rsid w:val="00B057A4"/>
    <w:pPr>
      <w:numPr>
        <w:numId w:val="9"/>
      </w:numPr>
    </w:pPr>
  </w:style>
  <w:style w:type="paragraph" w:customStyle="1" w:styleId="ListAlpha2">
    <w:name w:val="List Alpha 2"/>
    <w:basedOn w:val="List2"/>
    <w:rsid w:val="00B057A4"/>
    <w:pPr>
      <w:numPr>
        <w:numId w:val="8"/>
      </w:numPr>
    </w:pPr>
  </w:style>
  <w:style w:type="paragraph" w:styleId="List2">
    <w:name w:val="List 2"/>
    <w:basedOn w:val="BodyText"/>
    <w:rsid w:val="00B057A4"/>
    <w:pPr>
      <w:tabs>
        <w:tab w:val="left" w:pos="680"/>
      </w:tabs>
      <w:spacing w:before="60" w:after="60"/>
      <w:ind w:left="680" w:hanging="340"/>
    </w:pPr>
  </w:style>
  <w:style w:type="paragraph" w:styleId="List3">
    <w:name w:val="List 3"/>
    <w:basedOn w:val="BodyText"/>
    <w:rsid w:val="00B057A4"/>
    <w:pPr>
      <w:tabs>
        <w:tab w:val="left" w:pos="1021"/>
      </w:tabs>
      <w:spacing w:before="60" w:after="60"/>
      <w:ind w:left="1020" w:hanging="340"/>
    </w:pPr>
  </w:style>
  <w:style w:type="paragraph" w:styleId="List4">
    <w:name w:val="List 4"/>
    <w:basedOn w:val="BodyText"/>
    <w:rsid w:val="00B057A4"/>
    <w:pPr>
      <w:tabs>
        <w:tab w:val="left" w:pos="1361"/>
      </w:tabs>
      <w:spacing w:before="60" w:after="60"/>
      <w:ind w:left="1361" w:hanging="340"/>
    </w:pPr>
  </w:style>
  <w:style w:type="paragraph" w:styleId="List5">
    <w:name w:val="List 5"/>
    <w:basedOn w:val="BodyText"/>
    <w:rsid w:val="00B057A4"/>
    <w:pPr>
      <w:tabs>
        <w:tab w:val="left" w:pos="1701"/>
      </w:tabs>
      <w:spacing w:before="60" w:after="60"/>
      <w:ind w:left="1701" w:hanging="340"/>
    </w:pPr>
  </w:style>
  <w:style w:type="paragraph" w:styleId="ListBullet3">
    <w:name w:val="List Bullet 3"/>
    <w:basedOn w:val="List3"/>
    <w:rsid w:val="00B057A4"/>
    <w:pPr>
      <w:numPr>
        <w:numId w:val="15"/>
      </w:numPr>
      <w:tabs>
        <w:tab w:val="clear" w:pos="1021"/>
      </w:tabs>
      <w:ind w:left="1037" w:hanging="357"/>
    </w:pPr>
  </w:style>
  <w:style w:type="paragraph" w:styleId="ListBullet4">
    <w:name w:val="List Bullet 4"/>
    <w:basedOn w:val="List4"/>
    <w:rsid w:val="00B057A4"/>
    <w:pPr>
      <w:numPr>
        <w:numId w:val="3"/>
      </w:numPr>
    </w:pPr>
  </w:style>
  <w:style w:type="paragraph" w:styleId="ListBullet5">
    <w:name w:val="List Bullet 5"/>
    <w:basedOn w:val="List5"/>
    <w:rsid w:val="00B057A4"/>
    <w:pPr>
      <w:numPr>
        <w:numId w:val="4"/>
      </w:numPr>
    </w:pPr>
  </w:style>
  <w:style w:type="paragraph" w:styleId="ListContinue2">
    <w:name w:val="List Continue 2"/>
    <w:basedOn w:val="List2"/>
    <w:rsid w:val="00B057A4"/>
    <w:pPr>
      <w:ind w:firstLine="0"/>
    </w:pPr>
  </w:style>
  <w:style w:type="paragraph" w:styleId="ListContinue3">
    <w:name w:val="List Continue 3"/>
    <w:basedOn w:val="List3"/>
    <w:rsid w:val="00B057A4"/>
    <w:pPr>
      <w:ind w:left="1021" w:firstLine="0"/>
    </w:pPr>
  </w:style>
  <w:style w:type="paragraph" w:styleId="ListContinue4">
    <w:name w:val="List Continue 4"/>
    <w:basedOn w:val="List4"/>
    <w:rsid w:val="00B057A4"/>
    <w:pPr>
      <w:ind w:firstLine="0"/>
    </w:pPr>
  </w:style>
  <w:style w:type="paragraph" w:styleId="ListContinue5">
    <w:name w:val="List Continue 5"/>
    <w:basedOn w:val="List5"/>
    <w:rsid w:val="00B057A4"/>
    <w:pPr>
      <w:ind w:firstLine="0"/>
    </w:pPr>
  </w:style>
  <w:style w:type="paragraph" w:styleId="ListNumber3">
    <w:name w:val="List Number 3"/>
    <w:basedOn w:val="List3"/>
    <w:rsid w:val="00B057A4"/>
    <w:pPr>
      <w:numPr>
        <w:numId w:val="5"/>
      </w:numPr>
    </w:pPr>
  </w:style>
  <w:style w:type="paragraph" w:styleId="ListNumber4">
    <w:name w:val="List Number 4"/>
    <w:basedOn w:val="List4"/>
    <w:rsid w:val="00B057A4"/>
    <w:pPr>
      <w:numPr>
        <w:numId w:val="6"/>
      </w:numPr>
    </w:pPr>
  </w:style>
  <w:style w:type="paragraph" w:styleId="ListNumber5">
    <w:name w:val="List Number 5"/>
    <w:basedOn w:val="List5"/>
    <w:rsid w:val="00B057A4"/>
    <w:pPr>
      <w:numPr>
        <w:numId w:val="7"/>
      </w:numPr>
    </w:pPr>
  </w:style>
  <w:style w:type="paragraph" w:styleId="BlockText">
    <w:name w:val="Block Text"/>
    <w:basedOn w:val="Normal"/>
    <w:rsid w:val="00B057A4"/>
    <w:pPr>
      <w:spacing w:after="120"/>
      <w:ind w:left="1440" w:right="1440"/>
    </w:pPr>
  </w:style>
  <w:style w:type="character" w:customStyle="1" w:styleId="Subscript">
    <w:name w:val="Subscript"/>
    <w:basedOn w:val="DefaultParagraphFont"/>
    <w:rsid w:val="00B057A4"/>
    <w:rPr>
      <w:sz w:val="16"/>
      <w:vertAlign w:val="subscript"/>
    </w:rPr>
  </w:style>
  <w:style w:type="character" w:customStyle="1" w:styleId="Superscript">
    <w:name w:val="Superscript"/>
    <w:basedOn w:val="DefaultParagraphFont"/>
    <w:rsid w:val="00B057A4"/>
    <w:rPr>
      <w:sz w:val="16"/>
      <w:vertAlign w:val="superscript"/>
    </w:rPr>
  </w:style>
  <w:style w:type="character" w:customStyle="1" w:styleId="Symbols">
    <w:name w:val="Symbols"/>
    <w:basedOn w:val="DefaultParagraphFont"/>
    <w:rsid w:val="00B057A4"/>
    <w:rPr>
      <w:rFonts w:ascii="Symbol" w:hAnsi="Symbol"/>
    </w:rPr>
  </w:style>
  <w:style w:type="character" w:customStyle="1" w:styleId="MenuOptions">
    <w:name w:val="Menu Options"/>
    <w:basedOn w:val="DefaultParagraphFont"/>
    <w:rsid w:val="00B057A4"/>
    <w:rPr>
      <w:rFonts w:ascii="Arial Narrow" w:hAnsi="Arial Narrow"/>
      <w:smallCaps/>
    </w:rPr>
  </w:style>
  <w:style w:type="character" w:customStyle="1" w:styleId="Buttons">
    <w:name w:val="Buttons"/>
    <w:basedOn w:val="DefaultParagraphFont"/>
    <w:rsid w:val="00B057A4"/>
    <w:rPr>
      <w:b/>
    </w:rPr>
  </w:style>
  <w:style w:type="character" w:customStyle="1" w:styleId="Underlined">
    <w:name w:val="Underlined"/>
    <w:basedOn w:val="DefaultParagraphFont"/>
    <w:rsid w:val="00B057A4"/>
    <w:rPr>
      <w:u w:val="single"/>
    </w:rPr>
  </w:style>
  <w:style w:type="paragraph" w:customStyle="1" w:styleId="TableBodyTextRight">
    <w:name w:val="Table Body Text Right"/>
    <w:basedOn w:val="TableBodyText"/>
    <w:rsid w:val="00B057A4"/>
    <w:pPr>
      <w:widowControl w:val="0"/>
      <w:autoSpaceDE w:val="0"/>
      <w:autoSpaceDN w:val="0"/>
      <w:adjustRightInd w:val="0"/>
      <w:jc w:val="right"/>
    </w:pPr>
    <w:rPr>
      <w:rFonts w:cs="Arial"/>
      <w:szCs w:val="18"/>
    </w:rPr>
  </w:style>
  <w:style w:type="paragraph" w:customStyle="1" w:styleId="CopyrightText">
    <w:name w:val="Copyright Text"/>
    <w:basedOn w:val="BodyText"/>
    <w:rsid w:val="00B057A4"/>
    <w:rPr>
      <w:sz w:val="18"/>
    </w:rPr>
  </w:style>
  <w:style w:type="paragraph" w:customStyle="1" w:styleId="BodySmallRight">
    <w:name w:val="Body Small Right"/>
    <w:basedOn w:val="BodyTextRight"/>
    <w:rsid w:val="00B057A4"/>
    <w:rPr>
      <w:sz w:val="18"/>
      <w:szCs w:val="18"/>
    </w:rPr>
  </w:style>
  <w:style w:type="paragraph" w:customStyle="1" w:styleId="MarginEdition">
    <w:name w:val="Margin Edition"/>
    <w:basedOn w:val="MarginNote"/>
    <w:rsid w:val="00B057A4"/>
    <w:pPr>
      <w:spacing w:before="0" w:after="0"/>
    </w:pPr>
    <w:rPr>
      <w:rFonts w:ascii="Times New Roman" w:hAnsi="Times New Roman"/>
      <w:color w:val="999999"/>
    </w:rPr>
  </w:style>
  <w:style w:type="paragraph" w:customStyle="1" w:styleId="Spacer">
    <w:name w:val="Spacer"/>
    <w:basedOn w:val="Normal"/>
    <w:rsid w:val="00B057A4"/>
    <w:rPr>
      <w:sz w:val="2"/>
      <w:szCs w:val="2"/>
    </w:rPr>
  </w:style>
  <w:style w:type="character" w:customStyle="1" w:styleId="Small">
    <w:name w:val="Small"/>
    <w:basedOn w:val="DefaultParagraphFont"/>
    <w:rsid w:val="00B057A4"/>
    <w:rPr>
      <w:sz w:val="16"/>
    </w:rPr>
  </w:style>
  <w:style w:type="paragraph" w:customStyle="1" w:styleId="WideTable">
    <w:name w:val="Wide Table"/>
    <w:basedOn w:val="Normal"/>
    <w:rsid w:val="00B057A4"/>
    <w:pPr>
      <w:ind w:left="-1418"/>
    </w:pPr>
    <w:rPr>
      <w:sz w:val="2"/>
      <w:szCs w:val="2"/>
    </w:rPr>
  </w:style>
  <w:style w:type="character" w:styleId="PageNumber">
    <w:name w:val="page number"/>
    <w:basedOn w:val="DefaultParagraphFont"/>
    <w:rsid w:val="00B057A4"/>
  </w:style>
  <w:style w:type="paragraph" w:styleId="Quote">
    <w:name w:val="Quote"/>
    <w:basedOn w:val="Heading1"/>
    <w:link w:val="QuoteChar"/>
    <w:qFormat/>
    <w:rsid w:val="00B057A4"/>
    <w:rPr>
      <w:b w:val="0"/>
      <w:sz w:val="72"/>
      <w:szCs w:val="72"/>
      <w:lang w:val="en-NZ"/>
    </w:rPr>
  </w:style>
  <w:style w:type="character" w:customStyle="1" w:styleId="QuoteChar">
    <w:name w:val="Quote Char"/>
    <w:basedOn w:val="DefaultParagraphFont"/>
    <w:link w:val="Quote"/>
    <w:rsid w:val="00B05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7A4"/>
    <w:pPr>
      <w:pageBreakBefore/>
    </w:pPr>
  </w:style>
  <w:style w:type="paragraph" w:customStyle="1" w:styleId="Border">
    <w:name w:val="Border"/>
    <w:basedOn w:val="Normal"/>
    <w:qFormat/>
    <w:rsid w:val="00B057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7A4"/>
    <w:rPr>
      <w:b/>
      <w:bCs/>
      <w:i/>
      <w:iCs/>
      <w:color w:val="auto"/>
    </w:rPr>
  </w:style>
  <w:style w:type="paragraph" w:styleId="IntenseQuote">
    <w:name w:val="Intense Quote"/>
    <w:basedOn w:val="Normal"/>
    <w:next w:val="Normal"/>
    <w:link w:val="IntenseQuoteChar"/>
    <w:uiPriority w:val="30"/>
    <w:qFormat/>
    <w:rsid w:val="00B057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7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7A4"/>
    <w:rPr>
      <w:smallCaps/>
      <w:color w:val="auto"/>
      <w:u w:val="single"/>
    </w:rPr>
  </w:style>
  <w:style w:type="character" w:styleId="IntenseReference">
    <w:name w:val="Intense Reference"/>
    <w:basedOn w:val="DefaultParagraphFont"/>
    <w:uiPriority w:val="32"/>
    <w:qFormat/>
    <w:rsid w:val="00B057A4"/>
    <w:rPr>
      <w:b/>
      <w:bCs/>
      <w:smallCaps/>
      <w:color w:val="auto"/>
      <w:spacing w:val="5"/>
      <w:u w:val="single"/>
    </w:rPr>
  </w:style>
  <w:style w:type="paragraph" w:customStyle="1" w:styleId="2ColumnHeading">
    <w:name w:val="2Column Heading"/>
    <w:basedOn w:val="BodyText"/>
    <w:qFormat/>
    <w:rsid w:val="00B057A4"/>
    <w:pPr>
      <w:spacing w:after="60"/>
      <w:ind w:left="-2268"/>
    </w:pPr>
    <w:rPr>
      <w:b/>
    </w:rPr>
  </w:style>
  <w:style w:type="paragraph" w:customStyle="1" w:styleId="Heading1TOC">
    <w:name w:val="Heading1 TOC"/>
    <w:basedOn w:val="Normal"/>
    <w:qFormat/>
    <w:rsid w:val="00B057A4"/>
    <w:pPr>
      <w:spacing w:before="240" w:after="120"/>
    </w:pPr>
    <w:rPr>
      <w:rFonts w:ascii="Times New Roman" w:hAnsi="Times New Roman"/>
      <w:b/>
      <w:sz w:val="32"/>
    </w:rPr>
  </w:style>
  <w:style w:type="paragraph" w:customStyle="1" w:styleId="Heading2TOC">
    <w:name w:val="Heading2 TOC"/>
    <w:basedOn w:val="Normal"/>
    <w:qFormat/>
    <w:rsid w:val="00B057A4"/>
    <w:pPr>
      <w:spacing w:before="240" w:after="60"/>
    </w:pPr>
    <w:rPr>
      <w:rFonts w:ascii="Times New Roman" w:hAnsi="Times New Roman"/>
      <w:b/>
      <w:sz w:val="28"/>
    </w:rPr>
  </w:style>
  <w:style w:type="character" w:customStyle="1" w:styleId="Underline">
    <w:name w:val="Underline"/>
    <w:basedOn w:val="DefaultParagraphFont"/>
    <w:qFormat/>
    <w:rsid w:val="00B057A4"/>
    <w:rPr>
      <w:u w:val="single"/>
    </w:rPr>
  </w:style>
  <w:style w:type="character" w:customStyle="1" w:styleId="BoldandItalics">
    <w:name w:val="Bold and Italics"/>
    <w:qFormat/>
    <w:rsid w:val="00B057A4"/>
    <w:rPr>
      <w:b/>
      <w:i/>
      <w:u w:val="none"/>
    </w:rPr>
  </w:style>
  <w:style w:type="paragraph" w:styleId="BalloonText">
    <w:name w:val="Balloon Text"/>
    <w:basedOn w:val="Normal"/>
    <w:link w:val="BalloonTextChar"/>
    <w:rsid w:val="00B057A4"/>
    <w:rPr>
      <w:rFonts w:ascii="Tahoma" w:hAnsi="Tahoma" w:cs="Tahoma"/>
      <w:sz w:val="16"/>
      <w:szCs w:val="16"/>
    </w:rPr>
  </w:style>
  <w:style w:type="character" w:customStyle="1" w:styleId="BalloonTextChar">
    <w:name w:val="Balloon Text Char"/>
    <w:basedOn w:val="DefaultParagraphFont"/>
    <w:link w:val="BalloonText"/>
    <w:rsid w:val="00B057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7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57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7A4"/>
    <w:rPr>
      <w:b/>
      <w:color w:val="660033"/>
      <w:spacing w:val="0"/>
    </w:rPr>
  </w:style>
  <w:style w:type="paragraph" w:customStyle="1" w:styleId="Nameditemlist">
    <w:name w:val="Named item list"/>
    <w:basedOn w:val="BodyText"/>
    <w:qFormat/>
    <w:rsid w:val="00B057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2961</Words>
  <Characters>18269</Characters>
  <Application>Microsoft Office Word</Application>
  <DocSecurity>0</DocSecurity>
  <Lines>641</Lines>
  <Paragraphs>285</Paragraphs>
  <ScaleCrop>false</ScaleCrop>
  <Company>Author-it Software Corporation Ltd.</Company>
  <LinksUpToDate>false</LinksUpToDate>
  <CharactersWithSpaces>21089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UEENEEJ162A Recover, pressure test, evacuate, charge and leak test refrigerants - appliances</dc:title>
  <dc:subject>Approved</dc:subject>
  <dc:creator>E-OZ Training Standards</dc:creator>
  <cp:keywords>Release: 3</cp:keywords>
  <dc:description>Review Date: 12 April 2008</dc:description>
  <cp:lastModifiedBy>TPCMS</cp:lastModifiedBy>
  <cp:revision>3</cp:revision>
  <dcterms:created xsi:type="dcterms:W3CDTF">2013-08-14T07:14:00Z</dcterms:created>
  <dcterms:modified xsi:type="dcterms:W3CDTF">2013-08-14T07:14:00Z</dcterms:modified>
</cp:coreProperties>
</file>