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BF6" w:rsidP="003A0BF6">
      <w:pPr>
        <w:pStyle w:val="Title"/>
      </w:pPr>
      <w:r>
        <w:fldChar w:fldCharType="begin"/>
      </w:r>
      <w:r>
        <w:instrText xml:space="preserve"> TITLE   \* MERGEFORMAT </w:instrText>
      </w:r>
      <w:r>
        <w:fldChar w:fldCharType="separate"/>
      </w:r>
      <w:r>
        <w:t>UEENEEJ161A Verify functionality and compliance of appliances</w:t>
      </w:r>
      <w:r>
        <w:fldChar w:fldCharType="end"/>
      </w:r>
    </w:p>
    <w:p w:rsidR="003A0BF6" w:rsidP="003A0BF6">
      <w:pPr>
        <w:pStyle w:val="Version"/>
        <w:sectPr w:rsidSect="00F06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0677C" w:rsidP="00F0677C">
      <w:pPr>
        <w:pStyle w:val="SuperHeading"/>
      </w:pPr>
      <w:r w:rsidRPr="00F0677C">
        <w:t>UEENEEJ161A Verify functionality and compliance of appliances</w:t>
      </w:r>
    </w:p>
    <w:p w:rsidR="00000000" w:rsidRPr="00F0677C" w:rsidP="00F0677C">
      <w:pPr>
        <w:pStyle w:val="Heading1"/>
      </w:pPr>
      <w:bookmarkStart w:id="1" w:name="O_590187"/>
      <w:bookmarkEnd w:id="1"/>
      <w:r w:rsidRPr="00F0677C">
        <w:t>Modification History</w:t>
      </w:r>
    </w:p>
    <w:p w:rsidR="00000000" w:rsidRPr="00F0677C" w:rsidP="00F0677C">
      <w:pPr>
        <w:pStyle w:val="BodyText"/>
      </w:pPr>
      <w:r w:rsidRPr="00F0677C">
        <w:t>Not Applicable</w:t>
      </w:r>
    </w:p>
    <w:p w:rsidR="00000000" w:rsidRPr="00F0677C" w:rsidP="00F0677C">
      <w:pPr>
        <w:pStyle w:val="AllowPageBreak"/>
      </w:pPr>
    </w:p>
    <w:p w:rsidR="00000000" w:rsidRPr="00F0677C" w:rsidP="00F0677C">
      <w:pPr>
        <w:pStyle w:val="Heading1"/>
      </w:pPr>
      <w:bookmarkStart w:id="2" w:name="O_590186"/>
      <w:bookmarkEnd w:id="2"/>
      <w:r w:rsidRPr="00F0677C">
        <w:t>Unit Descriptor</w:t>
      </w:r>
    </w:p>
    <w:tbl>
      <w:tblPr>
        <w:tblW w:w="0" w:type="auto"/>
        <w:tblLayout w:type="fixed"/>
        <w:tblCellMar>
          <w:left w:w="62" w:type="dxa"/>
          <w:right w:w="62" w:type="dxa"/>
        </w:tblCellMar>
        <w:tblLook w:val="0000"/>
      </w:tblPr>
      <w:tblGrid>
        <w:gridCol w:w="2700"/>
        <w:gridCol w:w="5760"/>
      </w:tblGrid>
      <w:tr w:rsidTr="003A0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1</w:t>
            </w:r>
            <w:r w:rsidRPr="00F0677C">
              <w:t xml:space="preserve">) </w:t>
            </w:r>
          </w:p>
          <w:p w:rsidR="00000000" w:rsidP="00F0677C">
            <w:pPr>
              <w:pStyle w:val="BodyText"/>
              <w:rPr>
                <w:lang w:val="en-NZ"/>
              </w:rPr>
            </w:pPr>
            <w:r w:rsidRPr="00F0677C">
              <w:rPr>
                <w:rStyle w:val="SpecialBold"/>
              </w:rPr>
              <w:t>1</w:t>
            </w:r>
            <w:r w:rsidRPr="00F0677C">
              <w:t>.</w:t>
            </w:r>
            <w:r w:rsidRPr="00F0677C">
              <w:rPr>
                <w:rStyle w:val="SpecialBold"/>
              </w:rPr>
              <w:t>1</w:t>
            </w:r>
            <w:r w:rsidRPr="00F0677C">
              <w:t xml:space="preserve">) </w:t>
            </w:r>
            <w:r w:rsidRPr="00F0677C">
              <w:rPr>
                <w:rStyle w:val="SpecialBold"/>
              </w:rPr>
              <w:t>Descriptor</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This unit covers testing and visually inspecting appliances to verifying that they are safe and comply with requirements. It encompasses procedures for conducting safety and functionality tests, conducting visual inspections, identifying non-compliance def</w:t>
            </w:r>
            <w:r w:rsidRPr="00F0677C">
              <w:t>ects, documenting results and recommendations and initiating the rectification of any defect.</w:t>
            </w:r>
          </w:p>
        </w:tc>
      </w:tr>
    </w:tbl>
    <w:p w:rsidR="003A0BF6" w:rsidP="00F0677C">
      <w:pPr>
        <w:pStyle w:val="BodyText"/>
      </w:pPr>
    </w:p>
    <w:p w:rsidR="003A0BF6" w:rsidP="00F0677C">
      <w:pPr>
        <w:pStyle w:val="BodyText"/>
      </w:pPr>
    </w:p>
    <w:p w:rsidR="00000000" w:rsidRPr="00F0677C" w:rsidP="00F0677C">
      <w:pPr>
        <w:pStyle w:val="Heading1"/>
      </w:pPr>
      <w:bookmarkStart w:id="3" w:name="O_590185"/>
      <w:bookmarkEnd w:id="3"/>
      <w:r w:rsidRPr="00F0677C">
        <w:t>Application of the Unit</w:t>
      </w:r>
    </w:p>
    <w:tbl>
      <w:tblPr>
        <w:tblW w:w="0" w:type="auto"/>
        <w:tblLayout w:type="fixed"/>
        <w:tblCellMar>
          <w:left w:w="62" w:type="dxa"/>
          <w:right w:w="62" w:type="dxa"/>
        </w:tblCellMar>
        <w:tblLook w:val="0000"/>
      </w:tblPr>
      <w:tblGrid>
        <w:gridCol w:w="2700"/>
        <w:gridCol w:w="5760"/>
      </w:tblGrid>
      <w:tr w:rsidTr="003A0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4</w:t>
            </w:r>
            <w:r w:rsidRPr="00F0677C">
              <w:t>)</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This unit is intended to augment previously acquired competencies. It is suitable for employment-based programs under an approved contract of training.</w:t>
            </w:r>
          </w:p>
        </w:tc>
      </w:tr>
    </w:tbl>
    <w:p w:rsidR="003A0BF6" w:rsidP="00F0677C">
      <w:pPr>
        <w:pStyle w:val="BodyText"/>
      </w:pPr>
    </w:p>
    <w:p w:rsidR="003A0BF6" w:rsidP="00F0677C">
      <w:pPr>
        <w:pStyle w:val="BodyText"/>
      </w:pPr>
    </w:p>
    <w:p w:rsidR="00000000" w:rsidRPr="00F0677C" w:rsidP="00F0677C">
      <w:pPr>
        <w:pStyle w:val="Heading1"/>
      </w:pPr>
      <w:bookmarkStart w:id="4" w:name="O_590184"/>
      <w:bookmarkEnd w:id="4"/>
      <w:r w:rsidRPr="00F0677C">
        <w:t>Licensing/Regulatory Information</w:t>
      </w:r>
    </w:p>
    <w:tbl>
      <w:tblPr>
        <w:tblW w:w="0" w:type="auto"/>
        <w:tblLayout w:type="fixed"/>
        <w:tblCellMar>
          <w:left w:w="62" w:type="dxa"/>
          <w:right w:w="62" w:type="dxa"/>
        </w:tblCellMar>
        <w:tblLook w:val="0000"/>
      </w:tblPr>
      <w:tblGrid>
        <w:gridCol w:w="8460"/>
      </w:tblGrid>
      <w:tr w:rsidTr="003A0B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1</w:t>
            </w:r>
            <w:r w:rsidRPr="00F0677C">
              <w:t>.</w:t>
            </w:r>
            <w:r w:rsidRPr="00F0677C">
              <w:rPr>
                <w:rStyle w:val="SpecialBold"/>
              </w:rPr>
              <w:t>2</w:t>
            </w:r>
            <w:r w:rsidRPr="00F0677C">
              <w:t xml:space="preserve">) </w:t>
            </w:r>
            <w:r w:rsidRPr="00F0677C">
              <w:rPr>
                <w:rStyle w:val="SpecialBold"/>
              </w:rPr>
              <w:t>License to practice</w:t>
            </w:r>
          </w:p>
        </w:tc>
      </w:tr>
      <w:tr w:rsidTr="003A0B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The skills and knowledge described in this unit require a license to practice in the workplace where plant and equipment operate at voltage above 50 V a.c. or 120 V d.c. In some States/Territories a licence is required to practise this unit in the workplac</w:t>
            </w:r>
            <w:r w:rsidRPr="00F0677C">
              <w:t>e subject to regulations for undertaking refrigeration and air conditioning work and in particular working with refrigerants. Practice in workplace and during training is also subject to regulations directly related to occupational health and safety and wh</w:t>
            </w:r>
            <w:r w:rsidRPr="00F0677C">
              <w:t>ere applicable contracts of training such as apprenticeships.</w:t>
            </w:r>
          </w:p>
        </w:tc>
      </w:tr>
    </w:tbl>
    <w:p w:rsidR="003A0BF6" w:rsidP="00F0677C">
      <w:pPr>
        <w:pStyle w:val="BodyText"/>
      </w:pPr>
    </w:p>
    <w:p w:rsidR="003A0BF6" w:rsidP="00F0677C">
      <w:pPr>
        <w:pStyle w:val="BodyText"/>
      </w:pPr>
    </w:p>
    <w:p w:rsidR="00000000" w:rsidRPr="00F0677C" w:rsidP="00F0677C">
      <w:pPr>
        <w:pStyle w:val="Heading1"/>
      </w:pPr>
      <w:bookmarkStart w:id="5" w:name="O_590183"/>
      <w:bookmarkEnd w:id="5"/>
      <w:r w:rsidRPr="00F0677C">
        <w:t>Pre-Requisites</w:t>
      </w:r>
    </w:p>
    <w:tbl>
      <w:tblPr>
        <w:tblW w:w="0" w:type="auto"/>
        <w:tblLayout w:type="fixed"/>
        <w:tblCellMar>
          <w:left w:w="62" w:type="dxa"/>
          <w:right w:w="62" w:type="dxa"/>
        </w:tblCellMar>
        <w:tblLook w:val="0000"/>
      </w:tblPr>
      <w:tblGrid>
        <w:gridCol w:w="2700"/>
        <w:gridCol w:w="1710"/>
        <w:gridCol w:w="4050"/>
      </w:tblGrid>
      <w:tr w:rsidTr="003A0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Prerequisite Unit</w:t>
            </w:r>
            <w:r w:rsidRPr="00F0677C">
              <w:t>(</w:t>
            </w:r>
            <w:r w:rsidRPr="00F0677C">
              <w:rPr>
                <w:rStyle w:val="SpecialBold"/>
              </w:rPr>
              <w:t>s</w:t>
            </w:r>
            <w:r w:rsidRPr="00F0677C">
              <w:t>)</w:t>
            </w:r>
          </w:p>
        </w:tc>
        <w:tc>
          <w:tcPr>
            <w:tcW w:w="5760" w:type="dxa"/>
            <w:gridSpan w:val="2"/>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2</w:t>
            </w:r>
            <w:r w:rsidRPr="00F0677C">
              <w:t xml:space="preserve">) </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677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2</w:t>
            </w:r>
            <w:r w:rsidRPr="00F0677C">
              <w:t>.</w:t>
            </w:r>
            <w:r w:rsidRPr="00F0677C">
              <w:rPr>
                <w:rStyle w:val="SpecialBold"/>
              </w:rPr>
              <w:t>1</w:t>
            </w:r>
            <w:r w:rsidRPr="00F0677C">
              <w:t xml:space="preserve">) </w:t>
            </w:r>
            <w:r w:rsidRPr="00F0677C">
              <w:rPr>
                <w:rStyle w:val="SpecialBold"/>
              </w:rPr>
              <w:t>Competencies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Granting competency in this unit shall be made only after competency in the following unit(s) has/have been confirmed.</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Apply Occupational Health and Safety regulations, codes and practices in the workplace </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Fabricate, assemble and dismantle electrotechnology components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Solve problems in extra-low voltage single path circuits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Fix and secure electrotechnology equipment</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Use drawings, diagrams, schedules, standards, co</w:t>
            </w:r>
            <w:r w:rsidRPr="00F0677C">
              <w:t>des and specifications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Document occupational hazards and risks in an electrotechnology environment</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UEENEEJ102A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Prepare and connect refrigeration tubing </w:t>
            </w:r>
            <w:r w:rsidRPr="00F0677C">
              <w:t>and fittings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UEENEEJ151A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Service small electrical appliances and power tools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UEENEEJ153A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Find and rectify faults in motors and associated controls in refrigeration and air conditioning systems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UEENEEJ154A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Find and rectify faults in appliance control systems and devices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UEENEEJ155A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Service refrigeration appliances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UEENEEJ156A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Service clothes washing machines and dryers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UEENEEJ162A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 Recover, pressure test, evacuate, charge and leak test refrigerants - appliances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UEENEEJ194A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Solve problems in low voltage refrigeration circuits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UEENEEJ195A</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Establish the basic operating conditions of vapour compression systems - appliances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UEENEEK042A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Participate in environmentally sustainable work practices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Disconnect / reconnect composite appliances connected to low voltage installation wi</w:t>
            </w:r>
            <w:r w:rsidRPr="00F0677C">
              <w:t>ring</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UEENEEP017A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Locate and rectify faults in low voltage composite appliances using set procedures</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UEENEEP024A </w:t>
            </w:r>
          </w:p>
        </w:tc>
        <w:tc>
          <w:tcPr>
            <w:tcW w:w="405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Attach cords and plugs to electrical equipment for connection to a single phase 230 Volt supply</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UEENEEP025A </w:t>
            </w:r>
          </w:p>
        </w:tc>
        <w:tc>
          <w:tcPr>
            <w:tcW w:w="405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Attach cords, cables and plugs to electrical equipment for connection to 1000 Va.c. or 1500 Vd.c. supply</w:t>
            </w:r>
          </w:p>
        </w:tc>
      </w:tr>
    </w:tbl>
    <w:p w:rsidR="003A0BF6" w:rsidP="00F0677C">
      <w:pPr>
        <w:pStyle w:val="BodyText"/>
      </w:pPr>
    </w:p>
    <w:p w:rsidR="003A0BF6" w:rsidP="00F0677C">
      <w:pPr>
        <w:pStyle w:val="BodyText"/>
      </w:pPr>
    </w:p>
    <w:p w:rsidR="00000000" w:rsidRPr="00F0677C" w:rsidP="00F0677C">
      <w:pPr>
        <w:pStyle w:val="Heading1"/>
      </w:pPr>
      <w:bookmarkStart w:id="6" w:name="O_590182"/>
      <w:bookmarkEnd w:id="6"/>
      <w:r w:rsidRPr="00F0677C">
        <w:t>Employability Skills Information</w:t>
      </w:r>
    </w:p>
    <w:tbl>
      <w:tblPr>
        <w:tblW w:w="0" w:type="auto"/>
        <w:tblLayout w:type="fixed"/>
        <w:tblCellMar>
          <w:left w:w="62" w:type="dxa"/>
          <w:right w:w="62" w:type="dxa"/>
        </w:tblCellMar>
        <w:tblLook w:val="0000"/>
      </w:tblPr>
      <w:tblGrid>
        <w:gridCol w:w="2700"/>
        <w:gridCol w:w="5760"/>
      </w:tblGrid>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3</w:t>
            </w:r>
            <w:r w:rsidRPr="00F0677C">
              <w:t>)</w:t>
            </w:r>
          </w:p>
          <w:p w:rsidR="00000000" w:rsidRPr="00F0677C" w:rsidP="00F0677C">
            <w:pPr>
              <w:pStyle w:val="BodyText"/>
            </w:pPr>
            <w:r w:rsidRPr="00F0677C">
              <w:t>This unit contains Employability Skills</w:t>
            </w:r>
          </w:p>
          <w:p w:rsidR="00000000" w:rsidRPr="00F0677C" w:rsidP="00F0677C">
            <w:pPr>
              <w:pStyle w:val="BodyText"/>
            </w:pPr>
            <w:r w:rsidRPr="00F0677C">
              <w:t>The required outcomes described in</w:t>
            </w:r>
            <w:r w:rsidRPr="00F0677C">
              <w:t xml:space="preserve"> this unit of competency contain applicable facets of Employability Skills. The Employability Skills Summary of the qualification in which this unit of competency is packaged will assist in identifying Employability Skill requirements.</w:t>
            </w:r>
          </w:p>
        </w:tc>
      </w:tr>
    </w:tbl>
    <w:p w:rsidR="003A0BF6" w:rsidP="00F0677C">
      <w:pPr>
        <w:pStyle w:val="BodyText"/>
      </w:pPr>
    </w:p>
    <w:p w:rsidR="003A0BF6" w:rsidP="00F0677C">
      <w:pPr>
        <w:pStyle w:val="BodyText"/>
      </w:pPr>
    </w:p>
    <w:p w:rsidR="00000000" w:rsidRPr="00F0677C" w:rsidP="00F0677C">
      <w:pPr>
        <w:pStyle w:val="Heading1"/>
      </w:pPr>
      <w:bookmarkStart w:id="7" w:name="O_590181"/>
      <w:bookmarkEnd w:id="7"/>
      <w:r w:rsidRPr="00F0677C">
        <w:t>Elements and Performance Criteria Pre-Content</w:t>
      </w:r>
    </w:p>
    <w:tbl>
      <w:tblPr>
        <w:tblW w:w="0" w:type="auto"/>
        <w:tblLayout w:type="fixed"/>
        <w:tblCellMar>
          <w:left w:w="62" w:type="dxa"/>
          <w:right w:w="62" w:type="dxa"/>
        </w:tblCellMar>
        <w:tblLook w:val="0000"/>
      </w:tblPr>
      <w:tblGrid>
        <w:gridCol w:w="2715"/>
        <w:gridCol w:w="5793"/>
      </w:tblGrid>
      <w:tr w:rsidTr="003A0BF6">
        <w:tblPrEx>
          <w:tblW w:w="0" w:type="auto"/>
          <w:tblLayout w:type="fixed"/>
          <w:tblCellMar>
            <w:left w:w="62" w:type="dxa"/>
            <w:right w:w="62" w:type="dxa"/>
          </w:tblCellMar>
          <w:tblLook w:val="0000"/>
        </w:tblPrEx>
        <w:tc>
          <w:tcPr>
            <w:tcW w:w="271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6</w:t>
            </w:r>
            <w:r w:rsidRPr="00F0677C">
              <w:t>) Elements describe the essential outcomes of a unit</w:t>
            </w:r>
          </w:p>
        </w:tc>
        <w:tc>
          <w:tcPr>
            <w:tcW w:w="5793"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 xml:space="preserve">Performance criteria describe the required performance needed to demonstrate achievement of the element. Assessment of performance is to be consistent with </w:t>
            </w:r>
            <w:r w:rsidRPr="00F0677C">
              <w:t>the evidence guide.</w:t>
            </w:r>
          </w:p>
        </w:tc>
      </w:tr>
    </w:tbl>
    <w:p w:rsidR="00000000" w:rsidRPr="00F0677C" w:rsidP="00F0677C">
      <w:pPr>
        <w:pStyle w:val="BodyText"/>
      </w:pPr>
    </w:p>
    <w:p w:rsidR="00000000" w:rsidRPr="00F0677C" w:rsidP="00F0677C">
      <w:pPr>
        <w:pStyle w:val="AllowPageBreak"/>
      </w:pPr>
    </w:p>
    <w:p w:rsidR="00000000" w:rsidRPr="00F0677C" w:rsidP="00F0677C">
      <w:pPr>
        <w:pStyle w:val="Heading1"/>
      </w:pPr>
      <w:bookmarkStart w:id="8" w:name="O_590180"/>
      <w:bookmarkEnd w:id="8"/>
      <w:r w:rsidRPr="00F0677C">
        <w:t>Elements and Performance Criteria</w:t>
      </w:r>
    </w:p>
    <w:tbl>
      <w:tblPr>
        <w:tblW w:w="0" w:type="auto"/>
        <w:tblLayout w:type="fixed"/>
        <w:tblCellMar>
          <w:left w:w="62" w:type="dxa"/>
          <w:right w:w="62" w:type="dxa"/>
        </w:tblCellMar>
        <w:tblLook w:val="0000"/>
      </w:tblPr>
      <w:tblGrid>
        <w:gridCol w:w="543"/>
        <w:gridCol w:w="2172"/>
        <w:gridCol w:w="905"/>
        <w:gridCol w:w="4888"/>
      </w:tblGrid>
      <w:tr w:rsidTr="003A0BF6">
        <w:tblPrEx>
          <w:tblW w:w="0" w:type="auto"/>
          <w:tblLayout w:type="fixed"/>
          <w:tblCellMar>
            <w:left w:w="62" w:type="dxa"/>
            <w:right w:w="62" w:type="dxa"/>
          </w:tblCellMar>
          <w:tblLook w:val="0000"/>
        </w:tblPrEx>
        <w:trPr>
          <w:tblHeader/>
        </w:trPr>
        <w:tc>
          <w:tcPr>
            <w:tcW w:w="2715" w:type="dxa"/>
            <w:gridSpan w:val="2"/>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ELEMENT</w:t>
            </w:r>
          </w:p>
        </w:tc>
        <w:tc>
          <w:tcPr>
            <w:tcW w:w="5793" w:type="dxa"/>
            <w:gridSpan w:val="2"/>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PERFORMANCE CRITERIA</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w:t>
            </w:r>
          </w:p>
        </w:tc>
        <w:tc>
          <w:tcPr>
            <w:tcW w:w="2172" w:type="dxa"/>
            <w:vMerge w:val="restart"/>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Prepare to verify functionality and compliance of appliances</w:t>
            </w: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1.1</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OHS procedures for a given work area are identified, identified, obtained </w:t>
            </w:r>
            <w:r w:rsidRPr="00F0677C">
              <w:t xml:space="preserve">and understood </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1.2</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Established OHS risk control measures and procedures are followed in preparation for the work.</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1.3</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Safety hazards which have not previously been identified are noted and established risk control measures are implemented.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1.4</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Appropriate personnel are consulted to ensure the work is coordinated effectively with others involved on the work site</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1.5</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Inspection and tests are appropriately sequenced in accordance with job schedule.</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1.6</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Materials needed for the tests and verification are obtained in accordance with established procedures and checked against job requirements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1.7</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 xml:space="preserve">Tools, equipment and testing devices needed to verify compliance are obtained in accordance with established </w:t>
            </w:r>
            <w:r w:rsidRPr="00F0677C">
              <w:t>procedures and checked for correct operation and safety</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w:t>
            </w:r>
          </w:p>
        </w:tc>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Visually inspect appliances</w:t>
            </w: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2.1</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OHS risk control measures and procedures for carrying out the work are followed.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2.2</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Appliances are checked as being isolated where necessary in strict accordance</w:t>
            </w:r>
            <w:r w:rsidRPr="00F0677C">
              <w:t xml:space="preserve"> OHS requirements and procedures.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2.3</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Accessories and components are validated as being appropriately rated and meeting functional requirements.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2.4</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Evidence that equipment complies with safety and functional requirements is cited.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2.5</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Established methods for dealing with unexpected situations are discussed with appropriate person or persons and documented.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2.6</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Unexpected situations are dealt with safely and with the approval of an authorised person.</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2.7</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Inspection is carried out e</w:t>
            </w:r>
            <w:r w:rsidRPr="00F0677C">
              <w:t>fficiently without waste of materials or damage to apparatus and the surrounding environment or services and using sustainable energy practices.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w:t>
            </w:r>
          </w:p>
        </w:tc>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Conduct tests</w:t>
            </w: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3.1</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OHS risk control measures and procedures for carrying out the work are followed.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3.2</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Testing or measuring on a live and operating system in strict accordance with OHS requirements and within established safety procedures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3.3</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Appliances are checked as being isolated in strict accordance OHS requirements and procedures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3.4</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Electrical t</w:t>
            </w:r>
            <w:r w:rsidRPr="00F0677C">
              <w:t>ests are conducted to verify that the electrical circuit within the appliance is safe and function as intended.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3.5</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Refrigeration tests are conducted to verify that the refrigeration components and pipe work within the appliance is safe and functions as</w:t>
            </w:r>
            <w:r w:rsidRPr="00F0677C">
              <w:t xml:space="preserve"> intended.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3.6</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Established methods for dealing with unexpected situations are discussed with appropriate person or persons and documented.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3.7</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Unexpected situations are dealt with safely and with the approval of an authorised person.</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3.8</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Testing is carried out efficiently without waste of materials or damage to apparatus and the surrounding environment or services and using sustainable energy practices.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4</w:t>
            </w:r>
          </w:p>
        </w:tc>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Report inspection and verification findings</w:t>
            </w: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4.1</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OHS work completion risk control mea</w:t>
            </w:r>
            <w:r w:rsidRPr="00F0677C">
              <w:t>sures and procedures are followed.</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4.2</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Appliance is cleaned and made safe in accordance with established procedures.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4.3</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Non-compliance defects are identified and reported in accordance with established procedures.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4.4</w:t>
            </w:r>
          </w:p>
        </w:tc>
        <w:tc>
          <w:tcPr>
            <w:tcW w:w="4888"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Recommendations for rectifying defects are made in accordance with established procedures.</w:t>
            </w:r>
          </w:p>
        </w:tc>
      </w:tr>
      <w:tr w:rsidTr="003A0BF6">
        <w:tblPrEx>
          <w:tblW w:w="0" w:type="auto"/>
          <w:tblLayout w:type="fixed"/>
          <w:tblCellMar>
            <w:left w:w="62" w:type="dxa"/>
            <w:right w:w="62" w:type="dxa"/>
          </w:tblCellMar>
          <w:tblLook w:val="0000"/>
        </w:tblPrEx>
        <w:tc>
          <w:tcPr>
            <w:tcW w:w="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4.5</w:t>
            </w:r>
          </w:p>
        </w:tc>
        <w:tc>
          <w:tcPr>
            <w:tcW w:w="4888"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Work completion is documented and an appropriate person or persons notified in accordance with established procedures</w:t>
            </w:r>
          </w:p>
        </w:tc>
      </w:tr>
    </w:tbl>
    <w:p w:rsidR="003A0BF6" w:rsidP="00F0677C">
      <w:pPr>
        <w:pStyle w:val="BodyText"/>
      </w:pPr>
    </w:p>
    <w:p w:rsidR="003A0BF6" w:rsidP="00F0677C">
      <w:pPr>
        <w:pStyle w:val="BodyText"/>
      </w:pPr>
    </w:p>
    <w:p w:rsidR="00000000" w:rsidRPr="00F0677C" w:rsidP="00F0677C">
      <w:pPr>
        <w:pStyle w:val="Heading1"/>
      </w:pPr>
      <w:bookmarkStart w:id="9" w:name="O_590179"/>
      <w:bookmarkEnd w:id="9"/>
      <w:r w:rsidRPr="00F0677C">
        <w:t xml:space="preserve">Required Skills and </w:t>
      </w:r>
      <w:r w:rsidRPr="00F0677C">
        <w:t>Knowledge</w:t>
      </w:r>
    </w:p>
    <w:tbl>
      <w:tblPr>
        <w:tblW w:w="0" w:type="auto"/>
        <w:tblLayout w:type="fixed"/>
        <w:tblCellMar>
          <w:left w:w="62" w:type="dxa"/>
          <w:right w:w="62" w:type="dxa"/>
        </w:tblCellMar>
        <w:tblLook w:val="0000"/>
      </w:tblPr>
      <w:tblGrid>
        <w:gridCol w:w="8460"/>
      </w:tblGrid>
      <w:tr w:rsidTr="003A0B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REQUIRED SKILLS AND KNOWLEDGE</w:t>
            </w:r>
          </w:p>
        </w:tc>
      </w:tr>
      <w:tr w:rsidTr="003A0B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7)</w:t>
            </w:r>
            <w:r w:rsidRPr="00F0677C">
              <w:t xml:space="preserve"> This describes the essential skills and knowledge and their level, required for this unit.</w:t>
            </w:r>
          </w:p>
        </w:tc>
      </w:tr>
      <w:tr w:rsidTr="003A0B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 xml:space="preserve">Evidence shall show that knowledge has been acquired of safe working practices and verifying compliance and functionality of appliances. </w:t>
            </w:r>
          </w:p>
          <w:p w:rsidR="00000000" w:rsidRPr="00F0677C" w:rsidP="00F0677C">
            <w:pPr>
              <w:pStyle w:val="BodyText"/>
            </w:pPr>
            <w:r w:rsidRPr="00F0677C">
              <w:t>All knowledge and skills detailed in this unit should be contextualised to current industry practices and technologies</w:t>
            </w:r>
            <w:r w:rsidRPr="00F0677C">
              <w:t>.</w:t>
            </w:r>
          </w:p>
          <w:p w:rsidR="00000000" w:rsidRPr="00F0677C" w:rsidP="00F0677C">
            <w:pPr>
              <w:pStyle w:val="BodyText"/>
            </w:pPr>
            <w:r w:rsidRPr="00F0677C">
              <w:rPr>
                <w:rStyle w:val="SpecialBold"/>
              </w:rPr>
              <w:t>KS01-EJ161A</w:t>
            </w:r>
            <w:r w:rsidRPr="00F0677C">
              <w:rPr>
                <w:rStyle w:val="SpecialBold"/>
              </w:rPr>
              <w:tab/>
              <w:t xml:space="preserve">                Appliance, testing and compliance verification methods</w:t>
            </w:r>
          </w:p>
          <w:p w:rsidR="00000000" w:rsidRPr="00F0677C" w:rsidP="00F0677C">
            <w:pPr>
              <w:pStyle w:val="BodyText"/>
            </w:pPr>
            <w:r w:rsidRPr="00F0677C">
              <w:t xml:space="preserve">Evidence shall show an understanding of appliance testing and compliance verification, applying safe working practices and relevant Standards, Codes and Regulations to an </w:t>
            </w:r>
            <w:r w:rsidRPr="00F0677C">
              <w:t>extent indicated by the following aspects:</w:t>
            </w:r>
          </w:p>
          <w:p w:rsidR="00000000" w:rsidRPr="00F0677C" w:rsidP="00F0677C">
            <w:pPr>
              <w:pStyle w:val="BodyText"/>
            </w:pPr>
            <w:r w:rsidRPr="00F0677C">
              <w:t>T1          Mandatory testing and verification requirements.</w:t>
            </w:r>
          </w:p>
          <w:p w:rsidR="00000000" w:rsidRPr="00F0677C" w:rsidP="00F0677C">
            <w:pPr>
              <w:pStyle w:val="BodyText"/>
            </w:pPr>
            <w:r w:rsidRPr="00F0677C">
              <w:t xml:space="preserve">T2          Appliance efficiency </w:t>
            </w:r>
          </w:p>
          <w:p w:rsidR="00000000" w:rsidRPr="00F0677C" w:rsidP="00F0677C">
            <w:pPr>
              <w:pStyle w:val="BodyText"/>
            </w:pPr>
            <w:r w:rsidRPr="00F0677C">
              <w:t>T3          Testing techniques</w:t>
            </w:r>
          </w:p>
          <w:p w:rsidR="00000000" w:rsidRPr="00F0677C" w:rsidP="00F0677C">
            <w:pPr>
              <w:pStyle w:val="BodyText"/>
            </w:pPr>
            <w:r w:rsidRPr="00F0677C">
              <w:t>T4          Visual inspection methods</w:t>
            </w:r>
          </w:p>
        </w:tc>
      </w:tr>
    </w:tbl>
    <w:p w:rsidR="003A0BF6" w:rsidP="00F0677C">
      <w:pPr>
        <w:pStyle w:val="BodyText"/>
      </w:pPr>
    </w:p>
    <w:p w:rsidR="003A0BF6" w:rsidP="00F0677C">
      <w:pPr>
        <w:pStyle w:val="BodyText"/>
      </w:pPr>
    </w:p>
    <w:p w:rsidR="00000000" w:rsidRPr="00F0677C" w:rsidP="00F0677C">
      <w:pPr>
        <w:pStyle w:val="Heading1"/>
      </w:pPr>
      <w:bookmarkStart w:id="10" w:name="O_590178"/>
      <w:bookmarkEnd w:id="10"/>
      <w:r w:rsidRPr="00F0677C">
        <w:t>Evidence Guide</w:t>
      </w:r>
    </w:p>
    <w:tbl>
      <w:tblPr>
        <w:tblW w:w="0" w:type="auto"/>
        <w:tblLayout w:type="fixed"/>
        <w:tblCellMar>
          <w:left w:w="62" w:type="dxa"/>
          <w:right w:w="62" w:type="dxa"/>
        </w:tblCellMar>
        <w:tblLook w:val="0000"/>
      </w:tblPr>
      <w:tblGrid>
        <w:gridCol w:w="2172"/>
        <w:gridCol w:w="724"/>
        <w:gridCol w:w="543"/>
        <w:gridCol w:w="5069"/>
      </w:tblGrid>
      <w:tr w:rsidTr="003A0BF6">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EVIDENCE GUIDE</w:t>
            </w:r>
          </w:p>
        </w:tc>
      </w:tr>
      <w:tr w:rsidTr="003A0BF6">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9</w:t>
            </w:r>
            <w:r w:rsidRPr="00F0677C">
              <w:t>) The evidence guide provides advice on assessment and must be read in conjunction with the Performance Criteria, Required Skills and Knowledge, the Range Statement and the Assessment Guidelines for this Training Package. .</w:t>
            </w:r>
          </w:p>
          <w:p w:rsidR="00000000" w:rsidP="00F0677C">
            <w:pPr>
              <w:pStyle w:val="BodyText"/>
              <w:rPr>
                <w:lang w:val="en-NZ"/>
              </w:rPr>
            </w:pPr>
            <w:r w:rsidRPr="00F0677C">
              <w:t>The Evidence Guide forms an integral part of this Unit. It must be used in conjunction with all parts of this unit and performed in accordance with the Assessment Guidelines of this Training Package.</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Overview of Assessment</w:t>
            </w:r>
          </w:p>
        </w:tc>
        <w:tc>
          <w:tcPr>
            <w:tcW w:w="6336" w:type="dxa"/>
            <w:gridSpan w:val="3"/>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9</w:t>
            </w:r>
            <w:r w:rsidRPr="00F0677C">
              <w:t>.</w:t>
            </w:r>
            <w:r w:rsidRPr="00F0677C">
              <w:rPr>
                <w:rStyle w:val="SpecialBold"/>
              </w:rPr>
              <w:t>1</w:t>
            </w:r>
            <w:r w:rsidRPr="00F0677C">
              <w:t xml:space="preserve">) </w:t>
            </w:r>
          </w:p>
          <w:p w:rsidR="00000000" w:rsidRPr="00F0677C" w:rsidP="00F0677C">
            <w:pPr>
              <w:pStyle w:val="BodyText"/>
            </w:pPr>
            <w:r w:rsidRPr="00F0677C">
              <w:t>Longitudinal competency</w:t>
            </w:r>
            <w:r w:rsidRPr="00F0677C">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F0677C">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F0677C">
              <w:t>simulated work environment. In some circumstances, assessment in part or full can occur outside the workplace. However, it must be in accordance with industry and regulatory policy.</w:t>
            </w:r>
          </w:p>
          <w:p w:rsidR="00000000" w:rsidRPr="00F0677C" w:rsidP="00F0677C">
            <w:pPr>
              <w:pStyle w:val="BodyText"/>
            </w:pPr>
            <w:r w:rsidRPr="00F0677C">
              <w:t>Methods chosen for a particular assessment will be influenced by various f</w:t>
            </w:r>
            <w:r w:rsidRPr="00F0677C">
              <w:t>actors. These include the extent of the assessment, the most effective locations for the assessment activities to take place, access to physical resources, additional safety measures that may be required and the critical nature of the competencies being as</w:t>
            </w:r>
            <w:r w:rsidRPr="00F0677C">
              <w:t>sessed.</w:t>
            </w:r>
          </w:p>
          <w:p w:rsidR="00000000" w:rsidRPr="00F0677C" w:rsidP="00F0677C">
            <w:pPr>
              <w:pStyle w:val="BodyText"/>
            </w:pPr>
            <w:r w:rsidRPr="00F0677C">
              <w:t>The critical safety nature of working with electricity, electrical equipment, gas or any other hazardous substance/material carries risk in deeming a person competent. Sources of evidence need to be 'rich' in nature to minimise error in judgment.</w:t>
            </w:r>
          </w:p>
          <w:p w:rsidR="00000000" w:rsidP="00F0677C">
            <w:pPr>
              <w:pStyle w:val="BodyText"/>
              <w:rPr>
                <w:lang w:val="en-NZ"/>
              </w:rPr>
            </w:pPr>
            <w:r w:rsidRPr="00F0677C">
              <w:t>A</w:t>
            </w:r>
            <w:r w:rsidRPr="00F0677C">
              <w:t>ctivities associated with normal everyday work influence decisions about how/how much the data gathered will contribute to its 'richness'. Some skills are more critical to safety and operational requirements while the same skills may be more or less freque</w:t>
            </w:r>
            <w:r w:rsidRPr="00F0677C">
              <w:t>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3A0BF6">
        <w:tblPrEx>
          <w:tblW w:w="0" w:type="auto"/>
          <w:tblLayout w:type="fixed"/>
          <w:tblCellMar>
            <w:left w:w="62" w:type="dxa"/>
            <w:right w:w="62" w:type="dxa"/>
          </w:tblCellMar>
          <w:tblLook w:val="0000"/>
        </w:tblPrEx>
        <w:tc>
          <w:tcPr>
            <w:tcW w:w="2172" w:type="dxa"/>
            <w:vMerge w:val="restart"/>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 xml:space="preserve">Critical aspects of evidence required to demonstrate competency </w:t>
            </w:r>
            <w:r w:rsidRPr="00F0677C">
              <w:rPr>
                <w:rStyle w:val="SpecialBold"/>
              </w:rPr>
              <w:t>in this unit</w:t>
            </w:r>
          </w:p>
        </w:tc>
        <w:tc>
          <w:tcPr>
            <w:tcW w:w="6336" w:type="dxa"/>
            <w:gridSpan w:val="3"/>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9</w:t>
            </w:r>
            <w:r w:rsidRPr="00F0677C">
              <w:t>.</w:t>
            </w:r>
            <w:r w:rsidRPr="00F0677C">
              <w:rPr>
                <w:rStyle w:val="SpecialBold"/>
              </w:rPr>
              <w:t>2</w:t>
            </w:r>
            <w:r w:rsidRPr="00F0677C">
              <w:t xml:space="preserve">) </w:t>
            </w:r>
          </w:p>
          <w:p w:rsidR="00000000" w:rsidP="00F0677C">
            <w:pPr>
              <w:pStyle w:val="BodyText"/>
              <w:rPr>
                <w:lang w:val="en-NZ"/>
              </w:rPr>
            </w:pPr>
            <w:r w:rsidRPr="00F0677C">
              <w:t>Before the critical aspects of evidence are considered all prerequisites must be met.</w:t>
            </w:r>
          </w:p>
        </w:tc>
      </w:tr>
      <w:tr w:rsidTr="003A0BF6">
        <w:tblPrEx>
          <w:tblW w:w="0" w:type="auto"/>
          <w:tblLayout w:type="fixed"/>
          <w:tblCellMar>
            <w:left w:w="62" w:type="dxa"/>
            <w:right w:w="62" w:type="dxa"/>
          </w:tblCellMar>
          <w:tblLook w:val="0000"/>
        </w:tblPrEx>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Evidence for competence in this unit shall be considered holistically.  Each Ele</w:t>
            </w:r>
            <w:r w:rsidRPr="00F0677C">
              <w:t>ment and associated performance criteria shall be demonstrated on at least two occasions in accordance with the 'Assessment Guidelines - UEE07'.  Evidence shall also comprise:</w:t>
            </w:r>
          </w:p>
          <w:p w:rsidR="00000000" w:rsidP="00F0677C">
            <w:pPr>
              <w:pStyle w:val="ListBullet"/>
              <w:rPr>
                <w:lang w:val="en-NZ"/>
              </w:rPr>
            </w:pPr>
            <w:r w:rsidRPr="00F0677C">
              <w:t>A representative body of work performance demonstrated within the timeframes ty</w:t>
            </w:r>
            <w:r w:rsidRPr="00F0677C">
              <w:t>pically expected of the discipline, work function and industrial environment. In particular this shall incorporate evidence that shows a candidate is able to:</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F0677C" w:rsidP="00F0677C">
            <w:pPr>
              <w:pStyle w:val="ListBullet2"/>
            </w:pPr>
            <w:r w:rsidRPr="00F0677C">
              <w:t xml:space="preserve">Implement Occupational Health and Safety workplace procedures and practices including </w:t>
            </w:r>
            <w:r w:rsidRPr="00F0677C">
              <w:t>the use of risk control measures as specified in the performance criteria and range statement</w:t>
            </w:r>
          </w:p>
          <w:p w:rsidR="00000000" w:rsidRPr="00F0677C" w:rsidP="00F0677C">
            <w:pPr>
              <w:pStyle w:val="ListBullet2"/>
            </w:pPr>
            <w:r w:rsidRPr="00F0677C">
              <w:t>Apply sustainable energy principles and practices as specified in the performance criteria and range statement</w:t>
            </w:r>
          </w:p>
          <w:p w:rsidR="00000000" w:rsidRPr="00F0677C" w:rsidP="00F0677C">
            <w:pPr>
              <w:pStyle w:val="ListBullet2"/>
            </w:pPr>
            <w:r w:rsidRPr="00F0677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F0677C" w:rsidP="00F0677C">
            <w:pPr>
              <w:pStyle w:val="ListBullet2"/>
            </w:pPr>
            <w:r w:rsidRPr="00F0677C">
              <w:t>Demonst</w:t>
            </w:r>
            <w:r w:rsidRPr="00F0677C">
              <w:t>rate an appropriate level of skills enabling employment</w:t>
            </w:r>
          </w:p>
          <w:p w:rsidR="00000000" w:rsidP="00F0677C">
            <w:pPr>
              <w:pStyle w:val="ListBullet2"/>
              <w:rPr>
                <w:lang w:val="en-NZ"/>
              </w:rPr>
            </w:pPr>
            <w:r w:rsidRPr="00F0677C">
              <w:t>Conduct work observing the relevant Anti Discrimination legislation, regulations, polices and workplace procedures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F0677C">
            <w:pPr>
              <w:pStyle w:val="ListBullet"/>
              <w:rPr>
                <w:lang w:val="en-NZ"/>
              </w:rPr>
            </w:pPr>
            <w:r w:rsidRPr="00F0677C">
              <w:t>Demonstrated consistent performance across a representative range of contexts fr</w:t>
            </w:r>
            <w:r w:rsidRPr="00F0677C">
              <w:t>om the prescribed items below:</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F0677C">
            <w:pPr>
              <w:pStyle w:val="ListBullet2"/>
              <w:rPr>
                <w:lang w:val="en-NZ"/>
              </w:rPr>
            </w:pPr>
            <w:r w:rsidRPr="00F0677C">
              <w:t>Verify compliance and functionality of appliances as described in 8) and including:</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Identifying visual defects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B</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Conducting all electrical tests safely and correctly</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C</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Conducting all refrigeration tests safely and correctly</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D</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Identifying non-compliant defects from test results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Recommending appropriate corrective actions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F</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Acting within regulatory limits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G</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Reporting legibly and accurately</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H</w:t>
            </w:r>
          </w:p>
        </w:tc>
        <w:tc>
          <w:tcPr>
            <w:tcW w:w="506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Dealing with unplanned events by drawing on essential knowledge and skills to provide appropriate solutions incorporated in the holistic assessment with the above listed items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Context of and specific resources for assessment</w:t>
            </w:r>
          </w:p>
        </w:tc>
        <w:tc>
          <w:tcPr>
            <w:tcW w:w="6336" w:type="dxa"/>
            <w:gridSpan w:val="3"/>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9</w:t>
            </w:r>
            <w:r w:rsidRPr="00F0677C">
              <w:t>.</w:t>
            </w:r>
            <w:r w:rsidRPr="00F0677C">
              <w:rPr>
                <w:rStyle w:val="SpecialBold"/>
              </w:rPr>
              <w:t>3</w:t>
            </w:r>
            <w:r w:rsidRPr="00F0677C">
              <w:t xml:space="preserve">) </w:t>
            </w:r>
          </w:p>
          <w:p w:rsidR="00000000" w:rsidRPr="00F0677C" w:rsidP="00F0677C">
            <w:pPr>
              <w:pStyle w:val="BodyText"/>
            </w:pPr>
            <w:r w:rsidRPr="00F0677C">
              <w:t>This unit should be asse</w:t>
            </w:r>
            <w:r w:rsidRPr="00F0677C">
              <w:t>ssed as it relates to normal work practice using procedures, information and resources typical of a workplace. This should include:</w:t>
            </w:r>
          </w:p>
          <w:p w:rsidR="00000000" w:rsidRPr="00F0677C" w:rsidP="00F0677C">
            <w:pPr>
              <w:pStyle w:val="ListBullet"/>
            </w:pPr>
            <w:r w:rsidRPr="00F0677C">
              <w:t>OHS policy and work procedures and instructions.</w:t>
            </w:r>
          </w:p>
          <w:p w:rsidR="00000000" w:rsidRPr="00F0677C" w:rsidP="00F0677C">
            <w:pPr>
              <w:pStyle w:val="ListBullet"/>
            </w:pPr>
            <w:r w:rsidRPr="00F0677C">
              <w:t>Suitable work environment, facilities, equipment and materials to undertake actual work as prescribed by this unit.</w:t>
            </w:r>
          </w:p>
          <w:p w:rsidR="00000000" w:rsidRPr="00F0677C" w:rsidP="00F0677C">
            <w:pPr>
              <w:pStyle w:val="BodyText"/>
            </w:pPr>
            <w:r w:rsidRPr="00F0677C">
              <w:t>These should be part of the formal learning/assessment environment.</w:t>
            </w:r>
          </w:p>
          <w:p w:rsidR="00000000" w:rsidP="00F0677C">
            <w:pPr>
              <w:pStyle w:val="BodyText"/>
              <w:rPr>
                <w:lang w:val="en-NZ"/>
              </w:rPr>
            </w:pPr>
            <w:r w:rsidRPr="00F0677C">
              <w:t xml:space="preserve">Note: </w:t>
            </w:r>
            <w:r w:rsidRPr="00F0677C">
              <w:br/>
              <w:t>Where simulation is considered a suitable strategy for assessment</w:t>
            </w:r>
            <w:r w:rsidRPr="00F0677C">
              <w:t>, conditions must be authentic and as far as possible reproduce and replicate the workplace and be consistent with the approved industry simulation policy.</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Evidence should show demonstrated competency in verifying compliance and functionality of applia</w:t>
            </w:r>
            <w:r w:rsidRPr="00F0677C">
              <w:t>nces.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Method of assessment</w:t>
            </w:r>
          </w:p>
        </w:tc>
        <w:tc>
          <w:tcPr>
            <w:tcW w:w="6336" w:type="dxa"/>
            <w:gridSpan w:val="3"/>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9</w:t>
            </w:r>
            <w:r w:rsidRPr="00F0677C">
              <w:t>.</w:t>
            </w:r>
            <w:r w:rsidRPr="00F0677C">
              <w:rPr>
                <w:rStyle w:val="SpecialBold"/>
              </w:rPr>
              <w:t>4</w:t>
            </w:r>
            <w:r w:rsidRPr="00F0677C">
              <w:t xml:space="preserve">) </w:t>
            </w:r>
          </w:p>
          <w:p w:rsidR="00000000" w:rsidRPr="00F0677C" w:rsidP="00F0677C">
            <w:pPr>
              <w:pStyle w:val="BodyText"/>
            </w:pPr>
            <w:r w:rsidRPr="00F0677C">
              <w:t>This unit shall be assessed by methods given in Volume 1, Part 3 'Assessment Guidelines'.</w:t>
            </w:r>
          </w:p>
          <w:p w:rsidR="00000000" w:rsidP="00F0677C">
            <w:pPr>
              <w:pStyle w:val="BodyText"/>
              <w:rPr>
                <w:lang w:val="en-NZ"/>
              </w:rPr>
            </w:pPr>
            <w:r w:rsidRPr="00F0677C">
              <w:t xml:space="preserve">Note: </w:t>
            </w:r>
            <w:r w:rsidRPr="00F0677C">
              <w:br/>
            </w:r>
            <w:r w:rsidRPr="00F0677C">
              <w:t>Competent performance with inherent safe working practices is expected in the Industry to which this unit applies. This requires assessment in a structured environment which is intended primarily for learning/assessment and incorporates all necessary equip</w:t>
            </w:r>
            <w:r w:rsidRPr="00F0677C">
              <w:t>ment and facilities for learners to develop and demonstrate the essential knowledge and skills described in this unit.</w:t>
            </w:r>
          </w:p>
        </w:tc>
      </w:tr>
      <w:tr w:rsidTr="003A0BF6">
        <w:tblPrEx>
          <w:tblW w:w="0" w:type="auto"/>
          <w:tblLayout w:type="fixed"/>
          <w:tblCellMar>
            <w:left w:w="62" w:type="dxa"/>
            <w:right w:w="62" w:type="dxa"/>
          </w:tblCellMar>
          <w:tblLook w:val="0000"/>
        </w:tblPrEx>
        <w:tc>
          <w:tcPr>
            <w:tcW w:w="2172" w:type="dxa"/>
            <w:vMerge w:val="restart"/>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Concurrent assessment and relationship with other units</w:t>
            </w:r>
          </w:p>
        </w:tc>
        <w:tc>
          <w:tcPr>
            <w:tcW w:w="6336" w:type="dxa"/>
            <w:gridSpan w:val="3"/>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9</w:t>
            </w:r>
            <w:r w:rsidRPr="00F0677C">
              <w:t>.</w:t>
            </w:r>
            <w:r w:rsidRPr="00F0677C">
              <w:rPr>
                <w:rStyle w:val="SpecialBold"/>
              </w:rPr>
              <w:t>5</w:t>
            </w:r>
            <w:r w:rsidRPr="00F0677C">
              <w:t>)</w:t>
            </w:r>
          </w:p>
        </w:tc>
      </w:tr>
      <w:tr w:rsidTr="003A0BF6">
        <w:tblPrEx>
          <w:tblW w:w="0" w:type="auto"/>
          <w:tblLayout w:type="fixed"/>
          <w:tblCellMar>
            <w:left w:w="62" w:type="dxa"/>
            <w:right w:w="62" w:type="dxa"/>
          </w:tblCellMar>
          <w:tblLook w:val="0000"/>
        </w:tblPrEx>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There are no concurrent assessment recommendations for this unit.</w:t>
            </w:r>
          </w:p>
        </w:tc>
      </w:tr>
    </w:tbl>
    <w:p w:rsidR="003A0BF6" w:rsidP="00F0677C">
      <w:pPr>
        <w:pStyle w:val="BodyText"/>
      </w:pPr>
    </w:p>
    <w:p w:rsidR="003A0BF6" w:rsidP="00F0677C">
      <w:pPr>
        <w:pStyle w:val="BodyText"/>
      </w:pPr>
    </w:p>
    <w:p w:rsidR="00000000" w:rsidRPr="00F0677C" w:rsidP="00F0677C">
      <w:pPr>
        <w:pStyle w:val="Heading1"/>
      </w:pPr>
      <w:bookmarkStart w:id="11" w:name="O_590177"/>
      <w:bookmarkEnd w:id="11"/>
      <w:r w:rsidRPr="00F0677C">
        <w:t>Range Statement</w:t>
      </w:r>
    </w:p>
    <w:tbl>
      <w:tblPr>
        <w:tblW w:w="0" w:type="auto"/>
        <w:tblLayout w:type="fixed"/>
        <w:tblCellMar>
          <w:left w:w="62" w:type="dxa"/>
          <w:right w:w="62" w:type="dxa"/>
        </w:tblCellMar>
        <w:tblLook w:val="0000"/>
      </w:tblPr>
      <w:tblGrid>
        <w:gridCol w:w="2172"/>
        <w:gridCol w:w="6336"/>
      </w:tblGrid>
      <w:tr w:rsidTr="003A0BF6">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RANGE STATEMENT</w:t>
            </w:r>
          </w:p>
        </w:tc>
      </w:tr>
      <w:tr w:rsidTr="003A0BF6">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8</w:t>
            </w:r>
            <w:r w:rsidRPr="00F0677C">
              <w:t xml:space="preserve">) This relates to the unit as a whole providing the range of contexts and conditions to which the performance criteria apply. It allows for different work environments and situations that will affect </w:t>
            </w:r>
            <w:r w:rsidRPr="00F0677C">
              <w:t>performance.</w:t>
            </w:r>
          </w:p>
        </w:tc>
      </w:tr>
      <w:tr w:rsidTr="003A0BF6">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This unit must be demonstrated in relation to servicing room air conditioners with any four of the following defects/faults in appliance refrigeration system in each of two different types of appliance.</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P="00F0677C">
            <w:pPr>
              <w:pStyle w:val="ListBullet"/>
              <w:rPr>
                <w:lang w:val="en-NZ"/>
              </w:rPr>
            </w:pPr>
            <w:r w:rsidRPr="00F0677C">
              <w:t>Visual inspection of appliances</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RPr="00F0677C" w:rsidP="00F0677C">
            <w:pPr>
              <w:pStyle w:val="ListBullet"/>
            </w:pPr>
            <w:r w:rsidRPr="00F0677C">
              <w:t>Conducting all electrical tests</w:t>
            </w:r>
          </w:p>
          <w:p w:rsidR="00000000" w:rsidP="00F0677C">
            <w:pPr>
              <w:pStyle w:val="BodyText"/>
              <w:rPr>
                <w:lang w:val="en-NZ"/>
              </w:rPr>
            </w:pPr>
            <w:r w:rsidRPr="00F0677C">
              <w:t>Note:</w:t>
            </w:r>
            <w:r w:rsidRPr="00F0677C">
              <w:br/>
              <w:t>1. Electrical testing include isolation testing; insulation resistance of equipment; resistance of the internal circuits of equipment; polarity of supply and equipment; continuity of earthing; correct electrical conne</w:t>
            </w:r>
            <w:r w:rsidRPr="00F0677C">
              <w:t>ctions load current.</w:t>
            </w:r>
            <w:r w:rsidRPr="00F0677C">
              <w:br/>
              <w:t>2. Electrical testing may be limited by the scope permitted under restricted electrical work</w:t>
            </w:r>
          </w:p>
        </w:tc>
      </w:tr>
      <w:tr w:rsidTr="003A0BF6">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RPr="00F0677C" w:rsidP="00F0677C">
            <w:pPr>
              <w:pStyle w:val="ListBullet"/>
            </w:pPr>
            <w:r w:rsidRPr="00F0677C">
              <w:t>Conducting all refrigeration tests</w:t>
            </w:r>
          </w:p>
          <w:p w:rsidR="00000000" w:rsidP="00F0677C">
            <w:pPr>
              <w:pStyle w:val="BodyText"/>
              <w:rPr>
                <w:lang w:val="en-NZ"/>
              </w:rPr>
            </w:pPr>
            <w:r w:rsidRPr="00F0677C">
              <w:t>Note:</w:t>
            </w:r>
            <w:r w:rsidRPr="00F0677C">
              <w:br/>
            </w:r>
            <w:r w:rsidRPr="00F0677C">
              <w:t>Refrigeration testing includes pressure test apparatus/circuits: leak test apparatus/circuits; evacuation test apparatus/circuits; compressor efficiency; controls tests; refrigerant charge; operating pressures; system operation system capacity</w:t>
            </w:r>
          </w:p>
        </w:tc>
      </w:tr>
      <w:tr w:rsidTr="003A0BF6">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Generic ter</w:t>
            </w:r>
            <w:r w:rsidRPr="00F0677C">
              <w:t>ms used throughout this Vocational Standard shall be regarded as part of the Range Statement in which competency is demonstrated. The definition of these and other terms that apply are given in Volume 2, Part 2.1.</w:t>
            </w:r>
          </w:p>
        </w:tc>
      </w:tr>
    </w:tbl>
    <w:p w:rsidR="003A0BF6" w:rsidP="00F0677C">
      <w:pPr>
        <w:pStyle w:val="BodyText"/>
      </w:pPr>
    </w:p>
    <w:p w:rsidR="003A0BF6" w:rsidP="00F0677C">
      <w:pPr>
        <w:pStyle w:val="BodyText"/>
      </w:pPr>
    </w:p>
    <w:p w:rsidR="00000000" w:rsidRPr="00F0677C" w:rsidP="00F0677C">
      <w:pPr>
        <w:pStyle w:val="Heading1"/>
      </w:pPr>
      <w:bookmarkStart w:id="12" w:name="O_590176"/>
      <w:bookmarkEnd w:id="12"/>
      <w:r w:rsidRPr="00F0677C">
        <w:t>Unit Sector(s)</w:t>
      </w:r>
    </w:p>
    <w:p w:rsidR="00000000" w:rsidRPr="00F0677C" w:rsidP="00F0677C">
      <w:pPr>
        <w:pStyle w:val="BodyText"/>
      </w:pPr>
      <w:r w:rsidRPr="00F0677C">
        <w:t>Not Applicable</w:t>
      </w:r>
    </w:p>
    <w:p w:rsidR="00000000" w:rsidRPr="00F0677C" w:rsidP="00F0677C">
      <w:pPr>
        <w:pStyle w:val="AllowPageBreak"/>
      </w:pPr>
    </w:p>
    <w:p w:rsidR="00000000" w:rsidRPr="00F0677C" w:rsidP="00F0677C">
      <w:pPr>
        <w:pStyle w:val="Heading1"/>
      </w:pPr>
      <w:bookmarkStart w:id="13" w:name="O_590175"/>
      <w:bookmarkEnd w:id="13"/>
      <w:r w:rsidRPr="00F0677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A0BF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2</w:t>
            </w:r>
            <w:r w:rsidRPr="00F0677C">
              <w:t>.</w:t>
            </w:r>
            <w:r w:rsidRPr="00F0677C">
              <w:rPr>
                <w:rStyle w:val="SpecialBold"/>
              </w:rPr>
              <w:t>2</w:t>
            </w:r>
            <w:r w:rsidRPr="00F0677C">
              <w:t xml:space="preserve">) </w:t>
            </w:r>
            <w:r w:rsidRPr="00F0677C">
              <w:rPr>
                <w:rStyle w:val="SpecialBold"/>
              </w:rPr>
              <w:t>Literacy and numeracy skills</w:t>
            </w:r>
          </w:p>
          <w:p w:rsidR="00000000" w:rsidP="00F0677C">
            <w:pPr>
              <w:pStyle w:val="BodyText"/>
              <w:rPr>
                <w:lang w:val="en-NZ"/>
              </w:rPr>
            </w:pPr>
            <w:r w:rsidRPr="00F0677C">
              <w:t>Participants are best equipped to achieve competency in this unit if they have reading, writing and numeracy skills indicated by the following scales. Description of each sc</w:t>
            </w:r>
            <w:r w:rsidRPr="00F0677C">
              <w:t>ale is given in Volume 2, Part 3 'Literacy and Numeracy'</w:t>
            </w:r>
          </w:p>
        </w:tc>
      </w:tr>
      <w:tr w:rsidTr="003A0BF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Reading</w:t>
            </w:r>
          </w:p>
        </w:tc>
        <w:tc>
          <w:tcPr>
            <w:tcW w:w="118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w:t>
            </w:r>
          </w:p>
        </w:tc>
        <w:tc>
          <w:tcPr>
            <w:tcW w:w="1739"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Writing</w:t>
            </w:r>
          </w:p>
        </w:tc>
        <w:tc>
          <w:tcPr>
            <w:tcW w:w="1182"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3</w:t>
            </w:r>
          </w:p>
        </w:tc>
        <w:tc>
          <w:tcPr>
            <w:tcW w:w="1721"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t>Numeracy</w:t>
            </w:r>
          </w:p>
        </w:tc>
        <w:tc>
          <w:tcPr>
            <w:tcW w:w="1182"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3</w:t>
            </w:r>
          </w:p>
        </w:tc>
      </w:tr>
    </w:tbl>
    <w:p w:rsidR="003A0BF6" w:rsidP="00F0677C">
      <w:pPr>
        <w:pStyle w:val="BodyText"/>
      </w:pPr>
    </w:p>
    <w:p w:rsidR="003A0BF6" w:rsidP="00F0677C">
      <w:pPr>
        <w:pStyle w:val="BodyText"/>
      </w:pPr>
    </w:p>
    <w:p w:rsidR="00000000" w:rsidRPr="00F0677C" w:rsidP="00F0677C">
      <w:pPr>
        <w:pStyle w:val="Heading1"/>
      </w:pPr>
      <w:bookmarkStart w:id="14" w:name="O_590174"/>
      <w:bookmarkEnd w:id="14"/>
      <w:r w:rsidRPr="00F0677C">
        <w:t>Custom Content Section</w:t>
      </w:r>
    </w:p>
    <w:tbl>
      <w:tblPr>
        <w:tblW w:w="0" w:type="auto"/>
        <w:tblLayout w:type="fixed"/>
        <w:tblCellMar>
          <w:left w:w="62" w:type="dxa"/>
          <w:right w:w="62" w:type="dxa"/>
        </w:tblCellMar>
        <w:tblLook w:val="0000"/>
      </w:tblPr>
      <w:tblGrid>
        <w:gridCol w:w="2700"/>
        <w:gridCol w:w="5760"/>
      </w:tblGrid>
      <w:tr w:rsidTr="003A0B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677C">
            <w:pPr>
              <w:pStyle w:val="BodyText"/>
              <w:rPr>
                <w:lang w:val="en-NZ"/>
              </w:rPr>
            </w:pPr>
            <w:r w:rsidRPr="00F0677C">
              <w:rPr>
                <w:rStyle w:val="SpecialBold"/>
              </w:rPr>
              <w:t>5</w:t>
            </w:r>
            <w:r w:rsidRPr="00F0677C">
              <w:t>)</w:t>
            </w:r>
          </w:p>
        </w:tc>
      </w:tr>
      <w:tr w:rsidTr="003A0B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677C" w:rsidP="00F0677C">
            <w:pPr>
              <w:pStyle w:val="BodyText"/>
            </w:pPr>
            <w:r w:rsidRPr="00F0677C">
              <w:t>Refrigeration and Air Conditioning</w:t>
            </w:r>
          </w:p>
        </w:tc>
      </w:tr>
    </w:tbl>
    <w:p w:rsidR="003A0BF6" w:rsidP="00F0677C">
      <w:pPr>
        <w:pStyle w:val="BodyText"/>
      </w:pPr>
    </w:p>
    <w:p w:rsidR="003A0BF6" w:rsidP="00F0677C">
      <w:pPr>
        <w:pStyle w:val="BodyText"/>
      </w:pPr>
    </w:p>
    <w:p w:rsidR="00000000" w:rsidRPr="00F0677C" w:rsidP="00F0677C"/>
    <w:sectPr w:rsidSect="00F06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C" w:rsidRPr="003A0BF6" w:rsidP="003A0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F6" w:rsidP="00F06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A0BF6" w:rsidP="00F067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A0BF6" w:rsidP="00F06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C" w:rsidRPr="003A0BF6" w:rsidP="003A0B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F6" w:rsidRPr="002D2AF8" w:rsidP="00F0677C">
    <w:pPr>
      <w:pStyle w:val="Header"/>
      <w:framePr w:wrap="around"/>
    </w:pPr>
    <w:r>
      <w:fldChar w:fldCharType="begin"/>
    </w:r>
    <w:r>
      <w:instrText xml:space="preserve"> TITLE   \* MERGEFORMAT </w:instrText>
    </w:r>
    <w:r>
      <w:fldChar w:fldCharType="separate"/>
    </w:r>
    <w:r>
      <w:t>UEENEEJ161A Verify functionality and compliance of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A0BF6" w:rsidP="00F06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21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208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F49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77C"/>
    <w:pPr>
      <w:spacing w:before="360" w:after="60"/>
      <w:outlineLvl w:val="0"/>
    </w:pPr>
    <w:rPr>
      <w:sz w:val="32"/>
    </w:rPr>
  </w:style>
  <w:style w:type="paragraph" w:styleId="Heading2">
    <w:name w:val="heading 2"/>
    <w:basedOn w:val="HeadingBase"/>
    <w:next w:val="BodyText"/>
    <w:link w:val="Heading2Char"/>
    <w:qFormat/>
    <w:rsid w:val="00F0677C"/>
    <w:pPr>
      <w:keepLines/>
      <w:spacing w:before="240" w:after="120"/>
      <w:outlineLvl w:val="1"/>
    </w:pPr>
    <w:rPr>
      <w:sz w:val="28"/>
      <w:szCs w:val="40"/>
    </w:rPr>
  </w:style>
  <w:style w:type="paragraph" w:styleId="Heading3">
    <w:name w:val="heading 3"/>
    <w:basedOn w:val="HeadingBase"/>
    <w:next w:val="BodyText"/>
    <w:link w:val="Heading3Char"/>
    <w:qFormat/>
    <w:rsid w:val="00F0677C"/>
    <w:pPr>
      <w:spacing w:before="180" w:after="120"/>
      <w:outlineLvl w:val="2"/>
    </w:pPr>
    <w:rPr>
      <w:spacing w:val="-10"/>
      <w:kern w:val="32"/>
    </w:rPr>
  </w:style>
  <w:style w:type="paragraph" w:styleId="Heading4">
    <w:name w:val="heading 4"/>
    <w:basedOn w:val="HeadingBase"/>
    <w:next w:val="BodyText"/>
    <w:link w:val="Heading4Char"/>
    <w:qFormat/>
    <w:rsid w:val="00F0677C"/>
    <w:pPr>
      <w:spacing w:before="160" w:after="120"/>
      <w:outlineLvl w:val="3"/>
    </w:pPr>
    <w:rPr>
      <w:sz w:val="22"/>
    </w:rPr>
  </w:style>
  <w:style w:type="paragraph" w:styleId="Heading5">
    <w:name w:val="heading 5"/>
    <w:basedOn w:val="HeadingBase"/>
    <w:next w:val="Normal"/>
    <w:link w:val="Heading5Char"/>
    <w:qFormat/>
    <w:rsid w:val="00F0677C"/>
    <w:pPr>
      <w:spacing w:before="80"/>
      <w:outlineLvl w:val="4"/>
    </w:pPr>
    <w:rPr>
      <w:color w:val="918585"/>
      <w:sz w:val="20"/>
    </w:rPr>
  </w:style>
  <w:style w:type="paragraph" w:styleId="Heading6">
    <w:name w:val="heading 6"/>
    <w:basedOn w:val="HeadingBase"/>
    <w:next w:val="Normal"/>
    <w:link w:val="Heading6Char"/>
    <w:qFormat/>
    <w:rsid w:val="00F0677C"/>
    <w:pPr>
      <w:spacing w:before="60"/>
      <w:outlineLvl w:val="5"/>
    </w:pPr>
    <w:rPr>
      <w:color w:val="918585"/>
      <w:sz w:val="20"/>
    </w:rPr>
  </w:style>
  <w:style w:type="paragraph" w:styleId="Heading7">
    <w:name w:val="heading 7"/>
    <w:basedOn w:val="Normal"/>
    <w:next w:val="Normal"/>
    <w:link w:val="Heading7Char"/>
    <w:qFormat/>
    <w:rsid w:val="00F0677C"/>
    <w:pPr>
      <w:ind w:left="720"/>
      <w:outlineLvl w:val="6"/>
    </w:pPr>
    <w:rPr>
      <w:i/>
    </w:rPr>
  </w:style>
  <w:style w:type="paragraph" w:styleId="Heading8">
    <w:name w:val="heading 8"/>
    <w:basedOn w:val="Normal"/>
    <w:next w:val="Normal"/>
    <w:link w:val="Heading8Char"/>
    <w:qFormat/>
    <w:rsid w:val="00F0677C"/>
    <w:pPr>
      <w:ind w:left="720"/>
      <w:outlineLvl w:val="7"/>
    </w:pPr>
    <w:rPr>
      <w:i/>
    </w:rPr>
  </w:style>
  <w:style w:type="paragraph" w:styleId="Heading9">
    <w:name w:val="heading 9"/>
    <w:basedOn w:val="Normal"/>
    <w:next w:val="Normal"/>
    <w:link w:val="Heading9Char"/>
    <w:qFormat/>
    <w:rsid w:val="00F0677C"/>
    <w:pPr>
      <w:ind w:left="720"/>
      <w:outlineLvl w:val="8"/>
    </w:pPr>
    <w:rPr>
      <w:i/>
    </w:rPr>
  </w:style>
  <w:style w:type="character" w:default="1" w:styleId="DefaultParagraphFont">
    <w:name w:val="Default Paragraph Font"/>
    <w:uiPriority w:val="1"/>
    <w:unhideWhenUsed/>
    <w:rsid w:val="00F06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77C"/>
  </w:style>
  <w:style w:type="character" w:customStyle="1" w:styleId="Heading1Char">
    <w:name w:val="Heading 1 Char"/>
    <w:basedOn w:val="DefaultParagraphFont"/>
    <w:link w:val="Heading1"/>
    <w:rsid w:val="00F0677C"/>
    <w:rPr>
      <w:rFonts w:ascii="Times New Roman" w:eastAsia="Times New Roman" w:hAnsi="Times New Roman" w:cs="Times New Roman"/>
      <w:b/>
      <w:sz w:val="32"/>
      <w:szCs w:val="20"/>
      <w:lang w:eastAsia="en-US"/>
    </w:rPr>
  </w:style>
  <w:style w:type="paragraph" w:styleId="BodyText">
    <w:name w:val="Body Text"/>
    <w:basedOn w:val="Normal"/>
    <w:link w:val="BodyTextChar"/>
    <w:rsid w:val="00F067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77C"/>
    <w:rPr>
      <w:rFonts w:ascii="Times New Roman" w:eastAsia="Times New Roman" w:hAnsi="Times New Roman" w:cs="Times New Roman"/>
      <w:sz w:val="24"/>
      <w:lang w:eastAsia="en-US"/>
    </w:rPr>
  </w:style>
  <w:style w:type="paragraph" w:styleId="ListBullet">
    <w:name w:val="List Bullet"/>
    <w:basedOn w:val="List"/>
    <w:rsid w:val="00F0677C"/>
    <w:pPr>
      <w:numPr>
        <w:numId w:val="13"/>
      </w:numPr>
      <w:tabs>
        <w:tab w:val="clear" w:pos="340"/>
      </w:tabs>
      <w:spacing w:before="40" w:after="40"/>
    </w:pPr>
  </w:style>
  <w:style w:type="character" w:customStyle="1" w:styleId="SpecialBold">
    <w:name w:val="Special Bold"/>
    <w:basedOn w:val="DefaultParagraphFont"/>
    <w:rsid w:val="00F0677C"/>
    <w:rPr>
      <w:b/>
      <w:spacing w:val="0"/>
    </w:rPr>
  </w:style>
  <w:style w:type="paragraph" w:styleId="ListBullet2">
    <w:name w:val="List Bullet 2"/>
    <w:basedOn w:val="List2"/>
    <w:rsid w:val="00F0677C"/>
    <w:pPr>
      <w:numPr>
        <w:numId w:val="14"/>
      </w:numPr>
      <w:tabs>
        <w:tab w:val="clear" w:pos="680"/>
      </w:tabs>
    </w:pPr>
  </w:style>
  <w:style w:type="paragraph" w:customStyle="1" w:styleId="SuperHeading">
    <w:name w:val="SuperHeading"/>
    <w:basedOn w:val="Normal"/>
    <w:rsid w:val="00F0677C"/>
    <w:pPr>
      <w:spacing w:before="240" w:after="120"/>
      <w:outlineLvl w:val="0"/>
    </w:pPr>
    <w:rPr>
      <w:rFonts w:ascii="Times New Roman" w:hAnsi="Times New Roman"/>
      <w:b/>
      <w:sz w:val="32"/>
    </w:rPr>
  </w:style>
  <w:style w:type="paragraph" w:customStyle="1" w:styleId="AllowPageBreak">
    <w:name w:val="AllowPageBreak"/>
    <w:rsid w:val="00F06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77C"/>
    <w:rPr>
      <w:rFonts w:ascii="Courier New" w:eastAsia="Times New Roman" w:hAnsi="Courier New" w:cs="Times New Roman"/>
      <w:i/>
      <w:szCs w:val="20"/>
      <w:lang w:eastAsia="en-US"/>
    </w:rPr>
  </w:style>
  <w:style w:type="paragraph" w:customStyle="1" w:styleId="HeadingBase">
    <w:name w:val="Heading Base"/>
    <w:rsid w:val="00F06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77C"/>
    <w:pPr>
      <w:tabs>
        <w:tab w:val="right" w:leader="dot" w:pos="9072"/>
      </w:tabs>
      <w:ind w:left="567"/>
    </w:pPr>
    <w:rPr>
      <w:szCs w:val="22"/>
    </w:rPr>
  </w:style>
  <w:style w:type="paragraph" w:customStyle="1" w:styleId="TOCBase">
    <w:name w:val="TOC Base"/>
    <w:rsid w:val="00F06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77C"/>
    <w:pPr>
      <w:tabs>
        <w:tab w:val="right" w:leader="dot" w:pos="9072"/>
      </w:tabs>
      <w:spacing w:before="40" w:after="40"/>
      <w:ind w:left="284"/>
    </w:pPr>
    <w:rPr>
      <w:rFonts w:ascii="Times New Roman" w:hAnsi="Times New Roman"/>
    </w:rPr>
  </w:style>
  <w:style w:type="paragraph" w:styleId="TOC1">
    <w:name w:val="toc 1"/>
    <w:basedOn w:val="TOCBase"/>
    <w:next w:val="Normal"/>
    <w:rsid w:val="00F06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77C"/>
    <w:rPr>
      <w:rFonts w:ascii="Times New Roman" w:eastAsia="Times New Roman" w:hAnsi="Times New Roman" w:cs="Times New Roman"/>
      <w:sz w:val="16"/>
      <w:lang w:eastAsia="en-US"/>
    </w:rPr>
  </w:style>
  <w:style w:type="paragraph" w:styleId="Title">
    <w:name w:val="Title"/>
    <w:basedOn w:val="HeadingBase"/>
    <w:link w:val="TitleChar"/>
    <w:qFormat/>
    <w:rsid w:val="00F0677C"/>
    <w:pPr>
      <w:spacing w:before="5040"/>
      <w:jc w:val="center"/>
    </w:pPr>
    <w:rPr>
      <w:sz w:val="48"/>
      <w:szCs w:val="72"/>
      <w:lang w:val="en-US"/>
    </w:rPr>
  </w:style>
  <w:style w:type="character" w:customStyle="1" w:styleId="TitleChar">
    <w:name w:val="Title Char"/>
    <w:basedOn w:val="DefaultParagraphFont"/>
    <w:link w:val="Title"/>
    <w:rsid w:val="00F06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77C"/>
    <w:pPr>
      <w:tabs>
        <w:tab w:val="left" w:pos="3600"/>
        <w:tab w:val="left" w:pos="3958"/>
      </w:tabs>
    </w:pPr>
  </w:style>
  <w:style w:type="paragraph" w:styleId="List">
    <w:name w:val="List"/>
    <w:basedOn w:val="BodyText"/>
    <w:next w:val="BodyText"/>
    <w:rsid w:val="00F0677C"/>
    <w:pPr>
      <w:tabs>
        <w:tab w:val="left" w:pos="340"/>
      </w:tabs>
      <w:spacing w:before="60" w:after="60"/>
      <w:ind w:left="340" w:hanging="340"/>
    </w:pPr>
  </w:style>
  <w:style w:type="paragraph" w:customStyle="1" w:styleId="Note">
    <w:name w:val="Note"/>
    <w:basedOn w:val="BodyText"/>
    <w:rsid w:val="00F06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77C"/>
    <w:pPr>
      <w:framePr w:wrap="auto" w:hAnchor="text" w:y="6049"/>
    </w:pPr>
    <w:rPr>
      <w:color w:val="000000"/>
      <w:sz w:val="40"/>
    </w:rPr>
  </w:style>
  <w:style w:type="paragraph" w:customStyle="1" w:styleId="TOCTitle">
    <w:name w:val="TOCTitle"/>
    <w:basedOn w:val="Heading1"/>
    <w:rsid w:val="00F0677C"/>
    <w:pPr>
      <w:spacing w:after="240"/>
      <w:jc w:val="center"/>
      <w:outlineLvl w:val="9"/>
    </w:pPr>
    <w:rPr>
      <w:caps/>
    </w:rPr>
  </w:style>
  <w:style w:type="paragraph" w:customStyle="1" w:styleId="Version">
    <w:name w:val="Version"/>
    <w:rsid w:val="00F06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77C"/>
    <w:pPr>
      <w:keepNext w:val="0"/>
      <w:tabs>
        <w:tab w:val="right" w:pos="4176"/>
      </w:tabs>
      <w:ind w:left="198" w:hanging="198"/>
    </w:pPr>
    <w:rPr>
      <w:rFonts w:ascii="Garamond" w:hAnsi="Garamond"/>
    </w:rPr>
  </w:style>
  <w:style w:type="paragraph" w:styleId="IndexHeading">
    <w:name w:val="index heading"/>
    <w:basedOn w:val="Normal"/>
    <w:next w:val="Index1"/>
    <w:semiHidden/>
    <w:rsid w:val="00F0677C"/>
    <w:pPr>
      <w:spacing w:before="120" w:after="120"/>
    </w:pPr>
    <w:rPr>
      <w:rFonts w:ascii="Arial" w:hAnsi="Arial"/>
      <w:b/>
      <w:color w:val="918585"/>
      <w:sz w:val="24"/>
    </w:rPr>
  </w:style>
  <w:style w:type="paragraph" w:styleId="Header">
    <w:name w:val="header"/>
    <w:basedOn w:val="Normal"/>
    <w:link w:val="HeaderChar"/>
    <w:rsid w:val="00F06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77C"/>
    <w:rPr>
      <w:rFonts w:ascii="Times New Roman" w:eastAsia="Times New Roman" w:hAnsi="Times New Roman" w:cs="Times New Roman"/>
      <w:sz w:val="16"/>
      <w:szCs w:val="20"/>
      <w:lang w:val="en-GB" w:eastAsia="en-US"/>
    </w:rPr>
  </w:style>
  <w:style w:type="paragraph" w:customStyle="1" w:styleId="Chapter">
    <w:name w:val="Chapter"/>
    <w:basedOn w:val="Normal"/>
    <w:rsid w:val="00F0677C"/>
    <w:pPr>
      <w:spacing w:before="240"/>
    </w:pPr>
    <w:rPr>
      <w:rFonts w:ascii="Times New Roman" w:hAnsi="Times New Roman"/>
      <w:smallCaps/>
      <w:spacing w:val="80"/>
      <w:sz w:val="28"/>
    </w:rPr>
  </w:style>
  <w:style w:type="paragraph" w:customStyle="1" w:styleId="InChapter">
    <w:name w:val="InChapter"/>
    <w:basedOn w:val="Heading3"/>
    <w:rsid w:val="00F0677C"/>
    <w:pPr>
      <w:spacing w:after="240"/>
      <w:outlineLvl w:val="9"/>
    </w:pPr>
    <w:rPr>
      <w:noProof/>
    </w:rPr>
  </w:style>
  <w:style w:type="paragraph" w:styleId="Index2">
    <w:name w:val="index 2"/>
    <w:basedOn w:val="Normal"/>
    <w:next w:val="Normal"/>
    <w:semiHidden/>
    <w:rsid w:val="00F0677C"/>
    <w:pPr>
      <w:tabs>
        <w:tab w:val="right" w:pos="4176"/>
      </w:tabs>
      <w:ind w:left="568" w:hanging="284"/>
    </w:pPr>
    <w:rPr>
      <w:rFonts w:ascii="Garamond" w:hAnsi="Garamond"/>
    </w:rPr>
  </w:style>
  <w:style w:type="paragraph" w:customStyle="1" w:styleId="Byline">
    <w:name w:val="Byline"/>
    <w:rsid w:val="00F06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77C"/>
    <w:pPr>
      <w:tabs>
        <w:tab w:val="clear" w:pos="3600"/>
        <w:tab w:val="clear" w:pos="3958"/>
      </w:tabs>
      <w:jc w:val="right"/>
    </w:pPr>
  </w:style>
  <w:style w:type="character" w:styleId="Emphasis">
    <w:name w:val="Emphasis"/>
    <w:basedOn w:val="DefaultParagraphFont"/>
    <w:qFormat/>
    <w:rsid w:val="00F0677C"/>
    <w:rPr>
      <w:i/>
    </w:rPr>
  </w:style>
  <w:style w:type="paragraph" w:styleId="Caption">
    <w:name w:val="caption"/>
    <w:basedOn w:val="BodyText"/>
    <w:next w:val="Normal"/>
    <w:qFormat/>
    <w:rsid w:val="00F0677C"/>
    <w:pPr>
      <w:framePr w:w="2268" w:hSpace="181" w:vSpace="181" w:wrap="around" w:vAnchor="text" w:hAnchor="page" w:x="1135" w:y="285" w:anchorLock="1"/>
    </w:pPr>
    <w:rPr>
      <w:i/>
    </w:rPr>
  </w:style>
  <w:style w:type="paragraph" w:customStyle="1" w:styleId="MiniTOCTitle">
    <w:name w:val="MiniTOCTitle"/>
    <w:basedOn w:val="Heading4"/>
    <w:rsid w:val="00F0677C"/>
    <w:pPr>
      <w:spacing w:before="240"/>
      <w:outlineLvl w:val="9"/>
    </w:pPr>
    <w:rPr>
      <w:noProof/>
      <w:sz w:val="24"/>
    </w:rPr>
  </w:style>
  <w:style w:type="paragraph" w:customStyle="1" w:styleId="MiniTOCItem">
    <w:name w:val="MiniTOCItem"/>
    <w:basedOn w:val="ListBullet"/>
    <w:rsid w:val="00F0677C"/>
    <w:pPr>
      <w:numPr>
        <w:numId w:val="0"/>
      </w:numPr>
      <w:tabs>
        <w:tab w:val="right" w:leader="dot" w:pos="6521"/>
      </w:tabs>
      <w:spacing w:before="0" w:after="0"/>
    </w:pPr>
  </w:style>
  <w:style w:type="paragraph" w:customStyle="1" w:styleId="TOFTitle">
    <w:name w:val="TOFTitle"/>
    <w:basedOn w:val="TOCTitle"/>
    <w:rsid w:val="00F0677C"/>
  </w:style>
  <w:style w:type="paragraph" w:styleId="TableofFigures">
    <w:name w:val="table of figures"/>
    <w:basedOn w:val="Normal"/>
    <w:next w:val="Normal"/>
    <w:semiHidden/>
    <w:rsid w:val="00F0677C"/>
    <w:pPr>
      <w:tabs>
        <w:tab w:val="right" w:leader="dot" w:pos="9072"/>
      </w:tabs>
      <w:ind w:left="970" w:hanging="403"/>
    </w:pPr>
    <w:rPr>
      <w:rFonts w:ascii="Times New Roman" w:hAnsi="Times New Roman"/>
      <w:b/>
    </w:rPr>
  </w:style>
  <w:style w:type="paragraph" w:styleId="ListNumber">
    <w:name w:val="List Number"/>
    <w:basedOn w:val="List"/>
    <w:rsid w:val="00F0677C"/>
    <w:pPr>
      <w:numPr>
        <w:numId w:val="11"/>
      </w:numPr>
    </w:pPr>
  </w:style>
  <w:style w:type="character" w:customStyle="1" w:styleId="WingdingSymbols">
    <w:name w:val="Wingding Symbols"/>
    <w:rsid w:val="00F0677C"/>
    <w:rPr>
      <w:rFonts w:ascii="Wingdings" w:hAnsi="Wingdings"/>
    </w:rPr>
  </w:style>
  <w:style w:type="paragraph" w:customStyle="1" w:styleId="TableHeading">
    <w:name w:val="Table Heading"/>
    <w:basedOn w:val="HeadingBase"/>
    <w:rsid w:val="00F0677C"/>
    <w:pPr>
      <w:keepLines/>
      <w:pBdr>
        <w:bottom w:val="single" w:sz="6" w:space="1" w:color="918585"/>
      </w:pBdr>
      <w:spacing w:before="240"/>
    </w:pPr>
  </w:style>
  <w:style w:type="character" w:customStyle="1" w:styleId="HotSpot">
    <w:name w:val="HotSpot"/>
    <w:rsid w:val="00F0677C"/>
    <w:rPr>
      <w:color w:val="0033CC"/>
      <w:u w:val="none"/>
    </w:rPr>
  </w:style>
  <w:style w:type="paragraph" w:customStyle="1" w:styleId="BodyTextRight">
    <w:name w:val="Body Text Right"/>
    <w:basedOn w:val="BodyText"/>
    <w:rsid w:val="00F0677C"/>
    <w:pPr>
      <w:spacing w:before="0" w:after="0"/>
      <w:jc w:val="right"/>
    </w:pPr>
  </w:style>
  <w:style w:type="paragraph" w:styleId="Index3">
    <w:name w:val="index 3"/>
    <w:basedOn w:val="ListNumber2"/>
    <w:next w:val="Normal"/>
    <w:semiHidden/>
    <w:rsid w:val="00F0677C"/>
    <w:pPr>
      <w:numPr>
        <w:numId w:val="0"/>
      </w:numPr>
      <w:tabs>
        <w:tab w:val="right" w:leader="dot" w:pos="4176"/>
      </w:tabs>
    </w:pPr>
  </w:style>
  <w:style w:type="paragraph" w:styleId="ListNumber2">
    <w:name w:val="List Number 2"/>
    <w:basedOn w:val="List2"/>
    <w:rsid w:val="00F0677C"/>
    <w:pPr>
      <w:numPr>
        <w:numId w:val="10"/>
      </w:numPr>
      <w:tabs>
        <w:tab w:val="clear" w:pos="1060"/>
      </w:tabs>
    </w:pPr>
  </w:style>
  <w:style w:type="paragraph" w:customStyle="1" w:styleId="MarginNote">
    <w:name w:val="Margin Note"/>
    <w:basedOn w:val="BodyText"/>
    <w:rsid w:val="00F06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77C"/>
    <w:rPr>
      <w:sz w:val="32"/>
    </w:rPr>
  </w:style>
  <w:style w:type="paragraph" w:customStyle="1" w:styleId="HeadingProcedure">
    <w:name w:val="Heading Procedure"/>
    <w:basedOn w:val="HeadingBase"/>
    <w:next w:val="Normal"/>
    <w:rsid w:val="00F0677C"/>
    <w:pPr>
      <w:tabs>
        <w:tab w:val="left" w:pos="0"/>
      </w:tabs>
      <w:spacing w:before="120" w:after="60"/>
    </w:pPr>
    <w:rPr>
      <w:i/>
      <w:color w:val="918585"/>
      <w:sz w:val="22"/>
    </w:rPr>
  </w:style>
  <w:style w:type="paragraph" w:customStyle="1" w:styleId="TableBodyText">
    <w:name w:val="Table Body Text"/>
    <w:basedOn w:val="BodyText"/>
    <w:rsid w:val="00F0677C"/>
    <w:pPr>
      <w:spacing w:before="60" w:after="60"/>
    </w:pPr>
  </w:style>
  <w:style w:type="paragraph" w:styleId="ListContinue">
    <w:name w:val="List Continue"/>
    <w:basedOn w:val="List"/>
    <w:rsid w:val="00F0677C"/>
    <w:pPr>
      <w:ind w:firstLine="0"/>
    </w:pPr>
  </w:style>
  <w:style w:type="paragraph" w:customStyle="1" w:styleId="ListNote">
    <w:name w:val="List Note"/>
    <w:basedOn w:val="List"/>
    <w:rsid w:val="00F0677C"/>
    <w:pPr>
      <w:pBdr>
        <w:top w:val="single" w:sz="6" w:space="2" w:color="918585"/>
        <w:bottom w:val="single" w:sz="6" w:space="2" w:color="918585"/>
      </w:pBdr>
      <w:tabs>
        <w:tab w:val="left" w:pos="1021"/>
      </w:tabs>
      <w:ind w:firstLine="0"/>
    </w:pPr>
  </w:style>
  <w:style w:type="paragraph" w:customStyle="1" w:styleId="Warning">
    <w:name w:val="Warning"/>
    <w:basedOn w:val="BodyText"/>
    <w:rsid w:val="00F0677C"/>
    <w:pPr>
      <w:shd w:val="clear" w:color="auto" w:fill="D9D9D9"/>
      <w:tabs>
        <w:tab w:val="left" w:pos="992"/>
      </w:tabs>
      <w:ind w:left="119" w:right="119"/>
    </w:pPr>
    <w:rPr>
      <w:sz w:val="20"/>
    </w:rPr>
  </w:style>
  <w:style w:type="paragraph" w:customStyle="1" w:styleId="MarginIcons">
    <w:name w:val="Margin Icons"/>
    <w:basedOn w:val="BodyText"/>
    <w:rsid w:val="00F06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77C"/>
    <w:rPr>
      <w:rFonts w:ascii="Courier New" w:hAnsi="Courier New"/>
    </w:rPr>
  </w:style>
  <w:style w:type="paragraph" w:customStyle="1" w:styleId="NoteBullet">
    <w:name w:val="Note Bullet"/>
    <w:basedOn w:val="Note"/>
    <w:rsid w:val="00F0677C"/>
    <w:pPr>
      <w:tabs>
        <w:tab w:val="clear" w:pos="680"/>
      </w:tabs>
      <w:spacing w:before="60" w:after="60"/>
    </w:pPr>
  </w:style>
  <w:style w:type="paragraph" w:customStyle="1" w:styleId="SubHeading2">
    <w:name w:val="SubHeading2"/>
    <w:basedOn w:val="HeadingBase"/>
    <w:rsid w:val="00F0677C"/>
    <w:pPr>
      <w:spacing w:before="240" w:after="60"/>
    </w:pPr>
    <w:rPr>
      <w:sz w:val="20"/>
    </w:rPr>
  </w:style>
  <w:style w:type="paragraph" w:customStyle="1" w:styleId="SubHeading1">
    <w:name w:val="SubHeading1"/>
    <w:basedOn w:val="HeadingBase"/>
    <w:rsid w:val="00F0677C"/>
    <w:pPr>
      <w:spacing w:before="240" w:after="60"/>
    </w:pPr>
    <w:rPr>
      <w:color w:val="918585"/>
      <w:sz w:val="22"/>
    </w:rPr>
  </w:style>
  <w:style w:type="paragraph" w:customStyle="1" w:styleId="SideHeading">
    <w:name w:val="Side Heading"/>
    <w:basedOn w:val="HeadingBase"/>
    <w:rsid w:val="00F06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77C"/>
    <w:pPr>
      <w:numPr>
        <w:numId w:val="12"/>
      </w:numPr>
    </w:pPr>
  </w:style>
  <w:style w:type="paragraph" w:styleId="PlainText">
    <w:name w:val="Plain Text"/>
    <w:basedOn w:val="Normal"/>
    <w:link w:val="PlainTextChar"/>
    <w:rsid w:val="00F0677C"/>
    <w:rPr>
      <w:sz w:val="20"/>
    </w:rPr>
  </w:style>
  <w:style w:type="character" w:customStyle="1" w:styleId="PlainTextChar">
    <w:name w:val="Plain Text Char"/>
    <w:basedOn w:val="DefaultParagraphFont"/>
    <w:link w:val="PlainText"/>
    <w:rsid w:val="00F0677C"/>
    <w:rPr>
      <w:rFonts w:ascii="Courier New" w:eastAsia="Times New Roman" w:hAnsi="Courier New" w:cs="Times New Roman"/>
      <w:sz w:val="20"/>
      <w:szCs w:val="20"/>
      <w:lang w:eastAsia="en-US"/>
    </w:rPr>
  </w:style>
  <w:style w:type="character" w:customStyle="1" w:styleId="MenuOption">
    <w:name w:val="Menu Option"/>
    <w:basedOn w:val="DefaultParagraphFont"/>
    <w:rsid w:val="00F0677C"/>
    <w:rPr>
      <w:b/>
      <w:smallCaps/>
    </w:rPr>
  </w:style>
  <w:style w:type="paragraph" w:customStyle="1" w:styleId="TableListNumber">
    <w:name w:val="Table List Number"/>
    <w:basedOn w:val="ListNumber"/>
    <w:rsid w:val="00F0677C"/>
    <w:pPr>
      <w:numPr>
        <w:numId w:val="0"/>
      </w:numPr>
    </w:pPr>
  </w:style>
  <w:style w:type="paragraph" w:styleId="TOC4">
    <w:name w:val="toc 4"/>
    <w:basedOn w:val="TOCBase"/>
    <w:next w:val="Normal"/>
    <w:semiHidden/>
    <w:rsid w:val="00F0677C"/>
    <w:pPr>
      <w:tabs>
        <w:tab w:val="right" w:leader="dot" w:pos="9071"/>
      </w:tabs>
      <w:ind w:left="1701"/>
    </w:pPr>
  </w:style>
  <w:style w:type="paragraph" w:customStyle="1" w:styleId="ListAlpha">
    <w:name w:val="List Alpha"/>
    <w:basedOn w:val="List"/>
    <w:rsid w:val="00F0677C"/>
    <w:pPr>
      <w:numPr>
        <w:numId w:val="9"/>
      </w:numPr>
    </w:pPr>
  </w:style>
  <w:style w:type="paragraph" w:customStyle="1" w:styleId="ListAlpha2">
    <w:name w:val="List Alpha 2"/>
    <w:basedOn w:val="List2"/>
    <w:rsid w:val="00F0677C"/>
    <w:pPr>
      <w:numPr>
        <w:numId w:val="8"/>
      </w:numPr>
    </w:pPr>
  </w:style>
  <w:style w:type="paragraph" w:styleId="List2">
    <w:name w:val="List 2"/>
    <w:basedOn w:val="BodyText"/>
    <w:rsid w:val="00F0677C"/>
    <w:pPr>
      <w:tabs>
        <w:tab w:val="left" w:pos="680"/>
      </w:tabs>
      <w:spacing w:before="60" w:after="60"/>
      <w:ind w:left="680" w:hanging="340"/>
    </w:pPr>
  </w:style>
  <w:style w:type="paragraph" w:styleId="List3">
    <w:name w:val="List 3"/>
    <w:basedOn w:val="BodyText"/>
    <w:rsid w:val="00F0677C"/>
    <w:pPr>
      <w:tabs>
        <w:tab w:val="left" w:pos="1021"/>
      </w:tabs>
      <w:spacing w:before="60" w:after="60"/>
      <w:ind w:left="1020" w:hanging="340"/>
    </w:pPr>
  </w:style>
  <w:style w:type="paragraph" w:styleId="List4">
    <w:name w:val="List 4"/>
    <w:basedOn w:val="BodyText"/>
    <w:rsid w:val="00F0677C"/>
    <w:pPr>
      <w:tabs>
        <w:tab w:val="left" w:pos="1361"/>
      </w:tabs>
      <w:spacing w:before="60" w:after="60"/>
      <w:ind w:left="1361" w:hanging="340"/>
    </w:pPr>
  </w:style>
  <w:style w:type="paragraph" w:styleId="List5">
    <w:name w:val="List 5"/>
    <w:basedOn w:val="BodyText"/>
    <w:rsid w:val="00F0677C"/>
    <w:pPr>
      <w:tabs>
        <w:tab w:val="left" w:pos="1701"/>
      </w:tabs>
      <w:spacing w:before="60" w:after="60"/>
      <w:ind w:left="1701" w:hanging="340"/>
    </w:pPr>
  </w:style>
  <w:style w:type="paragraph" w:styleId="ListBullet3">
    <w:name w:val="List Bullet 3"/>
    <w:basedOn w:val="List3"/>
    <w:rsid w:val="00F0677C"/>
    <w:pPr>
      <w:numPr>
        <w:numId w:val="15"/>
      </w:numPr>
      <w:tabs>
        <w:tab w:val="clear" w:pos="1021"/>
      </w:tabs>
      <w:ind w:left="1037" w:hanging="357"/>
    </w:pPr>
  </w:style>
  <w:style w:type="paragraph" w:styleId="ListBullet4">
    <w:name w:val="List Bullet 4"/>
    <w:basedOn w:val="List4"/>
    <w:rsid w:val="00F0677C"/>
    <w:pPr>
      <w:numPr>
        <w:numId w:val="3"/>
      </w:numPr>
    </w:pPr>
  </w:style>
  <w:style w:type="paragraph" w:styleId="ListBullet5">
    <w:name w:val="List Bullet 5"/>
    <w:basedOn w:val="List5"/>
    <w:rsid w:val="00F0677C"/>
    <w:pPr>
      <w:numPr>
        <w:numId w:val="4"/>
      </w:numPr>
    </w:pPr>
  </w:style>
  <w:style w:type="paragraph" w:styleId="ListContinue2">
    <w:name w:val="List Continue 2"/>
    <w:basedOn w:val="List2"/>
    <w:rsid w:val="00F0677C"/>
    <w:pPr>
      <w:ind w:firstLine="0"/>
    </w:pPr>
  </w:style>
  <w:style w:type="paragraph" w:styleId="ListContinue3">
    <w:name w:val="List Continue 3"/>
    <w:basedOn w:val="List3"/>
    <w:rsid w:val="00F0677C"/>
    <w:pPr>
      <w:ind w:left="1021" w:firstLine="0"/>
    </w:pPr>
  </w:style>
  <w:style w:type="paragraph" w:styleId="ListContinue4">
    <w:name w:val="List Continue 4"/>
    <w:basedOn w:val="List4"/>
    <w:rsid w:val="00F0677C"/>
    <w:pPr>
      <w:ind w:firstLine="0"/>
    </w:pPr>
  </w:style>
  <w:style w:type="paragraph" w:styleId="ListContinue5">
    <w:name w:val="List Continue 5"/>
    <w:basedOn w:val="List5"/>
    <w:rsid w:val="00F0677C"/>
    <w:pPr>
      <w:ind w:firstLine="0"/>
    </w:pPr>
  </w:style>
  <w:style w:type="paragraph" w:styleId="ListNumber3">
    <w:name w:val="List Number 3"/>
    <w:basedOn w:val="List3"/>
    <w:rsid w:val="00F0677C"/>
    <w:pPr>
      <w:numPr>
        <w:numId w:val="5"/>
      </w:numPr>
    </w:pPr>
  </w:style>
  <w:style w:type="paragraph" w:styleId="ListNumber4">
    <w:name w:val="List Number 4"/>
    <w:basedOn w:val="List4"/>
    <w:rsid w:val="00F0677C"/>
    <w:pPr>
      <w:numPr>
        <w:numId w:val="6"/>
      </w:numPr>
    </w:pPr>
  </w:style>
  <w:style w:type="paragraph" w:styleId="ListNumber5">
    <w:name w:val="List Number 5"/>
    <w:basedOn w:val="List5"/>
    <w:rsid w:val="00F0677C"/>
    <w:pPr>
      <w:numPr>
        <w:numId w:val="7"/>
      </w:numPr>
    </w:pPr>
  </w:style>
  <w:style w:type="paragraph" w:styleId="BlockText">
    <w:name w:val="Block Text"/>
    <w:basedOn w:val="Normal"/>
    <w:rsid w:val="00F0677C"/>
    <w:pPr>
      <w:spacing w:after="120"/>
      <w:ind w:left="1440" w:right="1440"/>
    </w:pPr>
  </w:style>
  <w:style w:type="character" w:customStyle="1" w:styleId="Subscript">
    <w:name w:val="Subscript"/>
    <w:basedOn w:val="DefaultParagraphFont"/>
    <w:rsid w:val="00F0677C"/>
    <w:rPr>
      <w:sz w:val="16"/>
      <w:vertAlign w:val="subscript"/>
    </w:rPr>
  </w:style>
  <w:style w:type="character" w:customStyle="1" w:styleId="Superscript">
    <w:name w:val="Superscript"/>
    <w:basedOn w:val="DefaultParagraphFont"/>
    <w:rsid w:val="00F0677C"/>
    <w:rPr>
      <w:sz w:val="16"/>
      <w:vertAlign w:val="superscript"/>
    </w:rPr>
  </w:style>
  <w:style w:type="character" w:customStyle="1" w:styleId="Symbols">
    <w:name w:val="Symbols"/>
    <w:basedOn w:val="DefaultParagraphFont"/>
    <w:rsid w:val="00F0677C"/>
    <w:rPr>
      <w:rFonts w:ascii="Symbol" w:hAnsi="Symbol"/>
    </w:rPr>
  </w:style>
  <w:style w:type="character" w:customStyle="1" w:styleId="MenuOptions">
    <w:name w:val="Menu Options"/>
    <w:basedOn w:val="DefaultParagraphFont"/>
    <w:rsid w:val="00F0677C"/>
    <w:rPr>
      <w:rFonts w:ascii="Arial Narrow" w:hAnsi="Arial Narrow"/>
      <w:smallCaps/>
    </w:rPr>
  </w:style>
  <w:style w:type="character" w:customStyle="1" w:styleId="Buttons">
    <w:name w:val="Buttons"/>
    <w:basedOn w:val="DefaultParagraphFont"/>
    <w:rsid w:val="00F0677C"/>
    <w:rPr>
      <w:b/>
    </w:rPr>
  </w:style>
  <w:style w:type="character" w:customStyle="1" w:styleId="Underlined">
    <w:name w:val="Underlined"/>
    <w:basedOn w:val="DefaultParagraphFont"/>
    <w:rsid w:val="00F0677C"/>
    <w:rPr>
      <w:u w:val="single"/>
    </w:rPr>
  </w:style>
  <w:style w:type="paragraph" w:customStyle="1" w:styleId="TableBodyTextRight">
    <w:name w:val="Table Body Text Right"/>
    <w:basedOn w:val="TableBodyText"/>
    <w:rsid w:val="00F0677C"/>
    <w:pPr>
      <w:widowControl w:val="0"/>
      <w:autoSpaceDE w:val="0"/>
      <w:autoSpaceDN w:val="0"/>
      <w:adjustRightInd w:val="0"/>
      <w:jc w:val="right"/>
    </w:pPr>
    <w:rPr>
      <w:rFonts w:cs="Arial"/>
      <w:szCs w:val="18"/>
    </w:rPr>
  </w:style>
  <w:style w:type="paragraph" w:customStyle="1" w:styleId="CopyrightText">
    <w:name w:val="Copyright Text"/>
    <w:basedOn w:val="BodyText"/>
    <w:rsid w:val="00F0677C"/>
    <w:rPr>
      <w:sz w:val="18"/>
    </w:rPr>
  </w:style>
  <w:style w:type="paragraph" w:customStyle="1" w:styleId="BodySmallRight">
    <w:name w:val="Body Small Right"/>
    <w:basedOn w:val="BodyTextRight"/>
    <w:rsid w:val="00F0677C"/>
    <w:rPr>
      <w:sz w:val="18"/>
      <w:szCs w:val="18"/>
    </w:rPr>
  </w:style>
  <w:style w:type="paragraph" w:customStyle="1" w:styleId="MarginEdition">
    <w:name w:val="Margin Edition"/>
    <w:basedOn w:val="MarginNote"/>
    <w:rsid w:val="00F0677C"/>
    <w:pPr>
      <w:spacing w:before="0" w:after="0"/>
    </w:pPr>
    <w:rPr>
      <w:rFonts w:ascii="Times New Roman" w:hAnsi="Times New Roman"/>
      <w:color w:val="999999"/>
    </w:rPr>
  </w:style>
  <w:style w:type="paragraph" w:customStyle="1" w:styleId="Spacer">
    <w:name w:val="Spacer"/>
    <w:basedOn w:val="Normal"/>
    <w:rsid w:val="00F0677C"/>
    <w:rPr>
      <w:sz w:val="2"/>
      <w:szCs w:val="2"/>
    </w:rPr>
  </w:style>
  <w:style w:type="character" w:customStyle="1" w:styleId="Small">
    <w:name w:val="Small"/>
    <w:basedOn w:val="DefaultParagraphFont"/>
    <w:rsid w:val="00F0677C"/>
    <w:rPr>
      <w:sz w:val="16"/>
    </w:rPr>
  </w:style>
  <w:style w:type="paragraph" w:customStyle="1" w:styleId="WideTable">
    <w:name w:val="Wide Table"/>
    <w:basedOn w:val="Normal"/>
    <w:rsid w:val="00F0677C"/>
    <w:pPr>
      <w:ind w:left="-1418"/>
    </w:pPr>
    <w:rPr>
      <w:sz w:val="2"/>
      <w:szCs w:val="2"/>
    </w:rPr>
  </w:style>
  <w:style w:type="character" w:styleId="PageNumber">
    <w:name w:val="page number"/>
    <w:basedOn w:val="DefaultParagraphFont"/>
    <w:rsid w:val="00F0677C"/>
  </w:style>
  <w:style w:type="paragraph" w:styleId="Quote">
    <w:name w:val="Quote"/>
    <w:basedOn w:val="Heading1"/>
    <w:link w:val="QuoteChar"/>
    <w:qFormat/>
    <w:rsid w:val="00F0677C"/>
    <w:rPr>
      <w:b w:val="0"/>
      <w:sz w:val="72"/>
      <w:szCs w:val="72"/>
      <w:lang w:val="en-NZ"/>
    </w:rPr>
  </w:style>
  <w:style w:type="character" w:customStyle="1" w:styleId="QuoteChar">
    <w:name w:val="Quote Char"/>
    <w:basedOn w:val="DefaultParagraphFont"/>
    <w:link w:val="Quote"/>
    <w:rsid w:val="00F06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77C"/>
    <w:pPr>
      <w:pageBreakBefore/>
    </w:pPr>
  </w:style>
  <w:style w:type="paragraph" w:customStyle="1" w:styleId="Border">
    <w:name w:val="Border"/>
    <w:basedOn w:val="Normal"/>
    <w:qFormat/>
    <w:rsid w:val="00F06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77C"/>
    <w:rPr>
      <w:b/>
      <w:bCs/>
      <w:i/>
      <w:iCs/>
      <w:color w:val="auto"/>
    </w:rPr>
  </w:style>
  <w:style w:type="paragraph" w:styleId="IntenseQuote">
    <w:name w:val="Intense Quote"/>
    <w:basedOn w:val="Normal"/>
    <w:next w:val="Normal"/>
    <w:link w:val="IntenseQuoteChar"/>
    <w:uiPriority w:val="30"/>
    <w:qFormat/>
    <w:rsid w:val="00F06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77C"/>
    <w:rPr>
      <w:smallCaps/>
      <w:color w:val="auto"/>
      <w:u w:val="single"/>
    </w:rPr>
  </w:style>
  <w:style w:type="character" w:styleId="IntenseReference">
    <w:name w:val="Intense Reference"/>
    <w:basedOn w:val="DefaultParagraphFont"/>
    <w:uiPriority w:val="32"/>
    <w:qFormat/>
    <w:rsid w:val="00F0677C"/>
    <w:rPr>
      <w:b/>
      <w:bCs/>
      <w:smallCaps/>
      <w:color w:val="auto"/>
      <w:spacing w:val="5"/>
      <w:u w:val="single"/>
    </w:rPr>
  </w:style>
  <w:style w:type="paragraph" w:customStyle="1" w:styleId="2ColumnHeading">
    <w:name w:val="2Column Heading"/>
    <w:basedOn w:val="BodyText"/>
    <w:qFormat/>
    <w:rsid w:val="00F0677C"/>
    <w:pPr>
      <w:spacing w:after="60"/>
      <w:ind w:left="-2268"/>
    </w:pPr>
    <w:rPr>
      <w:b/>
    </w:rPr>
  </w:style>
  <w:style w:type="paragraph" w:customStyle="1" w:styleId="Heading1TOC">
    <w:name w:val="Heading1 TOC"/>
    <w:basedOn w:val="Normal"/>
    <w:qFormat/>
    <w:rsid w:val="00F0677C"/>
    <w:pPr>
      <w:spacing w:before="240" w:after="120"/>
    </w:pPr>
    <w:rPr>
      <w:rFonts w:ascii="Times New Roman" w:hAnsi="Times New Roman"/>
      <w:b/>
      <w:sz w:val="32"/>
    </w:rPr>
  </w:style>
  <w:style w:type="paragraph" w:customStyle="1" w:styleId="Heading2TOC">
    <w:name w:val="Heading2 TOC"/>
    <w:basedOn w:val="Normal"/>
    <w:qFormat/>
    <w:rsid w:val="00F0677C"/>
    <w:pPr>
      <w:spacing w:before="240" w:after="60"/>
    </w:pPr>
    <w:rPr>
      <w:rFonts w:ascii="Times New Roman" w:hAnsi="Times New Roman"/>
      <w:b/>
      <w:sz w:val="28"/>
    </w:rPr>
  </w:style>
  <w:style w:type="character" w:customStyle="1" w:styleId="Underline">
    <w:name w:val="Underline"/>
    <w:basedOn w:val="DefaultParagraphFont"/>
    <w:qFormat/>
    <w:rsid w:val="00F0677C"/>
    <w:rPr>
      <w:u w:val="single"/>
    </w:rPr>
  </w:style>
  <w:style w:type="character" w:customStyle="1" w:styleId="BoldandItalics">
    <w:name w:val="Bold and Italics"/>
    <w:qFormat/>
    <w:rsid w:val="00F0677C"/>
    <w:rPr>
      <w:b/>
      <w:i/>
      <w:u w:val="none"/>
    </w:rPr>
  </w:style>
  <w:style w:type="paragraph" w:styleId="BalloonText">
    <w:name w:val="Balloon Text"/>
    <w:basedOn w:val="Normal"/>
    <w:link w:val="BalloonTextChar"/>
    <w:rsid w:val="00F0677C"/>
    <w:rPr>
      <w:rFonts w:ascii="Tahoma" w:hAnsi="Tahoma" w:cs="Tahoma"/>
      <w:sz w:val="16"/>
      <w:szCs w:val="16"/>
    </w:rPr>
  </w:style>
  <w:style w:type="character" w:customStyle="1" w:styleId="BalloonTextChar">
    <w:name w:val="Balloon Text Char"/>
    <w:basedOn w:val="DefaultParagraphFont"/>
    <w:link w:val="BalloonText"/>
    <w:rsid w:val="00F06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7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77C"/>
    <w:rPr>
      <w:b/>
      <w:color w:val="660033"/>
      <w:spacing w:val="0"/>
    </w:rPr>
  </w:style>
  <w:style w:type="paragraph" w:customStyle="1" w:styleId="Nameditemlist">
    <w:name w:val="Named item list"/>
    <w:basedOn w:val="BodyText"/>
    <w:qFormat/>
    <w:rsid w:val="00F067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2177</Words>
  <Characters>13381</Characters>
  <Application>Microsoft Office Word</Application>
  <DocSecurity>0</DocSecurity>
  <Lines>575</Lines>
  <Paragraphs>224</Paragraphs>
  <ScaleCrop>false</ScaleCrop>
  <Company>Author-it Software Corporation Ltd.</Company>
  <LinksUpToDate>false</LinksUpToDate>
  <CharactersWithSpaces>15425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UEENEEJ161A Verify functionality and compliance of appliances</dc:title>
  <dc:subject>Approved</dc:subject>
  <dc:creator>E-OZ Training Standards</dc:creator>
  <cp:keywords>Release: 3</cp:keywords>
  <dc:description>Review Date: 12 April 2008</dc:description>
  <cp:lastModifiedBy>TPCMS</cp:lastModifiedBy>
  <cp:revision>3</cp:revision>
  <dcterms:created xsi:type="dcterms:W3CDTF">2013-08-14T06:54:00Z</dcterms:created>
  <dcterms:modified xsi:type="dcterms:W3CDTF">2013-08-14T06:54:00Z</dcterms:modified>
</cp:coreProperties>
</file>