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471" w:rsidP="00951471">
      <w:pPr>
        <w:pStyle w:val="Title"/>
      </w:pPr>
      <w:r>
        <w:fldChar w:fldCharType="begin"/>
      </w:r>
      <w:r>
        <w:instrText xml:space="preserve"> TITLE   \* MERGEFORMAT </w:instrText>
      </w:r>
      <w:r>
        <w:fldChar w:fldCharType="separate"/>
      </w:r>
      <w:r>
        <w:t>UEENEEJ154A Find and rectify faults in appliance control systems and devices</w:t>
      </w:r>
      <w:r>
        <w:fldChar w:fldCharType="end"/>
      </w:r>
    </w:p>
    <w:p w:rsidR="00951471" w:rsidP="00951471">
      <w:pPr>
        <w:pStyle w:val="Version"/>
        <w:sectPr w:rsidSect="00CA6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A6186" w:rsidP="00CA6186">
      <w:pPr>
        <w:pStyle w:val="SuperHeading"/>
      </w:pPr>
      <w:r w:rsidRPr="00CA6186">
        <w:t>UEENEEJ154A Find and rectify faults in appliance control systems and devices</w:t>
      </w:r>
    </w:p>
    <w:p w:rsidR="00000000" w:rsidRPr="00CA6186" w:rsidP="00CA6186">
      <w:pPr>
        <w:pStyle w:val="Heading1"/>
      </w:pPr>
      <w:bookmarkStart w:id="1" w:name="O_590097"/>
      <w:bookmarkEnd w:id="1"/>
      <w:r w:rsidRPr="00CA6186">
        <w:t>Modification History</w:t>
      </w:r>
    </w:p>
    <w:p w:rsidR="00000000" w:rsidRPr="00CA6186" w:rsidP="00CA6186">
      <w:pPr>
        <w:pStyle w:val="BodyText"/>
      </w:pPr>
      <w:r w:rsidRPr="00CA6186">
        <w:t>Not Applicable</w:t>
      </w:r>
    </w:p>
    <w:p w:rsidR="00000000" w:rsidRPr="00CA6186" w:rsidP="00CA6186">
      <w:pPr>
        <w:pStyle w:val="AllowPageBreak"/>
      </w:pPr>
    </w:p>
    <w:p w:rsidR="00000000" w:rsidRPr="00CA6186" w:rsidP="00CA6186">
      <w:pPr>
        <w:pStyle w:val="Heading1"/>
      </w:pPr>
      <w:bookmarkStart w:id="2" w:name="O_590096"/>
      <w:bookmarkEnd w:id="2"/>
      <w:r w:rsidRPr="00CA6186">
        <w:t>Unit Descriptor</w:t>
      </w:r>
    </w:p>
    <w:tbl>
      <w:tblPr>
        <w:tblW w:w="0" w:type="auto"/>
        <w:tblLayout w:type="fixed"/>
        <w:tblCellMar>
          <w:left w:w="62" w:type="dxa"/>
          <w:right w:w="62" w:type="dxa"/>
        </w:tblCellMar>
        <w:tblLook w:val="0000"/>
      </w:tblPr>
      <w:tblGrid>
        <w:gridCol w:w="2700"/>
        <w:gridCol w:w="5760"/>
      </w:tblGrid>
      <w:tr w:rsidTr="009514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1</w:t>
            </w:r>
            <w:r w:rsidRPr="00CA6186">
              <w:t xml:space="preserve">) </w:t>
            </w:r>
          </w:p>
          <w:p w:rsidR="00000000" w:rsidP="00CA6186">
            <w:pPr>
              <w:pStyle w:val="BodyText"/>
              <w:rPr>
                <w:lang w:val="en-NZ"/>
              </w:rPr>
            </w:pPr>
            <w:r w:rsidRPr="00CA6186">
              <w:rPr>
                <w:rStyle w:val="SpecialBold"/>
              </w:rPr>
              <w:t>1</w:t>
            </w:r>
            <w:r w:rsidRPr="00CA6186">
              <w:t>.</w:t>
            </w:r>
            <w:r w:rsidRPr="00CA6186">
              <w:rPr>
                <w:rStyle w:val="SpecialBold"/>
              </w:rPr>
              <w:t>1</w:t>
            </w:r>
            <w:r w:rsidRPr="00CA6186">
              <w:t xml:space="preserve">) </w:t>
            </w:r>
            <w:r w:rsidRPr="00CA6186">
              <w:rPr>
                <w:rStyle w:val="SpecialBold"/>
              </w:rPr>
              <w:t>Descriptor</w:t>
            </w:r>
          </w:p>
        </w:tc>
      </w:tr>
      <w:tr w:rsidTr="009514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 xml:space="preserve">This unit covers finding and repairing faults in appliance control systems and devices. It encompasses working safely, applying knowledge of appliance control systems and devices, reading circuit diagrams, sketching diagrams from traced circuits, applying </w:t>
            </w:r>
            <w:r w:rsidRPr="00CA6186">
              <w:t>logical fault finding procedures, conducting repairs and completing the necessary service documentation.</w:t>
            </w:r>
          </w:p>
        </w:tc>
      </w:tr>
    </w:tbl>
    <w:p w:rsidR="00951471" w:rsidP="00CA6186">
      <w:pPr>
        <w:pStyle w:val="BodyText"/>
      </w:pPr>
    </w:p>
    <w:p w:rsidR="00951471" w:rsidP="00CA6186">
      <w:pPr>
        <w:pStyle w:val="BodyText"/>
      </w:pPr>
    </w:p>
    <w:p w:rsidR="00000000" w:rsidRPr="00CA6186" w:rsidP="00CA6186">
      <w:pPr>
        <w:pStyle w:val="Heading1"/>
      </w:pPr>
      <w:bookmarkStart w:id="3" w:name="O_590095"/>
      <w:bookmarkEnd w:id="3"/>
      <w:r w:rsidRPr="00CA6186">
        <w:t>Application of the Unit</w:t>
      </w:r>
    </w:p>
    <w:tbl>
      <w:tblPr>
        <w:tblW w:w="0" w:type="auto"/>
        <w:tblLayout w:type="fixed"/>
        <w:tblCellMar>
          <w:left w:w="62" w:type="dxa"/>
          <w:right w:w="62" w:type="dxa"/>
        </w:tblCellMar>
        <w:tblLook w:val="0000"/>
      </w:tblPr>
      <w:tblGrid>
        <w:gridCol w:w="2700"/>
        <w:gridCol w:w="5760"/>
      </w:tblGrid>
      <w:tr w:rsidTr="009514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4</w:t>
            </w:r>
            <w:r w:rsidRPr="00CA6186">
              <w:t>)</w:t>
            </w:r>
          </w:p>
        </w:tc>
      </w:tr>
      <w:tr w:rsidTr="009514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This unit is intended for competency development entry-level employment-based programs incorporated in approved contracts of training. It may also used to augment formally acquired competencies.</w:t>
            </w:r>
          </w:p>
        </w:tc>
      </w:tr>
    </w:tbl>
    <w:p w:rsidR="00951471" w:rsidP="00CA6186">
      <w:pPr>
        <w:pStyle w:val="BodyText"/>
      </w:pPr>
    </w:p>
    <w:p w:rsidR="00951471" w:rsidP="00CA6186">
      <w:pPr>
        <w:pStyle w:val="BodyText"/>
      </w:pPr>
    </w:p>
    <w:p w:rsidR="00000000" w:rsidRPr="00CA6186" w:rsidP="00CA6186">
      <w:pPr>
        <w:pStyle w:val="Heading1"/>
      </w:pPr>
      <w:bookmarkStart w:id="4" w:name="O_590094"/>
      <w:bookmarkEnd w:id="4"/>
      <w:r w:rsidRPr="00CA6186">
        <w:t>Licensing/Regulatory Information</w:t>
      </w:r>
    </w:p>
    <w:tbl>
      <w:tblPr>
        <w:tblW w:w="0" w:type="auto"/>
        <w:tblLayout w:type="fixed"/>
        <w:tblCellMar>
          <w:left w:w="62" w:type="dxa"/>
          <w:right w:w="62" w:type="dxa"/>
        </w:tblCellMar>
        <w:tblLook w:val="0000"/>
      </w:tblPr>
      <w:tblGrid>
        <w:gridCol w:w="8460"/>
      </w:tblGrid>
      <w:tr w:rsidTr="009514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1</w:t>
            </w:r>
            <w:r w:rsidRPr="00CA6186">
              <w:t>.</w:t>
            </w:r>
            <w:r w:rsidRPr="00CA6186">
              <w:rPr>
                <w:rStyle w:val="SpecialBold"/>
              </w:rPr>
              <w:t>2</w:t>
            </w:r>
            <w:r w:rsidRPr="00CA6186">
              <w:t xml:space="preserve">) </w:t>
            </w:r>
            <w:r w:rsidRPr="00CA6186">
              <w:rPr>
                <w:rStyle w:val="SpecialBold"/>
              </w:rPr>
              <w:t>Lic</w:t>
            </w:r>
            <w:r w:rsidRPr="00CA6186">
              <w:rPr>
                <w:rStyle w:val="SpecialBold"/>
              </w:rPr>
              <w:t>ense to practice</w:t>
            </w:r>
          </w:p>
        </w:tc>
      </w:tr>
      <w:tr w:rsidTr="009514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 xml:space="preserve">The skills and knowledge described in this unit require a license to practice in the workplace where appliances are connected to fixed wiring at voltage above 50 V a.c. or 120 V d.c. In </w:t>
            </w:r>
            <w:r w:rsidRPr="00CA6186">
              <w:t>some States/Territories a licence is required to practise this unit in the workplace subject to regulations for servicing refrigeration or air conditioning appliance in particular when working with refrigerants. Practice in workplace and during training is</w:t>
            </w:r>
            <w:r w:rsidRPr="00CA6186">
              <w:t xml:space="preserve"> also subject to regulations directly related to occupational health and safety and where applicable contracts of training such as apprenticeships.</w:t>
            </w:r>
          </w:p>
          <w:p w:rsidR="00000000" w:rsidRPr="00CA6186" w:rsidP="00CA6186">
            <w:pPr>
              <w:pStyle w:val="BodyText"/>
            </w:pPr>
            <w:r w:rsidRPr="00CA6186">
              <w:t xml:space="preserve">Note: </w:t>
            </w:r>
            <w:r w:rsidRPr="00CA6186">
              <w:br/>
              <w:t>1. Compliance with permits may be required in various jurisdictions and typically relates to the oper</w:t>
            </w:r>
            <w:r w:rsidRPr="00CA6186">
              <w:t>ation of plant, machinery and equipment such as elevating work platforms, powder operated fixing tools, power operated tools, vehicles, road signage and traffic control, lifting equipment. Permits may also be required for some work environments such as con</w:t>
            </w:r>
            <w:r w:rsidRPr="00CA6186">
              <w:t>fined spaces, working aloft, near live electrical devices, site rehabilitation.</w:t>
            </w:r>
            <w:r w:rsidRPr="00CA6186">
              <w:br/>
              <w:t>2. Compliance may be required in various jurisdictions relating to currency in First Aid, confined space, lifting and risk safety measures.</w:t>
            </w:r>
          </w:p>
        </w:tc>
      </w:tr>
    </w:tbl>
    <w:p w:rsidR="00951471" w:rsidP="00CA6186">
      <w:pPr>
        <w:pStyle w:val="BodyText"/>
      </w:pPr>
    </w:p>
    <w:p w:rsidR="00951471" w:rsidP="00CA6186">
      <w:pPr>
        <w:pStyle w:val="BodyText"/>
      </w:pPr>
    </w:p>
    <w:p w:rsidR="00000000" w:rsidRPr="00CA6186" w:rsidP="00CA6186">
      <w:pPr>
        <w:pStyle w:val="Heading1"/>
      </w:pPr>
      <w:bookmarkStart w:id="5" w:name="O_590093"/>
      <w:bookmarkEnd w:id="5"/>
      <w:r w:rsidRPr="00CA6186">
        <w:t>Pre-Requisites</w:t>
      </w:r>
    </w:p>
    <w:tbl>
      <w:tblPr>
        <w:tblW w:w="0" w:type="auto"/>
        <w:tblLayout w:type="fixed"/>
        <w:tblCellMar>
          <w:left w:w="62" w:type="dxa"/>
          <w:right w:w="62" w:type="dxa"/>
        </w:tblCellMar>
        <w:tblLook w:val="0000"/>
      </w:tblPr>
      <w:tblGrid>
        <w:gridCol w:w="2700"/>
        <w:gridCol w:w="5760"/>
      </w:tblGrid>
      <w:tr w:rsidTr="009514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P</w:t>
            </w:r>
            <w:r w:rsidRPr="00CA6186">
              <w:rPr>
                <w:rStyle w:val="SpecialBold"/>
              </w:rPr>
              <w:t>rerequisite Unit</w:t>
            </w:r>
            <w:r w:rsidRPr="00CA6186">
              <w:t>(</w:t>
            </w:r>
            <w:r w:rsidRPr="00CA6186">
              <w:rPr>
                <w:rStyle w:val="SpecialBold"/>
              </w:rPr>
              <w:t>s</w:t>
            </w:r>
            <w:r w:rsidRPr="00CA6186">
              <w:t>)</w:t>
            </w:r>
          </w:p>
        </w:tc>
        <w:tc>
          <w:tcPr>
            <w:tcW w:w="57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2</w:t>
            </w:r>
            <w:r w:rsidRPr="00CA6186">
              <w:t xml:space="preserve">) </w:t>
            </w:r>
          </w:p>
        </w:tc>
      </w:tr>
      <w:tr w:rsidTr="009514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618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2</w:t>
            </w:r>
            <w:r w:rsidRPr="00CA6186">
              <w:t>.</w:t>
            </w:r>
            <w:r w:rsidRPr="00CA6186">
              <w:rPr>
                <w:rStyle w:val="SpecialBold"/>
              </w:rPr>
              <w:t>1</w:t>
            </w:r>
            <w:r w:rsidRPr="00CA6186">
              <w:t xml:space="preserve">) </w:t>
            </w:r>
            <w:r w:rsidRPr="00CA6186">
              <w:rPr>
                <w:rStyle w:val="SpecialBold"/>
              </w:rPr>
              <w:t>Competencies</w:t>
            </w:r>
          </w:p>
        </w:tc>
      </w:tr>
      <w:tr w:rsidTr="009514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Granting competency in this unit shall be made only after competency in the following unit(s) has/have been confirmed.</w:t>
            </w:r>
          </w:p>
          <w:p w:rsidR="00000000" w:rsidRPr="00CA6186" w:rsidP="00CA6186">
            <w:pPr>
              <w:pStyle w:val="BodyText"/>
            </w:pPr>
            <w:r w:rsidRPr="00CA6186">
              <w:t>UEENEEG006A Solve problems in single and three phase low voltage machines</w:t>
            </w:r>
          </w:p>
          <w:p w:rsidR="00000000" w:rsidRPr="00CA6186" w:rsidP="00CA6186">
            <w:pPr>
              <w:pStyle w:val="BodyText"/>
            </w:pPr>
            <w:r w:rsidRPr="00CA6186">
              <w:t>UEENEEE101A Apply Occupational Health and Safety regulations, codes and practices in the workplace</w:t>
            </w:r>
          </w:p>
          <w:p w:rsidR="00000000" w:rsidRPr="00CA6186" w:rsidP="00CA6186">
            <w:pPr>
              <w:pStyle w:val="BodyText"/>
            </w:pPr>
            <w:r w:rsidRPr="00CA6186">
              <w:t>UEENEEE102A Fabricate, assemble and dismantle utilities industry components</w:t>
            </w:r>
          </w:p>
          <w:p w:rsidR="00000000" w:rsidRPr="00CA6186" w:rsidP="00CA6186">
            <w:pPr>
              <w:pStyle w:val="BodyText"/>
            </w:pPr>
            <w:r w:rsidRPr="00CA6186">
              <w:t>UEENEEE104A Solve problems in d.c. circuits</w:t>
            </w:r>
          </w:p>
          <w:p w:rsidR="00000000" w:rsidRPr="00CA6186" w:rsidP="00CA6186">
            <w:pPr>
              <w:pStyle w:val="BodyText"/>
            </w:pPr>
            <w:r w:rsidRPr="00CA6186">
              <w:t>UEENEEE105A Fix and secure electrotec</w:t>
            </w:r>
            <w:r w:rsidRPr="00CA6186">
              <w:t>hnology equipment</w:t>
            </w:r>
          </w:p>
          <w:p w:rsidR="00000000" w:rsidRPr="00CA6186" w:rsidP="00CA6186">
            <w:pPr>
              <w:pStyle w:val="BodyText"/>
            </w:pPr>
            <w:r w:rsidRPr="00CA6186">
              <w:t>UEENEEE107A Use drawings, diagrams, schedules, standards, codes and specifications</w:t>
            </w:r>
          </w:p>
          <w:p w:rsidR="00000000" w:rsidRPr="00CA6186" w:rsidP="00CA6186">
            <w:pPr>
              <w:pStyle w:val="BodyText"/>
            </w:pPr>
            <w:r w:rsidRPr="00CA6186">
              <w:t>UEENEEG101A Solve problems in electromagnetic devices and related circuits</w:t>
            </w:r>
          </w:p>
          <w:p w:rsidR="00000000" w:rsidRPr="00CA6186" w:rsidP="00CA6186">
            <w:pPr>
              <w:pStyle w:val="BodyText"/>
            </w:pPr>
            <w:r w:rsidRPr="00CA6186">
              <w:t>UEENEEG102A Solve problems in low voltage a.c. circuits</w:t>
            </w:r>
          </w:p>
          <w:p w:rsidR="00000000" w:rsidRPr="00CA6186" w:rsidP="00CA6186">
            <w:pPr>
              <w:pStyle w:val="BodyText"/>
            </w:pPr>
            <w:r w:rsidRPr="00CA6186">
              <w:t>UEENEEG106A Terminate ca</w:t>
            </w:r>
            <w:r w:rsidRPr="00CA6186">
              <w:t>bles, cords and accessories for low voltage circuits</w:t>
            </w:r>
          </w:p>
          <w:p w:rsidR="00000000" w:rsidRPr="00CA6186" w:rsidP="00CA6186">
            <w:pPr>
              <w:pStyle w:val="BodyText"/>
            </w:pPr>
            <w:r w:rsidRPr="00CA6186">
              <w:t xml:space="preserve">or </w:t>
            </w:r>
          </w:p>
          <w:p w:rsidR="00000000" w:rsidRPr="00CA6186" w:rsidP="00CA6186">
            <w:pPr>
              <w:pStyle w:val="BodyText"/>
            </w:pPr>
            <w:r w:rsidRPr="00CA6186">
              <w:t>UEENEEJ153A Find and rectify faults motors and associated controls in refrigeration and air conditioning systems</w:t>
            </w:r>
          </w:p>
          <w:p w:rsidR="00000000" w:rsidRPr="00CA6186" w:rsidP="00CA6186">
            <w:pPr>
              <w:pStyle w:val="BodyText"/>
            </w:pPr>
            <w:r w:rsidRPr="00CA6186">
              <w:t>UEENEEE107A Use drawings, diagrams, schedules, standards, codes and specifications</w:t>
            </w:r>
          </w:p>
          <w:p w:rsidR="00000000" w:rsidRPr="00CA6186" w:rsidP="00CA6186">
            <w:pPr>
              <w:pStyle w:val="BodyText"/>
            </w:pPr>
            <w:r w:rsidRPr="00CA6186">
              <w:t>UEENEEJ103A Establish the basic operating conditions of vapour compression systems</w:t>
            </w:r>
          </w:p>
          <w:p w:rsidR="00000000" w:rsidRPr="00CA6186" w:rsidP="00CA6186">
            <w:pPr>
              <w:pStyle w:val="BodyText"/>
            </w:pPr>
            <w:r w:rsidRPr="00CA6186">
              <w:t>UEENEEJ108A Recover, pressure test, evacuate, charge and leak test refrigerants</w:t>
            </w:r>
          </w:p>
          <w:p w:rsidR="00000000" w:rsidRPr="00CA6186" w:rsidP="00CA6186">
            <w:pPr>
              <w:pStyle w:val="BodyText"/>
            </w:pPr>
            <w:r w:rsidRPr="00CA6186">
              <w:t>UEENEEJ194A Solve problems in low voltage refrigeration circuits</w:t>
            </w:r>
          </w:p>
          <w:p w:rsidR="00000000" w:rsidRPr="00CA6186" w:rsidP="00CA6186">
            <w:pPr>
              <w:pStyle w:val="BodyText"/>
            </w:pPr>
            <w:r w:rsidRPr="00CA6186">
              <w:t>UEENEEE101A Apply Occupation</w:t>
            </w:r>
            <w:r w:rsidRPr="00CA6186">
              <w:t>al Health and Safety regulations, codes and practices in the workplace</w:t>
            </w:r>
          </w:p>
          <w:p w:rsidR="00000000" w:rsidRPr="00CA6186" w:rsidP="00CA6186">
            <w:pPr>
              <w:pStyle w:val="BodyText"/>
            </w:pPr>
            <w:r w:rsidRPr="00CA6186">
              <w:t>UEENEEE003B Solve problems in extra-low voltage single path circuits</w:t>
            </w:r>
          </w:p>
          <w:p w:rsidR="00000000" w:rsidRPr="00CA6186" w:rsidP="00CA6186">
            <w:pPr>
              <w:pStyle w:val="BodyText"/>
            </w:pPr>
            <w:r w:rsidRPr="00CA6186">
              <w:t>UEENEEE003B Solve problems in extra-low voltage single path circuits</w:t>
            </w:r>
          </w:p>
        </w:tc>
      </w:tr>
    </w:tbl>
    <w:p w:rsidR="00951471" w:rsidP="00CA6186">
      <w:pPr>
        <w:pStyle w:val="BodyText"/>
      </w:pPr>
    </w:p>
    <w:p w:rsidR="00951471" w:rsidP="00CA6186">
      <w:pPr>
        <w:pStyle w:val="BodyText"/>
      </w:pPr>
    </w:p>
    <w:p w:rsidR="00000000" w:rsidRPr="00CA6186" w:rsidP="00CA6186">
      <w:pPr>
        <w:pStyle w:val="Heading1"/>
      </w:pPr>
      <w:bookmarkStart w:id="6" w:name="O_590092"/>
      <w:bookmarkEnd w:id="6"/>
      <w:r w:rsidRPr="00CA6186">
        <w:t>Employability Skills Inform</w:t>
      </w:r>
      <w:r w:rsidRPr="00CA6186">
        <w:t>ation</w:t>
      </w:r>
    </w:p>
    <w:tbl>
      <w:tblPr>
        <w:tblW w:w="0" w:type="auto"/>
        <w:tblLayout w:type="fixed"/>
        <w:tblCellMar>
          <w:left w:w="62" w:type="dxa"/>
          <w:right w:w="62" w:type="dxa"/>
        </w:tblCellMar>
        <w:tblLook w:val="0000"/>
      </w:tblPr>
      <w:tblGrid>
        <w:gridCol w:w="2700"/>
        <w:gridCol w:w="5760"/>
      </w:tblGrid>
      <w:tr w:rsidTr="009514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3</w:t>
            </w:r>
            <w:r w:rsidRPr="00CA6186">
              <w:t>)</w:t>
            </w:r>
          </w:p>
          <w:p w:rsidR="00000000" w:rsidRPr="00CA6186" w:rsidP="00CA6186">
            <w:pPr>
              <w:pStyle w:val="BodyText"/>
            </w:pPr>
            <w:r w:rsidRPr="00CA6186">
              <w:t>This unit contains Employability Skills</w:t>
            </w:r>
          </w:p>
          <w:p w:rsidR="00000000" w:rsidRPr="00CA6186" w:rsidP="00CA6186">
            <w:pPr>
              <w:pStyle w:val="BodyText"/>
            </w:pPr>
            <w:r w:rsidRPr="00CA6186">
              <w:t xml:space="preserve">The required outcomes described in this unit of competency contain applicable facets of Employability Skills. The Employability Skills Summary of the qualification in which this unit of </w:t>
            </w:r>
            <w:r w:rsidRPr="00CA6186">
              <w:t>competency is packaged will assist in identifying Employability Skill requirements.</w:t>
            </w:r>
          </w:p>
        </w:tc>
      </w:tr>
    </w:tbl>
    <w:p w:rsidR="00951471" w:rsidP="00CA6186">
      <w:pPr>
        <w:pStyle w:val="BodyText"/>
      </w:pPr>
    </w:p>
    <w:p w:rsidR="00951471" w:rsidP="00CA6186">
      <w:pPr>
        <w:pStyle w:val="BodyText"/>
      </w:pPr>
    </w:p>
    <w:p w:rsidR="00000000" w:rsidRPr="00CA6186" w:rsidP="00CA6186">
      <w:pPr>
        <w:pStyle w:val="Heading1"/>
      </w:pPr>
      <w:bookmarkStart w:id="7" w:name="O_590091"/>
      <w:bookmarkEnd w:id="7"/>
      <w:r w:rsidRPr="00CA6186">
        <w:t>Elements and Performance Criteria Pre-Content</w:t>
      </w:r>
    </w:p>
    <w:tbl>
      <w:tblPr>
        <w:tblW w:w="0" w:type="auto"/>
        <w:tblLayout w:type="fixed"/>
        <w:tblCellMar>
          <w:left w:w="62" w:type="dxa"/>
          <w:right w:w="62" w:type="dxa"/>
        </w:tblCellMar>
        <w:tblLook w:val="0000"/>
      </w:tblPr>
      <w:tblGrid>
        <w:gridCol w:w="2150"/>
        <w:gridCol w:w="6447"/>
      </w:tblGrid>
      <w:tr w:rsidTr="00951471">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6</w:t>
            </w:r>
            <w:r w:rsidRPr="00CA6186">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Performance criteria describe the required performance needed to demonstrate achievement of the element. Assessment of performance is to be consistent with the evidence guide.</w:t>
            </w:r>
          </w:p>
        </w:tc>
      </w:tr>
    </w:tbl>
    <w:p w:rsidR="00000000" w:rsidRPr="00CA6186" w:rsidP="00CA6186">
      <w:pPr>
        <w:pStyle w:val="BodyText"/>
      </w:pPr>
    </w:p>
    <w:p w:rsidR="00000000" w:rsidRPr="00CA6186" w:rsidP="00CA6186">
      <w:pPr>
        <w:pStyle w:val="AllowPageBreak"/>
      </w:pPr>
    </w:p>
    <w:p w:rsidR="00000000" w:rsidRPr="00CA6186" w:rsidP="00CA6186">
      <w:pPr>
        <w:pStyle w:val="Heading1"/>
      </w:pPr>
      <w:bookmarkStart w:id="8" w:name="O_590090"/>
      <w:bookmarkEnd w:id="8"/>
      <w:r w:rsidRPr="00CA6186">
        <w:t>Elements and Performance Criteria</w:t>
      </w:r>
    </w:p>
    <w:tbl>
      <w:tblPr>
        <w:tblW w:w="0" w:type="auto"/>
        <w:tblLayout w:type="fixed"/>
        <w:tblCellMar>
          <w:left w:w="62" w:type="dxa"/>
          <w:right w:w="62" w:type="dxa"/>
        </w:tblCellMar>
        <w:tblLook w:val="0000"/>
      </w:tblPr>
      <w:tblGrid>
        <w:gridCol w:w="546"/>
        <w:gridCol w:w="1604"/>
        <w:gridCol w:w="909"/>
        <w:gridCol w:w="5538"/>
      </w:tblGrid>
      <w:tr w:rsidTr="00951471">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PERFORMANCE CRITER</w:t>
            </w:r>
            <w:r w:rsidRPr="00CA6186">
              <w:rPr>
                <w:rStyle w:val="SpecialBold"/>
              </w:rPr>
              <w:t>IA</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w:t>
            </w:r>
          </w:p>
        </w:tc>
        <w:tc>
          <w:tcPr>
            <w:tcW w:w="1604" w:type="dxa"/>
            <w:vMerge w:val="restart"/>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Prepare to find and rectify faults in appliance control systems and devices</w:t>
            </w: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1.1</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 xml:space="preserve">OHS procedures for a given work area are identified, identified, obtained and understood </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1.2</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OHS risk control measures and procedures in preparation for the work are followed.</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1.3</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The likely extent of work to be undertaken is envisaged from fault/breakdown reports and/or discussions with appropriate person(s).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1.4</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 xml:space="preserve">Advice is sought from the work supervisor to ensure the work is coordinated effectively with others. </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1.5</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Sources of materials that may be required for the work are accessed in accordance with established procedures.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1.6</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 xml:space="preserve">Tools, equipment and testing </w:t>
            </w:r>
            <w:r w:rsidRPr="00CA6186">
              <w:t>devices needed to locate faults are obtained in accordance with established procedures and checked for correct operation and safety.</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w:t>
            </w:r>
          </w:p>
        </w:tc>
        <w:tc>
          <w:tcPr>
            <w:tcW w:w="1604" w:type="dxa"/>
            <w:vMerge w:val="restart"/>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Find and repair faults in appliance control systems and devices</w:t>
            </w: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2.1</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OHS risk control measures and procedures for carryin</w:t>
            </w:r>
            <w:r w:rsidRPr="00CA6186">
              <w:t>g out the work are followed.</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2.2</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The need to test or measure live is determined in strict accordance with OHS requirements and when necessary conducted within established safety procedures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2.3</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Appliance is</w:t>
            </w:r>
            <w:r w:rsidRPr="00CA6186">
              <w:t xml:space="preserve"> checked as being correctly isolated where necessary in strict accordance OHS requirements and procedures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2.4</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 xml:space="preserve">Safety hazards resulting from the fault or breakdown are documented and risk control measures devised and implemented in consultation with </w:t>
            </w:r>
            <w:r w:rsidRPr="00CA6186">
              <w:t>appropriate personnel.</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2.5</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Fault finding is approached methodically drawing on knowledge of appliance control systems and devices using measured and calculated values of circuit/control parameters.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2.6</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Appliance is dismantled where necessary and part</w:t>
            </w:r>
            <w:r w:rsidRPr="00CA6186">
              <w:t>s stored to protect them against loss or damage</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2.7</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Suspected faulty control device, component or circuit is rechecked and its fault status confirmed.</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2.8</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Replacement parts required to rectify faults are sourced and obtained in accordance with established procedures.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2.9</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Effectiveness of the repair is tested in accordance with established procedures.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2.10</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Apparatus is reassembled, finally tested and pr</w:t>
            </w:r>
            <w:r w:rsidRPr="00CA6186">
              <w:t>epared for return to service.</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2.11</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Unexpected situations are dealt with safely and with the approval of an authorised person.</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2.12</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 xml:space="preserve">Fault finding and repair activities are carried out without damage to apparatus, circuits, the surrounding environment </w:t>
            </w:r>
            <w:r w:rsidRPr="00CA6186">
              <w:t>or services and using sustainable energy practices.</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3</w:t>
            </w:r>
          </w:p>
        </w:tc>
        <w:tc>
          <w:tcPr>
            <w:tcW w:w="1604" w:type="dxa"/>
            <w:vMerge w:val="restart"/>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Completion and report fault finding and repair activities</w:t>
            </w: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3.1</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OHS work completion risk control measures and procedures are followed.</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3.2</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Reusable, faulty or worn components are</w:t>
            </w:r>
            <w:r w:rsidRPr="00CA6186">
              <w:t xml:space="preserve"> tagged and dispatched for repair to maintain adequate spares inventory.</w:t>
            </w:r>
          </w:p>
        </w:tc>
      </w:tr>
      <w:tr w:rsidTr="00951471">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3.3</w:t>
            </w:r>
          </w:p>
        </w:tc>
        <w:tc>
          <w:tcPr>
            <w:tcW w:w="5538"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 xml:space="preserve">Maintenance work activities are documented in accordance with established procedures. (See Note) </w:t>
            </w:r>
          </w:p>
        </w:tc>
      </w:tr>
      <w:tr w:rsidTr="00951471">
        <w:tblPrEx>
          <w:tblW w:w="0" w:type="auto"/>
          <w:tblLayout w:type="fixed"/>
          <w:tblCellMar>
            <w:left w:w="62" w:type="dxa"/>
            <w:right w:w="62" w:type="dxa"/>
          </w:tblCellMar>
          <w:tblLook w:val="0000"/>
        </w:tblPrEx>
        <w:tc>
          <w:tcPr>
            <w:tcW w:w="8597" w:type="dxa"/>
            <w:gridSpan w:val="4"/>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Note.</w:t>
            </w:r>
            <w:r w:rsidRPr="00CA6186">
              <w:br/>
              <w:t>Exa</w:t>
            </w:r>
            <w:r w:rsidRPr="00CA6186">
              <w:t>mples of documentation are component faults reports, test results, authorisations, permits, parts/component dispatch and stores records.</w:t>
            </w:r>
          </w:p>
        </w:tc>
      </w:tr>
    </w:tbl>
    <w:p w:rsidR="00951471" w:rsidP="00CA6186">
      <w:pPr>
        <w:pStyle w:val="BodyText"/>
      </w:pPr>
    </w:p>
    <w:p w:rsidR="00951471" w:rsidP="00CA6186">
      <w:pPr>
        <w:pStyle w:val="BodyText"/>
      </w:pPr>
    </w:p>
    <w:p w:rsidR="00000000" w:rsidRPr="00CA6186" w:rsidP="00CA6186">
      <w:pPr>
        <w:pStyle w:val="Heading1"/>
      </w:pPr>
      <w:bookmarkStart w:id="9" w:name="O_590089"/>
      <w:bookmarkEnd w:id="9"/>
      <w:r w:rsidRPr="00CA6186">
        <w:t>Required Skills and Knowledge</w:t>
      </w:r>
    </w:p>
    <w:tbl>
      <w:tblPr>
        <w:tblW w:w="0" w:type="auto"/>
        <w:tblLayout w:type="fixed"/>
        <w:tblCellMar>
          <w:left w:w="62" w:type="dxa"/>
          <w:right w:w="62" w:type="dxa"/>
        </w:tblCellMar>
        <w:tblLook w:val="0000"/>
      </w:tblPr>
      <w:tblGrid>
        <w:gridCol w:w="8597"/>
      </w:tblGrid>
      <w:tr w:rsidTr="00951471">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REQUIRED SKILLS AND KNOWLEDGE</w:t>
            </w:r>
          </w:p>
        </w:tc>
      </w:tr>
      <w:tr w:rsidTr="00951471">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7)</w:t>
            </w:r>
            <w:r w:rsidRPr="00CA6186">
              <w:t xml:space="preserve"> This describes the essential skills and knowledge and their level, required for this unit.</w:t>
            </w:r>
          </w:p>
        </w:tc>
      </w:tr>
      <w:tr w:rsidTr="00951471">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 xml:space="preserve">Evidence shall show that knowledge has been acquired of safe working practices and finding and rectifying faults in appliance control devices and systems. </w:t>
            </w:r>
          </w:p>
          <w:p w:rsidR="00000000" w:rsidRPr="00CA6186" w:rsidP="00CA6186">
            <w:pPr>
              <w:pStyle w:val="BodyText"/>
            </w:pPr>
            <w:r w:rsidRPr="00CA6186">
              <w:t>All kno</w:t>
            </w:r>
            <w:r w:rsidRPr="00CA6186">
              <w:t>wledge and skills detailed in this unit should be contextualised to current industry practices and technologies.</w:t>
            </w:r>
          </w:p>
          <w:p w:rsidR="00000000" w:rsidRPr="00CA6186" w:rsidP="00CA6186">
            <w:pPr>
              <w:pStyle w:val="BodyText"/>
            </w:pPr>
            <w:r w:rsidRPr="00CA6186">
              <w:rPr>
                <w:rStyle w:val="SpecialBold"/>
              </w:rPr>
              <w:t>KS01-EJ154A</w:t>
            </w:r>
            <w:r w:rsidRPr="00CA6186">
              <w:rPr>
                <w:rStyle w:val="SpecialBold"/>
              </w:rPr>
              <w:tab/>
              <w:t xml:space="preserve">                Appliance control systems and devices</w:t>
            </w:r>
          </w:p>
          <w:p w:rsidR="00000000" w:rsidRPr="00CA6186" w:rsidP="00CA6186">
            <w:pPr>
              <w:pStyle w:val="BodyText"/>
            </w:pPr>
            <w:r w:rsidRPr="00CA6186">
              <w:t>Evidence</w:t>
            </w:r>
            <w:r w:rsidRPr="00CA6186">
              <w:t xml:space="preserve"> shall show an understanding of control systems and devices used in domestic appliances, applying safe working practices and relevant Standards, Codes and Regulations to an extent indicated by the following aspects:</w:t>
            </w:r>
          </w:p>
          <w:p w:rsidR="00000000" w:rsidRPr="00CA6186" w:rsidP="00CA6186">
            <w:pPr>
              <w:pStyle w:val="BodyText"/>
            </w:pPr>
            <w:r w:rsidRPr="00CA6186">
              <w:t>T1          Control systems and componen</w:t>
            </w:r>
            <w:r w:rsidRPr="00CA6186">
              <w:t>ts encompassing:</w:t>
            </w:r>
          </w:p>
          <w:p w:rsidR="00000000" w:rsidRPr="00CA6186" w:rsidP="00CA6186">
            <w:pPr>
              <w:pStyle w:val="ListBullet"/>
            </w:pPr>
            <w:r w:rsidRPr="00CA6186">
              <w:t>appliance controls,</w:t>
            </w:r>
          </w:p>
          <w:p w:rsidR="00000000" w:rsidRPr="00CA6186" w:rsidP="00CA6186">
            <w:pPr>
              <w:pStyle w:val="ListBullet"/>
            </w:pPr>
            <w:r w:rsidRPr="00CA6186">
              <w:t xml:space="preserve">electrical/electronic controls, </w:t>
            </w:r>
          </w:p>
          <w:p w:rsidR="00000000" w:rsidRPr="00CA6186" w:rsidP="00CA6186">
            <w:pPr>
              <w:pStyle w:val="BodyText"/>
            </w:pPr>
            <w:r w:rsidRPr="00CA6186">
              <w:t>T2          Control terminology</w:t>
            </w:r>
          </w:p>
          <w:p w:rsidR="00000000" w:rsidRPr="00CA6186" w:rsidP="00CA6186">
            <w:pPr>
              <w:pStyle w:val="BodyText"/>
            </w:pPr>
            <w:r w:rsidRPr="00CA6186">
              <w:t>T3          Types of control</w:t>
            </w:r>
          </w:p>
          <w:p w:rsidR="00000000" w:rsidRPr="00CA6186" w:rsidP="00CA6186">
            <w:pPr>
              <w:pStyle w:val="BodyText"/>
            </w:pPr>
            <w:r w:rsidRPr="00CA6186">
              <w:t>T4          Appliance characteristics and control parameters</w:t>
            </w:r>
          </w:p>
          <w:p w:rsidR="00000000" w:rsidRPr="00CA6186" w:rsidP="00CA6186">
            <w:pPr>
              <w:pStyle w:val="BodyText"/>
            </w:pPr>
            <w:r w:rsidRPr="00CA6186">
              <w:t>T5          System responses to parameter changes</w:t>
            </w:r>
          </w:p>
          <w:p w:rsidR="00000000" w:rsidRPr="00CA6186" w:rsidP="00CA6186">
            <w:pPr>
              <w:pStyle w:val="BodyText"/>
            </w:pPr>
            <w:r w:rsidRPr="00CA6186">
              <w:t>T6          A</w:t>
            </w:r>
            <w:r w:rsidRPr="00CA6186">
              <w:t>ppliance integrated communications components and their function.</w:t>
            </w:r>
          </w:p>
          <w:p w:rsidR="00000000" w:rsidRPr="00CA6186" w:rsidP="00CA6186">
            <w:pPr>
              <w:pStyle w:val="BodyText"/>
            </w:pPr>
            <w:r w:rsidRPr="00CA6186">
              <w:t>T7          Appliance diagnostic tools</w:t>
            </w:r>
          </w:p>
          <w:p w:rsidR="00000000" w:rsidRPr="00CA6186" w:rsidP="00CA6186">
            <w:pPr>
              <w:pStyle w:val="ListBullet"/>
            </w:pPr>
            <w:r w:rsidRPr="00CA6186">
              <w:t>Types, construction, operation and application of electrical, electronic and mechanical diagnostic tools</w:t>
            </w:r>
          </w:p>
          <w:p w:rsidR="00000000" w:rsidRPr="00CA6186" w:rsidP="00CA6186">
            <w:pPr>
              <w:pStyle w:val="ListContinue"/>
            </w:pPr>
            <w:r w:rsidRPr="00CA6186">
              <w:t>Note. Examples are appliance manufacturer sp</w:t>
            </w:r>
            <w:r w:rsidRPr="00CA6186">
              <w:t xml:space="preserve">ecific diagnostic tools, binary code via LED display; Test instruments such as multimeters, clamp meters, insulation resistance meters, power analysers and high voltage testers; data loggers, microwave leak detectors, gas (hydrocarbon) detectors and sound </w:t>
            </w:r>
            <w:r w:rsidRPr="00CA6186">
              <w:t>meters</w:t>
            </w:r>
          </w:p>
          <w:p w:rsidR="00000000" w:rsidRPr="00CA6186" w:rsidP="00CA6186">
            <w:pPr>
              <w:pStyle w:val="ListBullet"/>
            </w:pPr>
            <w:r w:rsidRPr="00CA6186">
              <w:t>Installation requirements, adjustments and safety encompassing:</w:t>
            </w:r>
          </w:p>
          <w:p w:rsidR="00000000" w:rsidRPr="00CA6186" w:rsidP="00CA6186">
            <w:pPr>
              <w:pStyle w:val="ListBullet2"/>
            </w:pPr>
            <w:r w:rsidRPr="00CA6186">
              <w:t xml:space="preserve">Manufacturers' instructions and data </w:t>
            </w:r>
          </w:p>
          <w:p w:rsidR="00000000" w:rsidRPr="00CA6186" w:rsidP="00CA6186">
            <w:pPr>
              <w:pStyle w:val="ListBullet2"/>
            </w:pPr>
            <w:r w:rsidRPr="00CA6186">
              <w:t xml:space="preserve">Installation safety </w:t>
            </w:r>
          </w:p>
          <w:p w:rsidR="00000000" w:rsidRPr="00CA6186" w:rsidP="00CA6186">
            <w:pPr>
              <w:pStyle w:val="ListBullet2"/>
            </w:pPr>
            <w:r w:rsidRPr="00CA6186">
              <w:t xml:space="preserve">Effects and risks of electrical current and mechanical movement </w:t>
            </w:r>
          </w:p>
          <w:p w:rsidR="00000000" w:rsidRPr="00CA6186" w:rsidP="00CA6186">
            <w:pPr>
              <w:pStyle w:val="ListBullet2"/>
            </w:pPr>
            <w:r w:rsidRPr="00CA6186">
              <w:t xml:space="preserve">Protection against indirect contact </w:t>
            </w:r>
          </w:p>
          <w:p w:rsidR="00000000" w:rsidRPr="00CA6186" w:rsidP="00CA6186">
            <w:pPr>
              <w:pStyle w:val="ListBullet"/>
            </w:pPr>
            <w:r w:rsidRPr="00CA6186">
              <w:t>Computer and paper based diagnostic tools encompassing:</w:t>
            </w:r>
          </w:p>
          <w:p w:rsidR="00000000" w:rsidRPr="00CA6186" w:rsidP="00CA6186">
            <w:pPr>
              <w:pStyle w:val="ListBullet2"/>
            </w:pPr>
            <w:r w:rsidRPr="00CA6186">
              <w:t xml:space="preserve">Appliance manufacturers programs </w:t>
            </w:r>
          </w:p>
          <w:p w:rsidR="00000000" w:rsidRPr="00CA6186" w:rsidP="00CA6186">
            <w:pPr>
              <w:pStyle w:val="ListContinue"/>
            </w:pPr>
            <w:r w:rsidRPr="00CA6186">
              <w:t xml:space="preserve">Note. Examples are binary code via LED display, remote fault diagnosis via phone access and remote fault diagnosis via Internet </w:t>
            </w:r>
          </w:p>
          <w:p w:rsidR="00000000" w:rsidRPr="00CA6186" w:rsidP="00CA6186">
            <w:pPr>
              <w:pStyle w:val="ListBullet2"/>
            </w:pPr>
            <w:r w:rsidRPr="00CA6186">
              <w:t xml:space="preserve">Text books and manufacturers data </w:t>
            </w:r>
          </w:p>
          <w:p w:rsidR="00000000" w:rsidRPr="00CA6186" w:rsidP="00CA6186">
            <w:pPr>
              <w:pStyle w:val="ListBullet"/>
            </w:pPr>
            <w:r w:rsidRPr="00CA6186">
              <w:t>Service, fault finding and repair encompassing:</w:t>
            </w:r>
          </w:p>
          <w:p w:rsidR="00000000" w:rsidRPr="00CA6186" w:rsidP="00CA6186">
            <w:pPr>
              <w:pStyle w:val="ListBullet2"/>
            </w:pPr>
            <w:r w:rsidRPr="00CA6186">
              <w:t xml:space="preserve">Manufacturers' data </w:t>
            </w:r>
          </w:p>
          <w:p w:rsidR="00000000" w:rsidRPr="00CA6186" w:rsidP="00CA6186">
            <w:pPr>
              <w:pStyle w:val="ListBullet2"/>
            </w:pPr>
            <w:r w:rsidRPr="00CA6186">
              <w:t xml:space="preserve">Safety checks </w:t>
            </w:r>
          </w:p>
          <w:p w:rsidR="00000000" w:rsidRPr="00CA6186" w:rsidP="00CA6186">
            <w:pPr>
              <w:pStyle w:val="ListBullet2"/>
            </w:pPr>
            <w:r w:rsidRPr="00CA6186">
              <w:t xml:space="preserve">Operating sequence </w:t>
            </w:r>
          </w:p>
          <w:p w:rsidR="00000000" w:rsidRPr="00CA6186" w:rsidP="00CA6186">
            <w:pPr>
              <w:pStyle w:val="ListBullet2"/>
            </w:pPr>
            <w:r w:rsidRPr="00CA6186">
              <w:t xml:space="preserve">Typical symptoms </w:t>
            </w:r>
          </w:p>
          <w:p w:rsidR="00000000" w:rsidRPr="00CA6186" w:rsidP="00CA6186">
            <w:pPr>
              <w:pStyle w:val="ListBullet2"/>
            </w:pPr>
            <w:r w:rsidRPr="00CA6186">
              <w:t xml:space="preserve">Fault identification using diagnostic tools </w:t>
            </w:r>
          </w:p>
          <w:p w:rsidR="00000000" w:rsidRPr="00CA6186" w:rsidP="00CA6186">
            <w:pPr>
              <w:pStyle w:val="ListBullet2"/>
            </w:pPr>
            <w:r w:rsidRPr="00CA6186">
              <w:t xml:space="preserve">Confirmation of fault </w:t>
            </w:r>
          </w:p>
          <w:p w:rsidR="00000000" w:rsidRPr="00CA6186" w:rsidP="00CA6186">
            <w:pPr>
              <w:pStyle w:val="ListBullet2"/>
            </w:pPr>
            <w:r w:rsidRPr="00CA6186">
              <w:t>Repairs limitations</w:t>
            </w:r>
          </w:p>
        </w:tc>
      </w:tr>
    </w:tbl>
    <w:p w:rsidR="00951471" w:rsidP="00CA6186">
      <w:pPr>
        <w:pStyle w:val="BodyText"/>
      </w:pPr>
    </w:p>
    <w:p w:rsidR="00951471" w:rsidP="00CA6186">
      <w:pPr>
        <w:pStyle w:val="BodyText"/>
      </w:pPr>
    </w:p>
    <w:p w:rsidR="00000000" w:rsidRPr="00CA6186" w:rsidP="00CA6186">
      <w:pPr>
        <w:pStyle w:val="Heading1"/>
      </w:pPr>
      <w:bookmarkStart w:id="10" w:name="O_590088"/>
      <w:bookmarkEnd w:id="10"/>
      <w:r w:rsidRPr="00CA6186">
        <w:t>Evidence Guide</w:t>
      </w:r>
    </w:p>
    <w:tbl>
      <w:tblPr>
        <w:tblW w:w="0" w:type="auto"/>
        <w:tblLayout w:type="fixed"/>
        <w:tblCellMar>
          <w:left w:w="62" w:type="dxa"/>
          <w:right w:w="62" w:type="dxa"/>
        </w:tblCellMar>
        <w:tblLook w:val="0000"/>
      </w:tblPr>
      <w:tblGrid>
        <w:gridCol w:w="2160"/>
        <w:gridCol w:w="236"/>
        <w:gridCol w:w="540"/>
        <w:gridCol w:w="1432"/>
        <w:gridCol w:w="4140"/>
        <w:gridCol w:w="89"/>
      </w:tblGrid>
      <w:tr w:rsidTr="00951471">
        <w:tblPrEx>
          <w:tblW w:w="0" w:type="auto"/>
          <w:tblLayout w:type="fixed"/>
          <w:tblCellMar>
            <w:left w:w="62" w:type="dxa"/>
            <w:right w:w="62" w:type="dxa"/>
          </w:tblCellMar>
          <w:tblLook w:val="0000"/>
        </w:tblPrEx>
        <w:trPr>
          <w:gridAfter w:val="1"/>
          <w:wAfter w:w="89" w:type="dxa"/>
          <w:tblHeader/>
        </w:trPr>
        <w:tc>
          <w:tcPr>
            <w:tcW w:w="8508" w:type="dxa"/>
            <w:gridSpan w:val="5"/>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EVIDENCE GUIDE</w:t>
            </w:r>
          </w:p>
        </w:tc>
      </w:tr>
      <w:tr w:rsidTr="00951471">
        <w:tblPrEx>
          <w:tblW w:w="0" w:type="auto"/>
          <w:tblLayout w:type="fixed"/>
          <w:tblCellMar>
            <w:left w:w="62" w:type="dxa"/>
            <w:right w:w="62" w:type="dxa"/>
          </w:tblCellMar>
          <w:tblLook w:val="0000"/>
        </w:tblPrEx>
        <w:trPr>
          <w:gridAfter w:val="1"/>
          <w:wAfter w:w="89" w:type="dxa"/>
        </w:trPr>
        <w:tc>
          <w:tcPr>
            <w:tcW w:w="8508" w:type="dxa"/>
            <w:gridSpan w:val="5"/>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9</w:t>
            </w:r>
            <w:r w:rsidRPr="00CA6186">
              <w:t>) The evidence guide provides advice on assessment and must be read in conjunction with the Performance Criteria, Required Skills and Knowledge, the Range Statement and the Assessment Guidelines for this Training Package. .</w:t>
            </w:r>
          </w:p>
          <w:p w:rsidR="00000000" w:rsidP="00CA6186">
            <w:pPr>
              <w:pStyle w:val="BodyText"/>
              <w:rPr>
                <w:lang w:val="en-NZ"/>
              </w:rPr>
            </w:pPr>
            <w:r w:rsidRPr="00CA6186">
              <w:t>The Evidenc</w:t>
            </w:r>
            <w:r w:rsidRPr="00CA6186">
              <w:t>e Guide forms an integral part of this Unit. It must be used in conjunction with all parts of this unit and performed in accordance with the Assessment Guidelines of this Training Package.</w:t>
            </w:r>
          </w:p>
        </w:tc>
      </w:tr>
      <w:tr w:rsidTr="0095147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Overview of Assessment</w:t>
            </w:r>
          </w:p>
        </w:tc>
        <w:tc>
          <w:tcPr>
            <w:tcW w:w="6348" w:type="dxa"/>
            <w:gridSpan w:val="4"/>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9</w:t>
            </w:r>
            <w:r w:rsidRPr="00CA6186">
              <w:t>.</w:t>
            </w:r>
            <w:r w:rsidRPr="00CA6186">
              <w:rPr>
                <w:rStyle w:val="SpecialBold"/>
              </w:rPr>
              <w:t>1</w:t>
            </w:r>
            <w:r w:rsidRPr="00CA6186">
              <w:t xml:space="preserve">) </w:t>
            </w:r>
          </w:p>
          <w:p w:rsidR="00000000" w:rsidRPr="00CA6186" w:rsidP="00CA6186">
            <w:pPr>
              <w:pStyle w:val="BodyText"/>
            </w:pPr>
            <w:r w:rsidRPr="00CA6186">
              <w:t>Longitudinal competency development approaches to assessment, such as Profiling, require data to be reliably gathered in a form that can be consistently interpreted over time. This approach is best utilised in Apprenticeship programs and reduces assessment</w:t>
            </w:r>
            <w:r w:rsidRPr="00CA618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A6186">
              <w:t>ncy in a realistically simulated work environment. In some circumstances, assessment in part or full can occur outside the workplace. However, it must be in accordance with industry and regulatory policy.</w:t>
            </w:r>
          </w:p>
          <w:p w:rsidR="00000000" w:rsidRPr="00CA6186" w:rsidP="00CA6186">
            <w:pPr>
              <w:pStyle w:val="BodyText"/>
            </w:pPr>
            <w:r w:rsidRPr="00CA6186">
              <w:t xml:space="preserve">Methods chosen for a particular assessment will be </w:t>
            </w:r>
            <w:r w:rsidRPr="00CA6186">
              <w:t>influenced by various factors. These include the extent of the assessment, the most effective locations for the assessment activities to take place, access to physical resources, additional safety measures that may be required and the critical nature of th</w:t>
            </w:r>
            <w:r w:rsidRPr="00CA6186">
              <w:t>e competencies being assessed.</w:t>
            </w:r>
          </w:p>
          <w:p w:rsidR="00000000" w:rsidRPr="00CA6186" w:rsidP="00CA6186">
            <w:pPr>
              <w:pStyle w:val="BodyText"/>
            </w:pPr>
            <w:r w:rsidRPr="00CA6186">
              <w:t>The critical safety nature of working with electricity, electrical equipment, gas or any other hazardous substance/material carries risk in deeming a person competent. Sources of evidence need to be 'rich' in nature to minimi</w:t>
            </w:r>
            <w:r w:rsidRPr="00CA6186">
              <w:t>se error in judgment.</w:t>
            </w:r>
          </w:p>
          <w:p w:rsidR="00000000" w:rsidP="00CA6186">
            <w:pPr>
              <w:pStyle w:val="BodyText"/>
              <w:rPr>
                <w:lang w:val="en-NZ"/>
              </w:rPr>
            </w:pPr>
            <w:r w:rsidRPr="00CA6186">
              <w:t>Activities associated with normal everyday work influence decisions about how/how much the data gathered will contribute to its 'richness'. Some skills are more critical to safety and operational requirements while the same skills may</w:t>
            </w:r>
            <w:r w:rsidRPr="00CA6186">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CA6186">
              <w:t>this Training Package.</w:t>
            </w:r>
          </w:p>
        </w:tc>
      </w:tr>
      <w:tr w:rsidTr="00951471">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Critical aspects of evidence required to demonstrate competency in this unit</w:t>
            </w:r>
          </w:p>
        </w:tc>
        <w:tc>
          <w:tcPr>
            <w:tcW w:w="6348" w:type="dxa"/>
            <w:gridSpan w:val="4"/>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9</w:t>
            </w:r>
            <w:r w:rsidRPr="00CA6186">
              <w:t>.</w:t>
            </w:r>
            <w:r w:rsidRPr="00CA6186">
              <w:rPr>
                <w:rStyle w:val="SpecialBold"/>
              </w:rPr>
              <w:t>2</w:t>
            </w:r>
            <w:r w:rsidRPr="00CA6186">
              <w:t xml:space="preserve">) </w:t>
            </w:r>
          </w:p>
          <w:p w:rsidR="00000000" w:rsidP="00CA6186">
            <w:pPr>
              <w:pStyle w:val="BodyText"/>
              <w:rPr>
                <w:lang w:val="en-NZ"/>
              </w:rPr>
            </w:pPr>
            <w:r w:rsidRPr="00CA6186">
              <w:t>Before the critical aspects of evidence are considered all prerequisites must be met.</w:t>
            </w:r>
          </w:p>
        </w:tc>
      </w:tr>
      <w:tr w:rsidTr="00951471">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A6186">
            <w:pPr>
              <w:pStyle w:val="ListBullet"/>
              <w:rPr>
                <w:lang w:val="en-NZ"/>
              </w:rPr>
            </w:pPr>
            <w:r w:rsidRPr="00CA6186">
              <w:t>A representative body of work performance demonstrated within the timeframes typically expected of the discipline, work function and industrial environment. In particular this shall incorporate evidence that shows a candidate is able to:</w:t>
            </w:r>
          </w:p>
        </w:tc>
      </w:tr>
      <w:tr w:rsidTr="0095147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RPr="00CA6186" w:rsidP="00CA6186">
            <w:pPr>
              <w:pStyle w:val="ListBullet2"/>
            </w:pPr>
            <w:r w:rsidRPr="00CA6186">
              <w:t>Implement Occupational Health and Safety workplace procedures and practices including the use of risk control measures as specified in the performance criteria and range statement</w:t>
            </w:r>
          </w:p>
          <w:p w:rsidR="00000000" w:rsidRPr="00CA6186" w:rsidP="00CA6186">
            <w:pPr>
              <w:pStyle w:val="ListBullet2"/>
            </w:pPr>
            <w:r w:rsidRPr="00CA6186">
              <w:t>Apply sustainable energy principles and practices as specified in the perfor</w:t>
            </w:r>
            <w:r w:rsidRPr="00CA6186">
              <w:t>mance criteria and range statement</w:t>
            </w:r>
          </w:p>
          <w:p w:rsidR="00000000" w:rsidRPr="00CA6186" w:rsidP="00CA6186">
            <w:pPr>
              <w:pStyle w:val="ListBullet2"/>
            </w:pPr>
            <w:r w:rsidRPr="00CA6186">
              <w:t>Demonstrate an understanding of the essential knowledge and associated skills as described in this unit.  It may be required by some jurisdictions that RTOs provide a percentile graded result for the purpose of regulatory</w:t>
            </w:r>
            <w:r w:rsidRPr="00CA6186">
              <w:t xml:space="preserve"> or licensing requirements.</w:t>
            </w:r>
          </w:p>
          <w:p w:rsidR="00000000" w:rsidRPr="00CA6186" w:rsidP="00CA6186">
            <w:pPr>
              <w:pStyle w:val="ListBullet2"/>
            </w:pPr>
            <w:r w:rsidRPr="00CA6186">
              <w:t>Demonstrate an appropriate level of skills enabling employment</w:t>
            </w:r>
          </w:p>
          <w:p w:rsidR="00000000" w:rsidP="00CA6186">
            <w:pPr>
              <w:pStyle w:val="ListBullet2"/>
              <w:rPr>
                <w:lang w:val="en-NZ"/>
              </w:rPr>
            </w:pPr>
            <w:r w:rsidRPr="00CA6186">
              <w:t>Conduct work observing the relevant Anti Discrimination legislation, regulations, polices and workplace procedures</w:t>
            </w:r>
          </w:p>
        </w:tc>
      </w:tr>
      <w:tr w:rsidTr="0095147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CA6186">
            <w:pPr>
              <w:pStyle w:val="ListBullet"/>
              <w:rPr>
                <w:lang w:val="en-NZ"/>
              </w:rPr>
            </w:pPr>
            <w:r w:rsidRPr="00CA6186">
              <w:t>Demonstrated consistent performance across a representative range of contexts from the prescribed items below:</w:t>
            </w:r>
          </w:p>
        </w:tc>
      </w:tr>
      <w:tr w:rsidTr="00951471">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p>
        </w:tc>
        <w:tc>
          <w:tcPr>
            <w:tcW w:w="6348" w:type="dxa"/>
            <w:gridSpan w:val="4"/>
            <w:tcBorders>
              <w:top w:val="nil"/>
              <w:left w:val="nil"/>
              <w:bottom w:val="nil"/>
              <w:right w:val="nil"/>
            </w:tcBorders>
            <w:tcMar>
              <w:top w:w="0" w:type="dxa"/>
              <w:left w:w="62" w:type="dxa"/>
              <w:bottom w:w="0" w:type="dxa"/>
              <w:right w:w="62" w:type="dxa"/>
            </w:tcMar>
          </w:tcPr>
          <w:p w:rsidR="00000000" w:rsidP="00CA6186">
            <w:pPr>
              <w:pStyle w:val="ListBullet2"/>
              <w:rPr>
                <w:lang w:val="en-NZ"/>
              </w:rPr>
            </w:pPr>
            <w:r w:rsidRPr="00CA6186">
              <w:t>Find and rectify faults in appliance control devices and systems as described in 8) and including:</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A</w:t>
            </w:r>
          </w:p>
        </w:tc>
        <w:tc>
          <w:tcPr>
            <w:tcW w:w="5661" w:type="dxa"/>
            <w:gridSpan w:val="3"/>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Envisaging the likely extent of work from fault/breakdown reports and discussion with appropriate person(s)</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B</w:t>
            </w:r>
          </w:p>
        </w:tc>
        <w:tc>
          <w:tcPr>
            <w:tcW w:w="5661" w:type="dxa"/>
            <w:gridSpan w:val="3"/>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Using methodical fault finding techniques</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C</w:t>
            </w:r>
          </w:p>
        </w:tc>
        <w:tc>
          <w:tcPr>
            <w:tcW w:w="5661" w:type="dxa"/>
            <w:gridSpan w:val="3"/>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Finding faults efficiently</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D</w:t>
            </w:r>
          </w:p>
        </w:tc>
        <w:tc>
          <w:tcPr>
            <w:tcW w:w="5661" w:type="dxa"/>
            <w:gridSpan w:val="3"/>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Rectifying faults effectively</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E</w:t>
            </w:r>
          </w:p>
        </w:tc>
        <w:tc>
          <w:tcPr>
            <w:tcW w:w="5661" w:type="dxa"/>
            <w:gridSpan w:val="3"/>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Completing documentation correctly</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F</w:t>
            </w:r>
          </w:p>
        </w:tc>
        <w:tc>
          <w:tcPr>
            <w:tcW w:w="5661" w:type="dxa"/>
            <w:gridSpan w:val="3"/>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Dealing with unplanned events by drawing on essential knowledge and skills to provide appropriate solutions incorporated in the holistic assessment with the above listed items</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Context of and specific resources for</w:t>
            </w:r>
            <w:r w:rsidRPr="00CA6186">
              <w:rPr>
                <w:rStyle w:val="SpecialBold"/>
              </w:rPr>
              <w:t xml:space="preserve"> assessment</w:t>
            </w:r>
          </w:p>
        </w:tc>
        <w:tc>
          <w:tcPr>
            <w:tcW w:w="6437" w:type="dxa"/>
            <w:gridSpan w:val="5"/>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9</w:t>
            </w:r>
            <w:r w:rsidRPr="00CA6186">
              <w:t>.</w:t>
            </w:r>
            <w:r w:rsidRPr="00CA6186">
              <w:rPr>
                <w:rStyle w:val="SpecialBold"/>
              </w:rPr>
              <w:t>3</w:t>
            </w:r>
            <w:r w:rsidRPr="00CA6186">
              <w:t xml:space="preserve">) </w:t>
            </w:r>
          </w:p>
          <w:p w:rsidR="00000000" w:rsidRPr="00CA6186" w:rsidP="00CA6186">
            <w:pPr>
              <w:pStyle w:val="BodyText"/>
            </w:pPr>
            <w:r w:rsidRPr="00CA6186">
              <w:t>This unit should be assessed as it relates to normal work practice using procedures, information and resources typical of a workplace. This should include:</w:t>
            </w:r>
          </w:p>
          <w:p w:rsidR="00000000" w:rsidRPr="00CA6186" w:rsidP="00CA6186">
            <w:pPr>
              <w:pStyle w:val="ListBullet"/>
            </w:pPr>
            <w:r w:rsidRPr="00CA6186">
              <w:t>OHS policy and work procedures and instructions.</w:t>
            </w:r>
          </w:p>
          <w:p w:rsidR="00000000" w:rsidRPr="00CA6186" w:rsidP="00CA6186">
            <w:pPr>
              <w:pStyle w:val="ListBullet"/>
            </w:pPr>
            <w:r w:rsidRPr="00CA6186">
              <w:t>Suitable work environment, facilities, equipment and materials to undertake actual work as prescribed by this unit.</w:t>
            </w:r>
          </w:p>
          <w:p w:rsidR="00000000" w:rsidRPr="00CA6186" w:rsidP="00CA6186">
            <w:pPr>
              <w:pStyle w:val="BodyText"/>
            </w:pPr>
            <w:r w:rsidRPr="00CA6186">
              <w:t>These should be part of the formal learning/assessment environment.</w:t>
            </w:r>
          </w:p>
          <w:p w:rsidR="00000000" w:rsidRPr="00CA6186" w:rsidP="00CA6186">
            <w:pPr>
              <w:pStyle w:val="BodyText"/>
            </w:pPr>
            <w:r w:rsidRPr="00CA6186">
              <w:t>Note:</w:t>
            </w:r>
          </w:p>
          <w:p w:rsidR="00000000" w:rsidP="00CA6186">
            <w:pPr>
              <w:pStyle w:val="BodyText"/>
              <w:rPr>
                <w:lang w:val="en-NZ"/>
              </w:rPr>
            </w:pPr>
            <w:r w:rsidRPr="00CA6186">
              <w:t>Where simulation is considered a suitable strategy for assessment,</w:t>
            </w:r>
            <w:r w:rsidRPr="00CA6186">
              <w:t xml:space="preserve"> conditions must be authentic and as far as possible reproduce and replicate the workplace and be consistent with the approved industry simulation policy.</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Evidence should show demonstrated competency in finding and rectifying faults in appliance contr</w:t>
            </w:r>
            <w:r w:rsidRPr="00CA6186">
              <w:t>ol devices and systems.</w:t>
            </w:r>
          </w:p>
        </w:tc>
      </w:tr>
      <w:tr w:rsidTr="009514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Method of assessment</w:t>
            </w:r>
          </w:p>
        </w:tc>
        <w:tc>
          <w:tcPr>
            <w:tcW w:w="6437" w:type="dxa"/>
            <w:gridSpan w:val="5"/>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9</w:t>
            </w:r>
            <w:r w:rsidRPr="00CA6186">
              <w:t>.</w:t>
            </w:r>
            <w:r w:rsidRPr="00CA6186">
              <w:rPr>
                <w:rStyle w:val="SpecialBold"/>
              </w:rPr>
              <w:t>4</w:t>
            </w:r>
            <w:r w:rsidRPr="00CA6186">
              <w:t xml:space="preserve">) </w:t>
            </w:r>
          </w:p>
          <w:p w:rsidR="00000000" w:rsidRPr="00CA6186" w:rsidP="00CA6186">
            <w:pPr>
              <w:pStyle w:val="BodyText"/>
            </w:pPr>
            <w:r w:rsidRPr="00CA6186">
              <w:t>This unit shall be assessed by methods given in Volume 1, Part 3 'Assessment Guidelines'.</w:t>
            </w:r>
          </w:p>
          <w:p w:rsidR="00000000" w:rsidP="00CA6186">
            <w:pPr>
              <w:pStyle w:val="BodyText"/>
              <w:rPr>
                <w:lang w:val="en-NZ"/>
              </w:rPr>
            </w:pPr>
            <w:r w:rsidRPr="00CA6186">
              <w:t xml:space="preserve">Note: </w:t>
            </w:r>
            <w:r w:rsidRPr="00CA6186">
              <w:br/>
            </w:r>
            <w:r w:rsidRPr="00CA6186">
              <w:t>Competent performance with inherent safe working practices is expected in the Industry to which this unit applies. This requires assessment in a structured environment which is intended primarily for learning/assessment and incorporates all necessary equip</w:t>
            </w:r>
            <w:r w:rsidRPr="00CA6186">
              <w:t>ment and facilities for learners to develop and demonstrate the essential knowledge and skills described in this unit.</w:t>
            </w:r>
          </w:p>
        </w:tc>
      </w:tr>
      <w:tr w:rsidTr="009514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Concurrent assessment and relationship with other units</w:t>
            </w:r>
          </w:p>
        </w:tc>
        <w:tc>
          <w:tcPr>
            <w:tcW w:w="6437" w:type="dxa"/>
            <w:gridSpan w:val="5"/>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9</w:t>
            </w:r>
            <w:r w:rsidRPr="00CA6186">
              <w:t>.</w:t>
            </w:r>
            <w:r w:rsidRPr="00CA6186">
              <w:rPr>
                <w:rStyle w:val="SpecialBold"/>
              </w:rPr>
              <w:t>5</w:t>
            </w:r>
            <w:r w:rsidRPr="00CA6186">
              <w:t>)</w:t>
            </w:r>
          </w:p>
        </w:tc>
      </w:tr>
      <w:tr w:rsidTr="009514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5"/>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There are no concurrent assessment recommendations for this unit.</w:t>
            </w:r>
          </w:p>
        </w:tc>
      </w:tr>
      <w:tr w:rsidTr="009514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29" w:type="dxa"/>
            <w:gridSpan w:val="2"/>
            <w:tcBorders>
              <w:top w:val="nil"/>
              <w:left w:val="nil"/>
              <w:bottom w:val="nil"/>
              <w:right w:val="nil"/>
            </w:tcBorders>
            <w:tcMar>
              <w:top w:w="0" w:type="dxa"/>
              <w:left w:w="62" w:type="dxa"/>
              <w:bottom w:w="0" w:type="dxa"/>
              <w:right w:w="62" w:type="dxa"/>
            </w:tcMar>
          </w:tcPr>
          <w:p w:rsidR="00000000" w:rsidRPr="00CA6186" w:rsidP="00CA6186">
            <w:pPr>
              <w:pStyle w:val="BodyText"/>
            </w:pPr>
          </w:p>
        </w:tc>
      </w:tr>
    </w:tbl>
    <w:p w:rsidR="00951471" w:rsidP="00CA6186">
      <w:pPr>
        <w:pStyle w:val="BodyText"/>
      </w:pPr>
    </w:p>
    <w:p w:rsidR="00951471" w:rsidP="00CA6186">
      <w:pPr>
        <w:pStyle w:val="BodyText"/>
      </w:pPr>
    </w:p>
    <w:p w:rsidR="00000000" w:rsidRPr="00CA6186" w:rsidP="00CA6186">
      <w:pPr>
        <w:pStyle w:val="Heading1"/>
      </w:pPr>
      <w:bookmarkStart w:id="11" w:name="O_590087"/>
      <w:bookmarkEnd w:id="11"/>
      <w:r w:rsidRPr="00CA6186">
        <w:t>Range Statement</w:t>
      </w:r>
    </w:p>
    <w:tbl>
      <w:tblPr>
        <w:tblW w:w="0" w:type="auto"/>
        <w:tblLayout w:type="fixed"/>
        <w:tblCellMar>
          <w:left w:w="62" w:type="dxa"/>
          <w:right w:w="62" w:type="dxa"/>
        </w:tblCellMar>
        <w:tblLook w:val="0000"/>
      </w:tblPr>
      <w:tblGrid>
        <w:gridCol w:w="2183"/>
        <w:gridCol w:w="6414"/>
      </w:tblGrid>
      <w:tr w:rsidTr="00951471">
        <w:tblPrEx>
          <w:tblW w:w="0" w:type="auto"/>
          <w:tblLayout w:type="fixed"/>
          <w:tblCellMar>
            <w:left w:w="62" w:type="dxa"/>
            <w:right w:w="62" w:type="dxa"/>
          </w:tblCellMar>
          <w:tblLook w:val="0000"/>
        </w:tblPrEx>
        <w:trPr>
          <w:tblHeader/>
        </w:trPr>
        <w:tc>
          <w:tcPr>
            <w:tcW w:w="8597" w:type="dxa"/>
            <w:gridSpan w:val="2"/>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RANGE STATEMENT</w:t>
            </w:r>
          </w:p>
        </w:tc>
      </w:tr>
      <w:tr w:rsidTr="0095147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8</w:t>
            </w:r>
            <w:r w:rsidRPr="00CA6186">
              <w:t xml:space="preserve">) This relates to the unit as a whole providing the range of contexts and conditions to which the performance </w:t>
            </w:r>
            <w:r w:rsidRPr="00CA6186">
              <w:t>criteria apply. It allows for different work environments and situations that will affect performance.</w:t>
            </w:r>
          </w:p>
        </w:tc>
      </w:tr>
      <w:tr w:rsidTr="0095147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This unit must be demonstrated in relation to finding and repairing any four of the following faults in appliance control systems and devices in each o</w:t>
            </w:r>
            <w:r w:rsidRPr="00CA6186">
              <w:t>f two different types of appliance.</w:t>
            </w:r>
          </w:p>
        </w:tc>
      </w:tr>
      <w:tr w:rsidTr="00951471">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p>
        </w:tc>
        <w:tc>
          <w:tcPr>
            <w:tcW w:w="6414" w:type="dxa"/>
            <w:tcBorders>
              <w:top w:val="nil"/>
              <w:left w:val="nil"/>
              <w:bottom w:val="nil"/>
              <w:right w:val="nil"/>
            </w:tcBorders>
            <w:tcMar>
              <w:top w:w="0" w:type="dxa"/>
              <w:left w:w="62" w:type="dxa"/>
              <w:bottom w:w="0" w:type="dxa"/>
              <w:right w:w="62" w:type="dxa"/>
            </w:tcMar>
          </w:tcPr>
          <w:p w:rsidR="00000000" w:rsidRPr="00CA6186" w:rsidP="00CA6186">
            <w:pPr>
              <w:pStyle w:val="ListBullet"/>
            </w:pPr>
            <w:r w:rsidRPr="00CA6186">
              <w:t xml:space="preserve">Open-circuit </w:t>
            </w:r>
          </w:p>
          <w:p w:rsidR="00000000" w:rsidRPr="00CA6186" w:rsidP="00CA6186">
            <w:pPr>
              <w:pStyle w:val="ListBullet"/>
            </w:pPr>
            <w:r w:rsidRPr="00CA6186">
              <w:t xml:space="preserve">Short-circuit </w:t>
            </w:r>
          </w:p>
          <w:p w:rsidR="00000000" w:rsidRPr="00CA6186" w:rsidP="00CA6186">
            <w:pPr>
              <w:pStyle w:val="ListBullet"/>
            </w:pPr>
            <w:r w:rsidRPr="00CA6186">
              <w:t>Incorrect connections</w:t>
            </w:r>
          </w:p>
          <w:p w:rsidR="00000000" w:rsidRPr="00CA6186" w:rsidP="00CA6186">
            <w:pPr>
              <w:pStyle w:val="ListBullet"/>
            </w:pPr>
            <w:r w:rsidRPr="00CA6186">
              <w:t>Insulation failure</w:t>
            </w:r>
          </w:p>
          <w:p w:rsidR="00000000" w:rsidRPr="00CA6186" w:rsidP="00CA6186">
            <w:pPr>
              <w:pStyle w:val="ListBullet"/>
            </w:pPr>
            <w:r w:rsidRPr="00CA6186">
              <w:t>Unsafe condition</w:t>
            </w:r>
          </w:p>
          <w:p w:rsidR="00000000" w:rsidRPr="00CA6186" w:rsidP="00CA6186">
            <w:pPr>
              <w:pStyle w:val="ListBullet"/>
            </w:pPr>
            <w:r w:rsidRPr="00CA6186">
              <w:t>Motor component failure</w:t>
            </w:r>
          </w:p>
          <w:p w:rsidR="00000000" w:rsidRPr="00CA6186" w:rsidP="00CA6186">
            <w:pPr>
              <w:pStyle w:val="ListBullet"/>
            </w:pPr>
            <w:r w:rsidRPr="00CA6186">
              <w:t>Control circuit component failure</w:t>
            </w:r>
          </w:p>
          <w:p w:rsidR="00000000" w:rsidP="00CA6186">
            <w:pPr>
              <w:pStyle w:val="ListBullet"/>
              <w:rPr>
                <w:lang w:val="en-NZ"/>
              </w:rPr>
            </w:pPr>
            <w:r w:rsidRPr="00CA6186">
              <w:t>Related mechanical failure</w:t>
            </w:r>
          </w:p>
        </w:tc>
      </w:tr>
      <w:tr w:rsidTr="0095147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Generic terms used throughout this Vocational Standard shall be regarded as part of the Range Statement in which competency is demonstrated. The definition of these and other terms that apply are given in Volume 2, Part 2.1.</w:t>
            </w:r>
          </w:p>
        </w:tc>
      </w:tr>
    </w:tbl>
    <w:p w:rsidR="00951471" w:rsidP="00CA6186">
      <w:pPr>
        <w:pStyle w:val="BodyText"/>
      </w:pPr>
    </w:p>
    <w:p w:rsidR="00951471" w:rsidP="00CA6186">
      <w:pPr>
        <w:pStyle w:val="BodyText"/>
      </w:pPr>
    </w:p>
    <w:p w:rsidR="00000000" w:rsidRPr="00CA6186" w:rsidP="00CA6186">
      <w:pPr>
        <w:pStyle w:val="Heading1"/>
      </w:pPr>
      <w:bookmarkStart w:id="12" w:name="O_590086"/>
      <w:bookmarkEnd w:id="12"/>
      <w:r w:rsidRPr="00CA6186">
        <w:t>Unit Sector(s)</w:t>
      </w:r>
    </w:p>
    <w:p w:rsidR="00000000" w:rsidRPr="00CA6186" w:rsidP="00CA6186">
      <w:pPr>
        <w:pStyle w:val="BodyText"/>
      </w:pPr>
      <w:r w:rsidRPr="00CA6186">
        <w:t>Not Applicable</w:t>
      </w:r>
    </w:p>
    <w:p w:rsidR="00000000" w:rsidRPr="00CA6186" w:rsidP="00CA6186">
      <w:pPr>
        <w:pStyle w:val="AllowPageBreak"/>
      </w:pPr>
    </w:p>
    <w:p w:rsidR="00000000" w:rsidRPr="00CA6186" w:rsidP="00CA6186">
      <w:pPr>
        <w:pStyle w:val="Heading1"/>
      </w:pPr>
      <w:bookmarkStart w:id="13" w:name="O_590085"/>
      <w:bookmarkEnd w:id="13"/>
      <w:r w:rsidRPr="00CA618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5147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2</w:t>
            </w:r>
            <w:r w:rsidRPr="00CA6186">
              <w:t>.</w:t>
            </w:r>
            <w:r w:rsidRPr="00CA6186">
              <w:rPr>
                <w:rStyle w:val="SpecialBold"/>
              </w:rPr>
              <w:t>2</w:t>
            </w:r>
            <w:r w:rsidRPr="00CA6186">
              <w:t xml:space="preserve">) </w:t>
            </w:r>
            <w:r w:rsidRPr="00CA6186">
              <w:rPr>
                <w:rStyle w:val="SpecialBold"/>
              </w:rPr>
              <w:t>Literacy and numeracy skills</w:t>
            </w:r>
          </w:p>
          <w:p w:rsidR="00000000" w:rsidP="00CA6186">
            <w:pPr>
              <w:pStyle w:val="BodyText"/>
              <w:rPr>
                <w:lang w:val="en-NZ"/>
              </w:rPr>
            </w:pPr>
            <w:r w:rsidRPr="00CA6186">
              <w:t>Participants are best equipped to achieve competency in this unit if they have reading, writing and numeracy skills indicated by the following scales. Descrip</w:t>
            </w:r>
            <w:r w:rsidRPr="00CA6186">
              <w:t>tion of each scale is given in Volume 2, Part 3 'Literacy and Numeracy'</w:t>
            </w:r>
          </w:p>
        </w:tc>
      </w:tr>
      <w:tr w:rsidTr="0095147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Reading</w:t>
            </w:r>
          </w:p>
        </w:tc>
        <w:tc>
          <w:tcPr>
            <w:tcW w:w="1182"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3</w:t>
            </w:r>
          </w:p>
        </w:tc>
        <w:tc>
          <w:tcPr>
            <w:tcW w:w="1739"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Writing</w:t>
            </w:r>
          </w:p>
        </w:tc>
        <w:tc>
          <w:tcPr>
            <w:tcW w:w="1182"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3</w:t>
            </w:r>
          </w:p>
        </w:tc>
        <w:tc>
          <w:tcPr>
            <w:tcW w:w="1721"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t>Numeracy</w:t>
            </w:r>
          </w:p>
        </w:tc>
        <w:tc>
          <w:tcPr>
            <w:tcW w:w="1182"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3</w:t>
            </w:r>
          </w:p>
        </w:tc>
      </w:tr>
    </w:tbl>
    <w:p w:rsidR="00951471" w:rsidP="00CA6186">
      <w:pPr>
        <w:pStyle w:val="BodyText"/>
      </w:pPr>
    </w:p>
    <w:p w:rsidR="00951471" w:rsidP="00CA6186">
      <w:pPr>
        <w:pStyle w:val="BodyText"/>
      </w:pPr>
    </w:p>
    <w:p w:rsidR="00000000" w:rsidRPr="00CA6186" w:rsidP="00CA6186">
      <w:pPr>
        <w:pStyle w:val="Heading1"/>
      </w:pPr>
      <w:bookmarkStart w:id="14" w:name="O_590084"/>
      <w:bookmarkEnd w:id="14"/>
      <w:r w:rsidRPr="00CA6186">
        <w:t>Custom Content Section</w:t>
      </w:r>
    </w:p>
    <w:tbl>
      <w:tblPr>
        <w:tblW w:w="0" w:type="auto"/>
        <w:tblLayout w:type="fixed"/>
        <w:tblCellMar>
          <w:left w:w="62" w:type="dxa"/>
          <w:right w:w="62" w:type="dxa"/>
        </w:tblCellMar>
        <w:tblLook w:val="0000"/>
      </w:tblPr>
      <w:tblGrid>
        <w:gridCol w:w="2700"/>
        <w:gridCol w:w="5760"/>
      </w:tblGrid>
      <w:tr w:rsidTr="009514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A6186">
            <w:pPr>
              <w:pStyle w:val="BodyText"/>
              <w:rPr>
                <w:lang w:val="en-NZ"/>
              </w:rPr>
            </w:pPr>
            <w:r w:rsidRPr="00CA6186">
              <w:rPr>
                <w:rStyle w:val="SpecialBold"/>
              </w:rPr>
              <w:t>5</w:t>
            </w:r>
            <w:r w:rsidRPr="00CA6186">
              <w:t>)</w:t>
            </w:r>
          </w:p>
        </w:tc>
      </w:tr>
      <w:tr w:rsidTr="009514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6186" w:rsidP="00CA6186">
            <w:pPr>
              <w:pStyle w:val="BodyText"/>
            </w:pPr>
            <w:r w:rsidRPr="00CA6186">
              <w:t>Refrigeration and Air Conditioning</w:t>
            </w:r>
          </w:p>
        </w:tc>
      </w:tr>
    </w:tbl>
    <w:p w:rsidR="00951471" w:rsidP="00CA6186">
      <w:pPr>
        <w:pStyle w:val="BodyText"/>
      </w:pPr>
    </w:p>
    <w:p w:rsidR="00951471" w:rsidP="00CA6186">
      <w:pPr>
        <w:pStyle w:val="BodyText"/>
      </w:pPr>
    </w:p>
    <w:p w:rsidR="00000000" w:rsidRPr="00CA6186" w:rsidP="00CA6186"/>
    <w:sectPr w:rsidSect="00CA6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86" w:rsidRPr="00951471" w:rsidP="00951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1" w:rsidP="00CA6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51471" w:rsidP="00CA61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51471" w:rsidP="00CA6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86" w:rsidRPr="00951471" w:rsidP="009514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71" w:rsidRPr="002D2AF8" w:rsidP="00CA6186">
    <w:pPr>
      <w:pStyle w:val="Header"/>
      <w:framePr w:wrap="around"/>
    </w:pPr>
    <w:r>
      <w:fldChar w:fldCharType="begin"/>
    </w:r>
    <w:r>
      <w:instrText xml:space="preserve"> TITLE   \* MERGEFORMAT </w:instrText>
    </w:r>
    <w:r>
      <w:fldChar w:fldCharType="separate"/>
    </w:r>
    <w:r>
      <w:t>UEENEEJ154A Find and rectify faults in appliance control systems and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51471" w:rsidP="00CA6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8A3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A83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C4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186"/>
    <w:pPr>
      <w:spacing w:before="360" w:after="60"/>
      <w:outlineLvl w:val="0"/>
    </w:pPr>
    <w:rPr>
      <w:sz w:val="32"/>
    </w:rPr>
  </w:style>
  <w:style w:type="paragraph" w:styleId="Heading2">
    <w:name w:val="heading 2"/>
    <w:basedOn w:val="HeadingBase"/>
    <w:next w:val="BodyText"/>
    <w:link w:val="Heading2Char"/>
    <w:qFormat/>
    <w:rsid w:val="00CA6186"/>
    <w:pPr>
      <w:keepLines/>
      <w:spacing w:before="240" w:after="120"/>
      <w:outlineLvl w:val="1"/>
    </w:pPr>
    <w:rPr>
      <w:sz w:val="28"/>
      <w:szCs w:val="40"/>
    </w:rPr>
  </w:style>
  <w:style w:type="paragraph" w:styleId="Heading3">
    <w:name w:val="heading 3"/>
    <w:basedOn w:val="HeadingBase"/>
    <w:next w:val="BodyText"/>
    <w:link w:val="Heading3Char"/>
    <w:qFormat/>
    <w:rsid w:val="00CA6186"/>
    <w:pPr>
      <w:spacing w:before="180" w:after="120"/>
      <w:outlineLvl w:val="2"/>
    </w:pPr>
    <w:rPr>
      <w:spacing w:val="-10"/>
      <w:kern w:val="32"/>
    </w:rPr>
  </w:style>
  <w:style w:type="paragraph" w:styleId="Heading4">
    <w:name w:val="heading 4"/>
    <w:basedOn w:val="HeadingBase"/>
    <w:next w:val="BodyText"/>
    <w:link w:val="Heading4Char"/>
    <w:qFormat/>
    <w:rsid w:val="00CA6186"/>
    <w:pPr>
      <w:spacing w:before="160" w:after="120"/>
      <w:outlineLvl w:val="3"/>
    </w:pPr>
    <w:rPr>
      <w:sz w:val="22"/>
    </w:rPr>
  </w:style>
  <w:style w:type="paragraph" w:styleId="Heading5">
    <w:name w:val="heading 5"/>
    <w:basedOn w:val="HeadingBase"/>
    <w:next w:val="Normal"/>
    <w:link w:val="Heading5Char"/>
    <w:qFormat/>
    <w:rsid w:val="00CA6186"/>
    <w:pPr>
      <w:spacing w:before="80"/>
      <w:outlineLvl w:val="4"/>
    </w:pPr>
    <w:rPr>
      <w:color w:val="918585"/>
      <w:sz w:val="20"/>
    </w:rPr>
  </w:style>
  <w:style w:type="paragraph" w:styleId="Heading6">
    <w:name w:val="heading 6"/>
    <w:basedOn w:val="HeadingBase"/>
    <w:next w:val="Normal"/>
    <w:link w:val="Heading6Char"/>
    <w:qFormat/>
    <w:rsid w:val="00CA6186"/>
    <w:pPr>
      <w:spacing w:before="60"/>
      <w:outlineLvl w:val="5"/>
    </w:pPr>
    <w:rPr>
      <w:color w:val="918585"/>
      <w:sz w:val="20"/>
    </w:rPr>
  </w:style>
  <w:style w:type="paragraph" w:styleId="Heading7">
    <w:name w:val="heading 7"/>
    <w:basedOn w:val="Normal"/>
    <w:next w:val="Normal"/>
    <w:link w:val="Heading7Char"/>
    <w:qFormat/>
    <w:rsid w:val="00CA6186"/>
    <w:pPr>
      <w:ind w:left="720"/>
      <w:outlineLvl w:val="6"/>
    </w:pPr>
    <w:rPr>
      <w:i/>
    </w:rPr>
  </w:style>
  <w:style w:type="paragraph" w:styleId="Heading8">
    <w:name w:val="heading 8"/>
    <w:basedOn w:val="Normal"/>
    <w:next w:val="Normal"/>
    <w:link w:val="Heading8Char"/>
    <w:qFormat/>
    <w:rsid w:val="00CA6186"/>
    <w:pPr>
      <w:ind w:left="720"/>
      <w:outlineLvl w:val="7"/>
    </w:pPr>
    <w:rPr>
      <w:i/>
    </w:rPr>
  </w:style>
  <w:style w:type="paragraph" w:styleId="Heading9">
    <w:name w:val="heading 9"/>
    <w:basedOn w:val="Normal"/>
    <w:next w:val="Normal"/>
    <w:link w:val="Heading9Char"/>
    <w:qFormat/>
    <w:rsid w:val="00CA6186"/>
    <w:pPr>
      <w:ind w:left="720"/>
      <w:outlineLvl w:val="8"/>
    </w:pPr>
    <w:rPr>
      <w:i/>
    </w:rPr>
  </w:style>
  <w:style w:type="character" w:default="1" w:styleId="DefaultParagraphFont">
    <w:name w:val="Default Paragraph Font"/>
    <w:uiPriority w:val="1"/>
    <w:unhideWhenUsed/>
    <w:rsid w:val="00CA6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186"/>
  </w:style>
  <w:style w:type="character" w:customStyle="1" w:styleId="Heading1Char">
    <w:name w:val="Heading 1 Char"/>
    <w:basedOn w:val="DefaultParagraphFont"/>
    <w:link w:val="Heading1"/>
    <w:rsid w:val="00CA6186"/>
    <w:rPr>
      <w:rFonts w:ascii="Times New Roman" w:eastAsia="Times New Roman" w:hAnsi="Times New Roman" w:cs="Times New Roman"/>
      <w:b/>
      <w:sz w:val="32"/>
      <w:szCs w:val="20"/>
      <w:lang w:eastAsia="en-US"/>
    </w:rPr>
  </w:style>
  <w:style w:type="paragraph" w:styleId="BodyText">
    <w:name w:val="Body Text"/>
    <w:basedOn w:val="Normal"/>
    <w:link w:val="BodyTextChar"/>
    <w:rsid w:val="00CA61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6186"/>
    <w:rPr>
      <w:rFonts w:ascii="Times New Roman" w:eastAsia="Times New Roman" w:hAnsi="Times New Roman" w:cs="Times New Roman"/>
      <w:sz w:val="24"/>
      <w:lang w:eastAsia="en-US"/>
    </w:rPr>
  </w:style>
  <w:style w:type="paragraph" w:styleId="ListBullet">
    <w:name w:val="List Bullet"/>
    <w:basedOn w:val="List"/>
    <w:rsid w:val="00CA6186"/>
    <w:pPr>
      <w:numPr>
        <w:numId w:val="13"/>
      </w:numPr>
      <w:tabs>
        <w:tab w:val="clear" w:pos="340"/>
      </w:tabs>
      <w:spacing w:before="40" w:after="40"/>
    </w:pPr>
  </w:style>
  <w:style w:type="character" w:customStyle="1" w:styleId="SpecialBold">
    <w:name w:val="Special Bold"/>
    <w:basedOn w:val="DefaultParagraphFont"/>
    <w:rsid w:val="00CA6186"/>
    <w:rPr>
      <w:b/>
      <w:spacing w:val="0"/>
    </w:rPr>
  </w:style>
  <w:style w:type="paragraph" w:styleId="ListBullet2">
    <w:name w:val="List Bullet 2"/>
    <w:basedOn w:val="List2"/>
    <w:rsid w:val="00CA6186"/>
    <w:pPr>
      <w:numPr>
        <w:numId w:val="14"/>
      </w:numPr>
      <w:tabs>
        <w:tab w:val="clear" w:pos="680"/>
      </w:tabs>
    </w:pPr>
  </w:style>
  <w:style w:type="paragraph" w:customStyle="1" w:styleId="SuperHeading">
    <w:name w:val="SuperHeading"/>
    <w:basedOn w:val="Normal"/>
    <w:rsid w:val="00CA6186"/>
    <w:pPr>
      <w:spacing w:before="240" w:after="120"/>
      <w:outlineLvl w:val="0"/>
    </w:pPr>
    <w:rPr>
      <w:rFonts w:ascii="Times New Roman" w:hAnsi="Times New Roman"/>
      <w:b/>
      <w:sz w:val="32"/>
    </w:rPr>
  </w:style>
  <w:style w:type="paragraph" w:customStyle="1" w:styleId="AllowPageBreak">
    <w:name w:val="AllowPageBreak"/>
    <w:rsid w:val="00CA618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A6186"/>
    <w:pPr>
      <w:ind w:firstLine="0"/>
    </w:pPr>
  </w:style>
  <w:style w:type="character" w:customStyle="1" w:styleId="Heading2Char">
    <w:name w:val="Heading 2 Char"/>
    <w:basedOn w:val="DefaultParagraphFont"/>
    <w:link w:val="Heading2"/>
    <w:rsid w:val="00CA6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186"/>
    <w:rPr>
      <w:rFonts w:ascii="Courier New" w:eastAsia="Times New Roman" w:hAnsi="Courier New" w:cs="Times New Roman"/>
      <w:i/>
      <w:szCs w:val="20"/>
      <w:lang w:eastAsia="en-US"/>
    </w:rPr>
  </w:style>
  <w:style w:type="paragraph" w:customStyle="1" w:styleId="HeadingBase">
    <w:name w:val="Heading Base"/>
    <w:rsid w:val="00CA6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186"/>
    <w:pPr>
      <w:tabs>
        <w:tab w:val="right" w:leader="dot" w:pos="9072"/>
      </w:tabs>
      <w:ind w:left="567"/>
    </w:pPr>
    <w:rPr>
      <w:szCs w:val="22"/>
    </w:rPr>
  </w:style>
  <w:style w:type="paragraph" w:customStyle="1" w:styleId="TOCBase">
    <w:name w:val="TOC Base"/>
    <w:rsid w:val="00CA6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186"/>
    <w:pPr>
      <w:tabs>
        <w:tab w:val="right" w:leader="dot" w:pos="9072"/>
      </w:tabs>
      <w:spacing w:before="40" w:after="40"/>
      <w:ind w:left="284"/>
    </w:pPr>
    <w:rPr>
      <w:rFonts w:ascii="Times New Roman" w:hAnsi="Times New Roman"/>
    </w:rPr>
  </w:style>
  <w:style w:type="paragraph" w:styleId="TOC1">
    <w:name w:val="toc 1"/>
    <w:basedOn w:val="TOCBase"/>
    <w:next w:val="Normal"/>
    <w:rsid w:val="00CA6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186"/>
    <w:rPr>
      <w:rFonts w:ascii="Times New Roman" w:eastAsia="Times New Roman" w:hAnsi="Times New Roman" w:cs="Times New Roman"/>
      <w:sz w:val="16"/>
      <w:lang w:eastAsia="en-US"/>
    </w:rPr>
  </w:style>
  <w:style w:type="paragraph" w:styleId="Title">
    <w:name w:val="Title"/>
    <w:basedOn w:val="HeadingBase"/>
    <w:link w:val="TitleChar"/>
    <w:qFormat/>
    <w:rsid w:val="00CA6186"/>
    <w:pPr>
      <w:spacing w:before="5040"/>
      <w:jc w:val="center"/>
    </w:pPr>
    <w:rPr>
      <w:sz w:val="48"/>
      <w:szCs w:val="72"/>
      <w:lang w:val="en-US"/>
    </w:rPr>
  </w:style>
  <w:style w:type="character" w:customStyle="1" w:styleId="TitleChar">
    <w:name w:val="Title Char"/>
    <w:basedOn w:val="DefaultParagraphFont"/>
    <w:link w:val="Title"/>
    <w:rsid w:val="00CA6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186"/>
    <w:pPr>
      <w:tabs>
        <w:tab w:val="left" w:pos="3600"/>
        <w:tab w:val="left" w:pos="3958"/>
      </w:tabs>
    </w:pPr>
  </w:style>
  <w:style w:type="paragraph" w:styleId="List">
    <w:name w:val="List"/>
    <w:basedOn w:val="BodyText"/>
    <w:next w:val="BodyText"/>
    <w:rsid w:val="00CA6186"/>
    <w:pPr>
      <w:tabs>
        <w:tab w:val="left" w:pos="340"/>
      </w:tabs>
      <w:spacing w:before="60" w:after="60"/>
      <w:ind w:left="340" w:hanging="340"/>
    </w:pPr>
  </w:style>
  <w:style w:type="paragraph" w:customStyle="1" w:styleId="Note">
    <w:name w:val="Note"/>
    <w:basedOn w:val="BodyText"/>
    <w:rsid w:val="00CA6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186"/>
    <w:pPr>
      <w:framePr w:wrap="auto" w:hAnchor="text" w:y="6049"/>
    </w:pPr>
    <w:rPr>
      <w:color w:val="000000"/>
      <w:sz w:val="40"/>
    </w:rPr>
  </w:style>
  <w:style w:type="paragraph" w:customStyle="1" w:styleId="TOCTitle">
    <w:name w:val="TOCTitle"/>
    <w:basedOn w:val="Heading1"/>
    <w:rsid w:val="00CA6186"/>
    <w:pPr>
      <w:spacing w:after="240"/>
      <w:jc w:val="center"/>
      <w:outlineLvl w:val="9"/>
    </w:pPr>
    <w:rPr>
      <w:caps/>
    </w:rPr>
  </w:style>
  <w:style w:type="paragraph" w:customStyle="1" w:styleId="Version">
    <w:name w:val="Version"/>
    <w:rsid w:val="00CA6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186"/>
    <w:pPr>
      <w:keepNext w:val="0"/>
      <w:tabs>
        <w:tab w:val="right" w:pos="4176"/>
      </w:tabs>
      <w:ind w:left="198" w:hanging="198"/>
    </w:pPr>
    <w:rPr>
      <w:rFonts w:ascii="Garamond" w:hAnsi="Garamond"/>
    </w:rPr>
  </w:style>
  <w:style w:type="paragraph" w:styleId="IndexHeading">
    <w:name w:val="index heading"/>
    <w:basedOn w:val="Normal"/>
    <w:next w:val="Index1"/>
    <w:semiHidden/>
    <w:rsid w:val="00CA6186"/>
    <w:pPr>
      <w:spacing w:before="120" w:after="120"/>
    </w:pPr>
    <w:rPr>
      <w:rFonts w:ascii="Arial" w:hAnsi="Arial"/>
      <w:b/>
      <w:color w:val="918585"/>
      <w:sz w:val="24"/>
    </w:rPr>
  </w:style>
  <w:style w:type="paragraph" w:styleId="Header">
    <w:name w:val="header"/>
    <w:basedOn w:val="Normal"/>
    <w:link w:val="HeaderChar"/>
    <w:rsid w:val="00CA6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186"/>
    <w:rPr>
      <w:rFonts w:ascii="Times New Roman" w:eastAsia="Times New Roman" w:hAnsi="Times New Roman" w:cs="Times New Roman"/>
      <w:sz w:val="16"/>
      <w:szCs w:val="20"/>
      <w:lang w:val="en-GB" w:eastAsia="en-US"/>
    </w:rPr>
  </w:style>
  <w:style w:type="paragraph" w:customStyle="1" w:styleId="Chapter">
    <w:name w:val="Chapter"/>
    <w:basedOn w:val="Normal"/>
    <w:rsid w:val="00CA6186"/>
    <w:pPr>
      <w:spacing w:before="240"/>
    </w:pPr>
    <w:rPr>
      <w:rFonts w:ascii="Times New Roman" w:hAnsi="Times New Roman"/>
      <w:smallCaps/>
      <w:spacing w:val="80"/>
      <w:sz w:val="28"/>
    </w:rPr>
  </w:style>
  <w:style w:type="paragraph" w:customStyle="1" w:styleId="InChapter">
    <w:name w:val="InChapter"/>
    <w:basedOn w:val="Heading3"/>
    <w:rsid w:val="00CA6186"/>
    <w:pPr>
      <w:spacing w:after="240"/>
      <w:outlineLvl w:val="9"/>
    </w:pPr>
    <w:rPr>
      <w:noProof/>
    </w:rPr>
  </w:style>
  <w:style w:type="paragraph" w:styleId="Index2">
    <w:name w:val="index 2"/>
    <w:basedOn w:val="Normal"/>
    <w:next w:val="Normal"/>
    <w:semiHidden/>
    <w:rsid w:val="00CA6186"/>
    <w:pPr>
      <w:tabs>
        <w:tab w:val="right" w:pos="4176"/>
      </w:tabs>
      <w:ind w:left="568" w:hanging="284"/>
    </w:pPr>
    <w:rPr>
      <w:rFonts w:ascii="Garamond" w:hAnsi="Garamond"/>
    </w:rPr>
  </w:style>
  <w:style w:type="paragraph" w:customStyle="1" w:styleId="Byline">
    <w:name w:val="Byline"/>
    <w:rsid w:val="00CA6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186"/>
    <w:pPr>
      <w:tabs>
        <w:tab w:val="clear" w:pos="3600"/>
        <w:tab w:val="clear" w:pos="3958"/>
      </w:tabs>
      <w:jc w:val="right"/>
    </w:pPr>
  </w:style>
  <w:style w:type="character" w:styleId="Emphasis">
    <w:name w:val="Emphasis"/>
    <w:basedOn w:val="DefaultParagraphFont"/>
    <w:qFormat/>
    <w:rsid w:val="00CA6186"/>
    <w:rPr>
      <w:i/>
    </w:rPr>
  </w:style>
  <w:style w:type="paragraph" w:styleId="Caption">
    <w:name w:val="caption"/>
    <w:basedOn w:val="BodyText"/>
    <w:next w:val="Normal"/>
    <w:qFormat/>
    <w:rsid w:val="00CA6186"/>
    <w:pPr>
      <w:framePr w:w="2268" w:hSpace="181" w:vSpace="181" w:wrap="around" w:vAnchor="text" w:hAnchor="page" w:x="1135" w:y="285" w:anchorLock="1"/>
    </w:pPr>
    <w:rPr>
      <w:i/>
    </w:rPr>
  </w:style>
  <w:style w:type="paragraph" w:customStyle="1" w:styleId="MiniTOCTitle">
    <w:name w:val="MiniTOCTitle"/>
    <w:basedOn w:val="Heading4"/>
    <w:rsid w:val="00CA6186"/>
    <w:pPr>
      <w:spacing w:before="240"/>
      <w:outlineLvl w:val="9"/>
    </w:pPr>
    <w:rPr>
      <w:noProof/>
      <w:sz w:val="24"/>
    </w:rPr>
  </w:style>
  <w:style w:type="paragraph" w:customStyle="1" w:styleId="MiniTOCItem">
    <w:name w:val="MiniTOCItem"/>
    <w:basedOn w:val="ListBullet"/>
    <w:rsid w:val="00CA6186"/>
    <w:pPr>
      <w:numPr>
        <w:numId w:val="0"/>
      </w:numPr>
      <w:tabs>
        <w:tab w:val="right" w:leader="dot" w:pos="6521"/>
      </w:tabs>
      <w:spacing w:before="0" w:after="0"/>
    </w:pPr>
  </w:style>
  <w:style w:type="paragraph" w:customStyle="1" w:styleId="TOFTitle">
    <w:name w:val="TOFTitle"/>
    <w:basedOn w:val="TOCTitle"/>
    <w:rsid w:val="00CA6186"/>
  </w:style>
  <w:style w:type="paragraph" w:styleId="TableofFigures">
    <w:name w:val="table of figures"/>
    <w:basedOn w:val="Normal"/>
    <w:next w:val="Normal"/>
    <w:semiHidden/>
    <w:rsid w:val="00CA6186"/>
    <w:pPr>
      <w:tabs>
        <w:tab w:val="right" w:leader="dot" w:pos="9072"/>
      </w:tabs>
      <w:ind w:left="970" w:hanging="403"/>
    </w:pPr>
    <w:rPr>
      <w:rFonts w:ascii="Times New Roman" w:hAnsi="Times New Roman"/>
      <w:b/>
    </w:rPr>
  </w:style>
  <w:style w:type="paragraph" w:styleId="ListNumber">
    <w:name w:val="List Number"/>
    <w:basedOn w:val="List"/>
    <w:rsid w:val="00CA6186"/>
    <w:pPr>
      <w:numPr>
        <w:numId w:val="11"/>
      </w:numPr>
    </w:pPr>
  </w:style>
  <w:style w:type="character" w:customStyle="1" w:styleId="WingdingSymbols">
    <w:name w:val="Wingding Symbols"/>
    <w:rsid w:val="00CA6186"/>
    <w:rPr>
      <w:rFonts w:ascii="Wingdings" w:hAnsi="Wingdings"/>
    </w:rPr>
  </w:style>
  <w:style w:type="paragraph" w:customStyle="1" w:styleId="TableHeading">
    <w:name w:val="Table Heading"/>
    <w:basedOn w:val="HeadingBase"/>
    <w:rsid w:val="00CA6186"/>
    <w:pPr>
      <w:keepLines/>
      <w:pBdr>
        <w:bottom w:val="single" w:sz="6" w:space="1" w:color="918585"/>
      </w:pBdr>
      <w:spacing w:before="240"/>
    </w:pPr>
  </w:style>
  <w:style w:type="character" w:customStyle="1" w:styleId="HotSpot">
    <w:name w:val="HotSpot"/>
    <w:rsid w:val="00CA6186"/>
    <w:rPr>
      <w:color w:val="0033CC"/>
      <w:u w:val="none"/>
    </w:rPr>
  </w:style>
  <w:style w:type="paragraph" w:customStyle="1" w:styleId="BodyTextRight">
    <w:name w:val="Body Text Right"/>
    <w:basedOn w:val="BodyText"/>
    <w:rsid w:val="00CA6186"/>
    <w:pPr>
      <w:spacing w:before="0" w:after="0"/>
      <w:jc w:val="right"/>
    </w:pPr>
  </w:style>
  <w:style w:type="paragraph" w:styleId="Index3">
    <w:name w:val="index 3"/>
    <w:basedOn w:val="ListNumber2"/>
    <w:next w:val="Normal"/>
    <w:semiHidden/>
    <w:rsid w:val="00CA6186"/>
    <w:pPr>
      <w:numPr>
        <w:numId w:val="0"/>
      </w:numPr>
      <w:tabs>
        <w:tab w:val="right" w:leader="dot" w:pos="4176"/>
      </w:tabs>
    </w:pPr>
  </w:style>
  <w:style w:type="paragraph" w:styleId="ListNumber2">
    <w:name w:val="List Number 2"/>
    <w:basedOn w:val="List2"/>
    <w:rsid w:val="00CA6186"/>
    <w:pPr>
      <w:numPr>
        <w:numId w:val="10"/>
      </w:numPr>
      <w:tabs>
        <w:tab w:val="clear" w:pos="1060"/>
      </w:tabs>
    </w:pPr>
  </w:style>
  <w:style w:type="paragraph" w:customStyle="1" w:styleId="MarginNote">
    <w:name w:val="Margin Note"/>
    <w:basedOn w:val="BodyText"/>
    <w:rsid w:val="00CA6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186"/>
    <w:rPr>
      <w:sz w:val="32"/>
    </w:rPr>
  </w:style>
  <w:style w:type="paragraph" w:customStyle="1" w:styleId="HeadingProcedure">
    <w:name w:val="Heading Procedure"/>
    <w:basedOn w:val="HeadingBase"/>
    <w:next w:val="Normal"/>
    <w:rsid w:val="00CA6186"/>
    <w:pPr>
      <w:tabs>
        <w:tab w:val="left" w:pos="0"/>
      </w:tabs>
      <w:spacing w:before="120" w:after="60"/>
    </w:pPr>
    <w:rPr>
      <w:i/>
      <w:color w:val="918585"/>
      <w:sz w:val="22"/>
    </w:rPr>
  </w:style>
  <w:style w:type="paragraph" w:customStyle="1" w:styleId="TableBodyText">
    <w:name w:val="Table Body Text"/>
    <w:basedOn w:val="BodyText"/>
    <w:rsid w:val="00CA6186"/>
    <w:pPr>
      <w:spacing w:before="60" w:after="60"/>
    </w:pPr>
  </w:style>
  <w:style w:type="paragraph" w:customStyle="1" w:styleId="ListNote">
    <w:name w:val="List Note"/>
    <w:basedOn w:val="List"/>
    <w:rsid w:val="00CA6186"/>
    <w:pPr>
      <w:pBdr>
        <w:top w:val="single" w:sz="6" w:space="2" w:color="918585"/>
        <w:bottom w:val="single" w:sz="6" w:space="2" w:color="918585"/>
      </w:pBdr>
      <w:tabs>
        <w:tab w:val="left" w:pos="1021"/>
      </w:tabs>
      <w:ind w:firstLine="0"/>
    </w:pPr>
  </w:style>
  <w:style w:type="paragraph" w:customStyle="1" w:styleId="Warning">
    <w:name w:val="Warning"/>
    <w:basedOn w:val="BodyText"/>
    <w:rsid w:val="00CA6186"/>
    <w:pPr>
      <w:shd w:val="clear" w:color="auto" w:fill="D9D9D9"/>
      <w:tabs>
        <w:tab w:val="left" w:pos="992"/>
      </w:tabs>
      <w:ind w:left="119" w:right="119"/>
    </w:pPr>
    <w:rPr>
      <w:sz w:val="20"/>
    </w:rPr>
  </w:style>
  <w:style w:type="paragraph" w:customStyle="1" w:styleId="MarginIcons">
    <w:name w:val="Margin Icons"/>
    <w:basedOn w:val="BodyText"/>
    <w:rsid w:val="00CA6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186"/>
    <w:rPr>
      <w:rFonts w:ascii="Courier New" w:hAnsi="Courier New"/>
    </w:rPr>
  </w:style>
  <w:style w:type="paragraph" w:customStyle="1" w:styleId="NoteBullet">
    <w:name w:val="Note Bullet"/>
    <w:basedOn w:val="Note"/>
    <w:rsid w:val="00CA6186"/>
    <w:pPr>
      <w:tabs>
        <w:tab w:val="clear" w:pos="680"/>
      </w:tabs>
      <w:spacing w:before="60" w:after="60"/>
    </w:pPr>
  </w:style>
  <w:style w:type="paragraph" w:customStyle="1" w:styleId="SubHeading2">
    <w:name w:val="SubHeading2"/>
    <w:basedOn w:val="HeadingBase"/>
    <w:rsid w:val="00CA6186"/>
    <w:pPr>
      <w:spacing w:before="240" w:after="60"/>
    </w:pPr>
    <w:rPr>
      <w:sz w:val="20"/>
    </w:rPr>
  </w:style>
  <w:style w:type="paragraph" w:customStyle="1" w:styleId="SubHeading1">
    <w:name w:val="SubHeading1"/>
    <w:basedOn w:val="HeadingBase"/>
    <w:rsid w:val="00CA6186"/>
    <w:pPr>
      <w:spacing w:before="240" w:after="60"/>
    </w:pPr>
    <w:rPr>
      <w:color w:val="918585"/>
      <w:sz w:val="22"/>
    </w:rPr>
  </w:style>
  <w:style w:type="paragraph" w:customStyle="1" w:styleId="SideHeading">
    <w:name w:val="Side Heading"/>
    <w:basedOn w:val="HeadingBase"/>
    <w:rsid w:val="00CA6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186"/>
    <w:pPr>
      <w:numPr>
        <w:numId w:val="12"/>
      </w:numPr>
    </w:pPr>
  </w:style>
  <w:style w:type="paragraph" w:styleId="PlainText">
    <w:name w:val="Plain Text"/>
    <w:basedOn w:val="Normal"/>
    <w:link w:val="PlainTextChar"/>
    <w:rsid w:val="00CA6186"/>
    <w:rPr>
      <w:sz w:val="20"/>
    </w:rPr>
  </w:style>
  <w:style w:type="character" w:customStyle="1" w:styleId="PlainTextChar">
    <w:name w:val="Plain Text Char"/>
    <w:basedOn w:val="DefaultParagraphFont"/>
    <w:link w:val="PlainText"/>
    <w:rsid w:val="00CA6186"/>
    <w:rPr>
      <w:rFonts w:ascii="Courier New" w:eastAsia="Times New Roman" w:hAnsi="Courier New" w:cs="Times New Roman"/>
      <w:sz w:val="20"/>
      <w:szCs w:val="20"/>
      <w:lang w:eastAsia="en-US"/>
    </w:rPr>
  </w:style>
  <w:style w:type="character" w:customStyle="1" w:styleId="MenuOption">
    <w:name w:val="Menu Option"/>
    <w:basedOn w:val="DefaultParagraphFont"/>
    <w:rsid w:val="00CA6186"/>
    <w:rPr>
      <w:b/>
      <w:smallCaps/>
    </w:rPr>
  </w:style>
  <w:style w:type="paragraph" w:customStyle="1" w:styleId="TableListNumber">
    <w:name w:val="Table List Number"/>
    <w:basedOn w:val="ListNumber"/>
    <w:rsid w:val="00CA6186"/>
    <w:pPr>
      <w:numPr>
        <w:numId w:val="0"/>
      </w:numPr>
    </w:pPr>
  </w:style>
  <w:style w:type="paragraph" w:styleId="TOC4">
    <w:name w:val="toc 4"/>
    <w:basedOn w:val="TOCBase"/>
    <w:next w:val="Normal"/>
    <w:semiHidden/>
    <w:rsid w:val="00CA6186"/>
    <w:pPr>
      <w:tabs>
        <w:tab w:val="right" w:leader="dot" w:pos="9071"/>
      </w:tabs>
      <w:ind w:left="1701"/>
    </w:pPr>
  </w:style>
  <w:style w:type="paragraph" w:customStyle="1" w:styleId="ListAlpha">
    <w:name w:val="List Alpha"/>
    <w:basedOn w:val="List"/>
    <w:rsid w:val="00CA6186"/>
    <w:pPr>
      <w:numPr>
        <w:numId w:val="9"/>
      </w:numPr>
    </w:pPr>
  </w:style>
  <w:style w:type="paragraph" w:customStyle="1" w:styleId="ListAlpha2">
    <w:name w:val="List Alpha 2"/>
    <w:basedOn w:val="List2"/>
    <w:rsid w:val="00CA6186"/>
    <w:pPr>
      <w:numPr>
        <w:numId w:val="8"/>
      </w:numPr>
    </w:pPr>
  </w:style>
  <w:style w:type="paragraph" w:styleId="List2">
    <w:name w:val="List 2"/>
    <w:basedOn w:val="BodyText"/>
    <w:rsid w:val="00CA6186"/>
    <w:pPr>
      <w:tabs>
        <w:tab w:val="left" w:pos="680"/>
      </w:tabs>
      <w:spacing w:before="60" w:after="60"/>
      <w:ind w:left="680" w:hanging="340"/>
    </w:pPr>
  </w:style>
  <w:style w:type="paragraph" w:styleId="List3">
    <w:name w:val="List 3"/>
    <w:basedOn w:val="BodyText"/>
    <w:rsid w:val="00CA6186"/>
    <w:pPr>
      <w:tabs>
        <w:tab w:val="left" w:pos="1021"/>
      </w:tabs>
      <w:spacing w:before="60" w:after="60"/>
      <w:ind w:left="1020" w:hanging="340"/>
    </w:pPr>
  </w:style>
  <w:style w:type="paragraph" w:styleId="List4">
    <w:name w:val="List 4"/>
    <w:basedOn w:val="BodyText"/>
    <w:rsid w:val="00CA6186"/>
    <w:pPr>
      <w:tabs>
        <w:tab w:val="left" w:pos="1361"/>
      </w:tabs>
      <w:spacing w:before="60" w:after="60"/>
      <w:ind w:left="1361" w:hanging="340"/>
    </w:pPr>
  </w:style>
  <w:style w:type="paragraph" w:styleId="List5">
    <w:name w:val="List 5"/>
    <w:basedOn w:val="BodyText"/>
    <w:rsid w:val="00CA6186"/>
    <w:pPr>
      <w:tabs>
        <w:tab w:val="left" w:pos="1701"/>
      </w:tabs>
      <w:spacing w:before="60" w:after="60"/>
      <w:ind w:left="1701" w:hanging="340"/>
    </w:pPr>
  </w:style>
  <w:style w:type="paragraph" w:styleId="ListBullet3">
    <w:name w:val="List Bullet 3"/>
    <w:basedOn w:val="List3"/>
    <w:rsid w:val="00CA6186"/>
    <w:pPr>
      <w:numPr>
        <w:numId w:val="15"/>
      </w:numPr>
      <w:tabs>
        <w:tab w:val="clear" w:pos="1021"/>
      </w:tabs>
      <w:ind w:left="1037" w:hanging="357"/>
    </w:pPr>
  </w:style>
  <w:style w:type="paragraph" w:styleId="ListBullet4">
    <w:name w:val="List Bullet 4"/>
    <w:basedOn w:val="List4"/>
    <w:rsid w:val="00CA6186"/>
    <w:pPr>
      <w:numPr>
        <w:numId w:val="3"/>
      </w:numPr>
    </w:pPr>
  </w:style>
  <w:style w:type="paragraph" w:styleId="ListBullet5">
    <w:name w:val="List Bullet 5"/>
    <w:basedOn w:val="List5"/>
    <w:rsid w:val="00CA6186"/>
    <w:pPr>
      <w:numPr>
        <w:numId w:val="4"/>
      </w:numPr>
    </w:pPr>
  </w:style>
  <w:style w:type="paragraph" w:styleId="ListContinue2">
    <w:name w:val="List Continue 2"/>
    <w:basedOn w:val="List2"/>
    <w:rsid w:val="00CA6186"/>
    <w:pPr>
      <w:ind w:firstLine="0"/>
    </w:pPr>
  </w:style>
  <w:style w:type="paragraph" w:styleId="ListContinue3">
    <w:name w:val="List Continue 3"/>
    <w:basedOn w:val="List3"/>
    <w:rsid w:val="00CA6186"/>
    <w:pPr>
      <w:ind w:left="1021" w:firstLine="0"/>
    </w:pPr>
  </w:style>
  <w:style w:type="paragraph" w:styleId="ListContinue4">
    <w:name w:val="List Continue 4"/>
    <w:basedOn w:val="List4"/>
    <w:rsid w:val="00CA6186"/>
    <w:pPr>
      <w:ind w:firstLine="0"/>
    </w:pPr>
  </w:style>
  <w:style w:type="paragraph" w:styleId="ListContinue5">
    <w:name w:val="List Continue 5"/>
    <w:basedOn w:val="List5"/>
    <w:rsid w:val="00CA6186"/>
    <w:pPr>
      <w:ind w:firstLine="0"/>
    </w:pPr>
  </w:style>
  <w:style w:type="paragraph" w:styleId="ListNumber3">
    <w:name w:val="List Number 3"/>
    <w:basedOn w:val="List3"/>
    <w:rsid w:val="00CA6186"/>
    <w:pPr>
      <w:numPr>
        <w:numId w:val="5"/>
      </w:numPr>
    </w:pPr>
  </w:style>
  <w:style w:type="paragraph" w:styleId="ListNumber4">
    <w:name w:val="List Number 4"/>
    <w:basedOn w:val="List4"/>
    <w:rsid w:val="00CA6186"/>
    <w:pPr>
      <w:numPr>
        <w:numId w:val="6"/>
      </w:numPr>
    </w:pPr>
  </w:style>
  <w:style w:type="paragraph" w:styleId="ListNumber5">
    <w:name w:val="List Number 5"/>
    <w:basedOn w:val="List5"/>
    <w:rsid w:val="00CA6186"/>
    <w:pPr>
      <w:numPr>
        <w:numId w:val="7"/>
      </w:numPr>
    </w:pPr>
  </w:style>
  <w:style w:type="paragraph" w:styleId="BlockText">
    <w:name w:val="Block Text"/>
    <w:basedOn w:val="Normal"/>
    <w:rsid w:val="00CA6186"/>
    <w:pPr>
      <w:spacing w:after="120"/>
      <w:ind w:left="1440" w:right="1440"/>
    </w:pPr>
  </w:style>
  <w:style w:type="character" w:customStyle="1" w:styleId="Subscript">
    <w:name w:val="Subscript"/>
    <w:basedOn w:val="DefaultParagraphFont"/>
    <w:rsid w:val="00CA6186"/>
    <w:rPr>
      <w:sz w:val="16"/>
      <w:vertAlign w:val="subscript"/>
    </w:rPr>
  </w:style>
  <w:style w:type="character" w:customStyle="1" w:styleId="Superscript">
    <w:name w:val="Superscript"/>
    <w:basedOn w:val="DefaultParagraphFont"/>
    <w:rsid w:val="00CA6186"/>
    <w:rPr>
      <w:sz w:val="16"/>
      <w:vertAlign w:val="superscript"/>
    </w:rPr>
  </w:style>
  <w:style w:type="character" w:customStyle="1" w:styleId="Symbols">
    <w:name w:val="Symbols"/>
    <w:basedOn w:val="DefaultParagraphFont"/>
    <w:rsid w:val="00CA6186"/>
    <w:rPr>
      <w:rFonts w:ascii="Symbol" w:hAnsi="Symbol"/>
    </w:rPr>
  </w:style>
  <w:style w:type="character" w:customStyle="1" w:styleId="MenuOptions">
    <w:name w:val="Menu Options"/>
    <w:basedOn w:val="DefaultParagraphFont"/>
    <w:rsid w:val="00CA6186"/>
    <w:rPr>
      <w:rFonts w:ascii="Arial Narrow" w:hAnsi="Arial Narrow"/>
      <w:smallCaps/>
    </w:rPr>
  </w:style>
  <w:style w:type="character" w:customStyle="1" w:styleId="Buttons">
    <w:name w:val="Buttons"/>
    <w:basedOn w:val="DefaultParagraphFont"/>
    <w:rsid w:val="00CA6186"/>
    <w:rPr>
      <w:b/>
    </w:rPr>
  </w:style>
  <w:style w:type="character" w:customStyle="1" w:styleId="Underlined">
    <w:name w:val="Underlined"/>
    <w:basedOn w:val="DefaultParagraphFont"/>
    <w:rsid w:val="00CA6186"/>
    <w:rPr>
      <w:u w:val="single"/>
    </w:rPr>
  </w:style>
  <w:style w:type="paragraph" w:customStyle="1" w:styleId="TableBodyTextRight">
    <w:name w:val="Table Body Text Right"/>
    <w:basedOn w:val="TableBodyText"/>
    <w:rsid w:val="00CA6186"/>
    <w:pPr>
      <w:widowControl w:val="0"/>
      <w:autoSpaceDE w:val="0"/>
      <w:autoSpaceDN w:val="0"/>
      <w:adjustRightInd w:val="0"/>
      <w:jc w:val="right"/>
    </w:pPr>
    <w:rPr>
      <w:rFonts w:cs="Arial"/>
      <w:szCs w:val="18"/>
    </w:rPr>
  </w:style>
  <w:style w:type="paragraph" w:customStyle="1" w:styleId="CopyrightText">
    <w:name w:val="Copyright Text"/>
    <w:basedOn w:val="BodyText"/>
    <w:rsid w:val="00CA6186"/>
    <w:rPr>
      <w:sz w:val="18"/>
    </w:rPr>
  </w:style>
  <w:style w:type="paragraph" w:customStyle="1" w:styleId="BodySmallRight">
    <w:name w:val="Body Small Right"/>
    <w:basedOn w:val="BodyTextRight"/>
    <w:rsid w:val="00CA6186"/>
    <w:rPr>
      <w:sz w:val="18"/>
      <w:szCs w:val="18"/>
    </w:rPr>
  </w:style>
  <w:style w:type="paragraph" w:customStyle="1" w:styleId="MarginEdition">
    <w:name w:val="Margin Edition"/>
    <w:basedOn w:val="MarginNote"/>
    <w:rsid w:val="00CA6186"/>
    <w:pPr>
      <w:spacing w:before="0" w:after="0"/>
    </w:pPr>
    <w:rPr>
      <w:rFonts w:ascii="Times New Roman" w:hAnsi="Times New Roman"/>
      <w:color w:val="999999"/>
    </w:rPr>
  </w:style>
  <w:style w:type="paragraph" w:customStyle="1" w:styleId="Spacer">
    <w:name w:val="Spacer"/>
    <w:basedOn w:val="Normal"/>
    <w:rsid w:val="00CA6186"/>
    <w:rPr>
      <w:sz w:val="2"/>
      <w:szCs w:val="2"/>
    </w:rPr>
  </w:style>
  <w:style w:type="character" w:customStyle="1" w:styleId="Small">
    <w:name w:val="Small"/>
    <w:basedOn w:val="DefaultParagraphFont"/>
    <w:rsid w:val="00CA6186"/>
    <w:rPr>
      <w:sz w:val="16"/>
    </w:rPr>
  </w:style>
  <w:style w:type="paragraph" w:customStyle="1" w:styleId="WideTable">
    <w:name w:val="Wide Table"/>
    <w:basedOn w:val="Normal"/>
    <w:rsid w:val="00CA6186"/>
    <w:pPr>
      <w:ind w:left="-1418"/>
    </w:pPr>
    <w:rPr>
      <w:sz w:val="2"/>
      <w:szCs w:val="2"/>
    </w:rPr>
  </w:style>
  <w:style w:type="character" w:styleId="PageNumber">
    <w:name w:val="page number"/>
    <w:basedOn w:val="DefaultParagraphFont"/>
    <w:rsid w:val="00CA6186"/>
  </w:style>
  <w:style w:type="paragraph" w:styleId="Quote">
    <w:name w:val="Quote"/>
    <w:basedOn w:val="Heading1"/>
    <w:link w:val="QuoteChar"/>
    <w:qFormat/>
    <w:rsid w:val="00CA6186"/>
    <w:rPr>
      <w:b w:val="0"/>
      <w:sz w:val="72"/>
      <w:szCs w:val="72"/>
      <w:lang w:val="en-NZ"/>
    </w:rPr>
  </w:style>
  <w:style w:type="character" w:customStyle="1" w:styleId="QuoteChar">
    <w:name w:val="Quote Char"/>
    <w:basedOn w:val="DefaultParagraphFont"/>
    <w:link w:val="Quote"/>
    <w:rsid w:val="00CA6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186"/>
    <w:pPr>
      <w:pageBreakBefore/>
    </w:pPr>
  </w:style>
  <w:style w:type="paragraph" w:customStyle="1" w:styleId="Border">
    <w:name w:val="Border"/>
    <w:basedOn w:val="Normal"/>
    <w:qFormat/>
    <w:rsid w:val="00CA6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186"/>
    <w:rPr>
      <w:b/>
      <w:bCs/>
      <w:i/>
      <w:iCs/>
      <w:color w:val="auto"/>
    </w:rPr>
  </w:style>
  <w:style w:type="paragraph" w:styleId="IntenseQuote">
    <w:name w:val="Intense Quote"/>
    <w:basedOn w:val="Normal"/>
    <w:next w:val="Normal"/>
    <w:link w:val="IntenseQuoteChar"/>
    <w:uiPriority w:val="30"/>
    <w:qFormat/>
    <w:rsid w:val="00CA6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186"/>
    <w:rPr>
      <w:smallCaps/>
      <w:color w:val="auto"/>
      <w:u w:val="single"/>
    </w:rPr>
  </w:style>
  <w:style w:type="character" w:styleId="IntenseReference">
    <w:name w:val="Intense Reference"/>
    <w:basedOn w:val="DefaultParagraphFont"/>
    <w:uiPriority w:val="32"/>
    <w:qFormat/>
    <w:rsid w:val="00CA6186"/>
    <w:rPr>
      <w:b/>
      <w:bCs/>
      <w:smallCaps/>
      <w:color w:val="auto"/>
      <w:spacing w:val="5"/>
      <w:u w:val="single"/>
    </w:rPr>
  </w:style>
  <w:style w:type="paragraph" w:customStyle="1" w:styleId="2ColumnHeading">
    <w:name w:val="2Column Heading"/>
    <w:basedOn w:val="BodyText"/>
    <w:qFormat/>
    <w:rsid w:val="00CA6186"/>
    <w:pPr>
      <w:spacing w:after="60"/>
      <w:ind w:left="-2268"/>
    </w:pPr>
    <w:rPr>
      <w:b/>
    </w:rPr>
  </w:style>
  <w:style w:type="paragraph" w:customStyle="1" w:styleId="Heading1TOC">
    <w:name w:val="Heading1 TOC"/>
    <w:basedOn w:val="Normal"/>
    <w:qFormat/>
    <w:rsid w:val="00CA6186"/>
    <w:pPr>
      <w:spacing w:before="240" w:after="120"/>
    </w:pPr>
    <w:rPr>
      <w:rFonts w:ascii="Times New Roman" w:hAnsi="Times New Roman"/>
      <w:b/>
      <w:sz w:val="32"/>
    </w:rPr>
  </w:style>
  <w:style w:type="paragraph" w:customStyle="1" w:styleId="Heading2TOC">
    <w:name w:val="Heading2 TOC"/>
    <w:basedOn w:val="Normal"/>
    <w:qFormat/>
    <w:rsid w:val="00CA6186"/>
    <w:pPr>
      <w:spacing w:before="240" w:after="60"/>
    </w:pPr>
    <w:rPr>
      <w:rFonts w:ascii="Times New Roman" w:hAnsi="Times New Roman"/>
      <w:b/>
      <w:sz w:val="28"/>
    </w:rPr>
  </w:style>
  <w:style w:type="character" w:customStyle="1" w:styleId="Underline">
    <w:name w:val="Underline"/>
    <w:basedOn w:val="DefaultParagraphFont"/>
    <w:qFormat/>
    <w:rsid w:val="00CA6186"/>
    <w:rPr>
      <w:u w:val="single"/>
    </w:rPr>
  </w:style>
  <w:style w:type="character" w:customStyle="1" w:styleId="BoldandItalics">
    <w:name w:val="Bold and Italics"/>
    <w:qFormat/>
    <w:rsid w:val="00CA6186"/>
    <w:rPr>
      <w:b/>
      <w:i/>
      <w:u w:val="none"/>
    </w:rPr>
  </w:style>
  <w:style w:type="paragraph" w:styleId="BalloonText">
    <w:name w:val="Balloon Text"/>
    <w:basedOn w:val="Normal"/>
    <w:link w:val="BalloonTextChar"/>
    <w:rsid w:val="00CA6186"/>
    <w:rPr>
      <w:rFonts w:ascii="Tahoma" w:hAnsi="Tahoma" w:cs="Tahoma"/>
      <w:sz w:val="16"/>
      <w:szCs w:val="16"/>
    </w:rPr>
  </w:style>
  <w:style w:type="character" w:customStyle="1" w:styleId="BalloonTextChar">
    <w:name w:val="Balloon Text Char"/>
    <w:basedOn w:val="DefaultParagraphFont"/>
    <w:link w:val="BalloonText"/>
    <w:rsid w:val="00CA6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1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6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186"/>
    <w:rPr>
      <w:b/>
      <w:color w:val="660033"/>
      <w:spacing w:val="0"/>
    </w:rPr>
  </w:style>
  <w:style w:type="paragraph" w:customStyle="1" w:styleId="Nameditemlist">
    <w:name w:val="Named item list"/>
    <w:basedOn w:val="BodyText"/>
    <w:qFormat/>
    <w:rsid w:val="00CA61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2273</Words>
  <Characters>13952</Characters>
  <Application>Microsoft Office Word</Application>
  <DocSecurity>0</DocSecurity>
  <Lines>509</Lines>
  <Paragraphs>214</Paragraphs>
  <ScaleCrop>false</ScaleCrop>
  <Company>Author-it Software Corporation Ltd.</Company>
  <LinksUpToDate>false</LinksUpToDate>
  <CharactersWithSpaces>16159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UEENEEJ154A Find and rectify faults in appliance control systems and devices</dc:title>
  <dc:subject>Approved</dc:subject>
  <dc:creator>E-OZ Training Standards</dc:creator>
  <cp:keywords>Release 3</cp:keywords>
  <dc:description>Review Date: 12 April 2008</dc:description>
  <cp:lastModifiedBy>HSD_TPCMSd.prod</cp:lastModifiedBy>
  <cp:revision>3</cp:revision>
  <dcterms:created xsi:type="dcterms:W3CDTF">2013-08-14T01:14:00Z</dcterms:created>
  <dcterms:modified xsi:type="dcterms:W3CDTF">2013-08-14T01:14:00Z</dcterms:modified>
</cp:coreProperties>
</file>