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67D" w:rsidP="003F367D">
      <w:pPr>
        <w:pStyle w:val="Title"/>
      </w:pPr>
      <w:r>
        <w:fldChar w:fldCharType="begin"/>
      </w:r>
      <w:r>
        <w:instrText xml:space="preserve"> TITLE   \* MERGEFORMAT </w:instrText>
      </w:r>
      <w:r>
        <w:fldChar w:fldCharType="separate"/>
      </w:r>
      <w:r>
        <w:t>UEENEEJ147A Audit energy use for commercial HVAC/Refrigeration systems</w:t>
      </w:r>
      <w:r>
        <w:fldChar w:fldCharType="end"/>
      </w:r>
    </w:p>
    <w:p w:rsidR="003F367D" w:rsidP="003F367D">
      <w:pPr>
        <w:pStyle w:val="Version"/>
        <w:sectPr w:rsidSect="00D56B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56B33" w:rsidP="00D56B33">
      <w:pPr>
        <w:pStyle w:val="SuperHeading"/>
      </w:pPr>
      <w:r w:rsidRPr="00D56B33">
        <w:t>UEENEEJ147A Audit energy use for commercial HVAC/Refrigeration systems</w:t>
      </w:r>
    </w:p>
    <w:p w:rsidR="00000000" w:rsidRPr="00D56B33" w:rsidP="00D56B33">
      <w:pPr>
        <w:pStyle w:val="Heading1"/>
      </w:pPr>
      <w:bookmarkStart w:id="1" w:name="O_590037"/>
      <w:bookmarkEnd w:id="1"/>
      <w:r w:rsidRPr="00D56B33">
        <w:t>Modification History</w:t>
      </w:r>
    </w:p>
    <w:p w:rsidR="00000000" w:rsidRPr="00D56B33" w:rsidP="00D56B33">
      <w:pPr>
        <w:pStyle w:val="BodyText"/>
      </w:pPr>
      <w:r w:rsidRPr="00D56B33">
        <w:t>Not Applicable</w:t>
      </w:r>
    </w:p>
    <w:p w:rsidR="00000000" w:rsidRPr="00D56B33" w:rsidP="00D56B33">
      <w:pPr>
        <w:pStyle w:val="AllowPageBreak"/>
      </w:pPr>
    </w:p>
    <w:p w:rsidR="00000000" w:rsidRPr="00D56B33" w:rsidP="00D56B33">
      <w:pPr>
        <w:pStyle w:val="Heading1"/>
      </w:pPr>
      <w:bookmarkStart w:id="2" w:name="O_590036"/>
      <w:bookmarkEnd w:id="2"/>
      <w:r w:rsidRPr="00D56B33">
        <w:t>Unit Descriptor</w:t>
      </w:r>
    </w:p>
    <w:tbl>
      <w:tblPr>
        <w:tblW w:w="0" w:type="auto"/>
        <w:tblLayout w:type="fixed"/>
        <w:tblCellMar>
          <w:left w:w="62" w:type="dxa"/>
          <w:right w:w="62" w:type="dxa"/>
        </w:tblCellMar>
        <w:tblLook w:val="0000"/>
      </w:tblPr>
      <w:tblGrid>
        <w:gridCol w:w="2700"/>
        <w:gridCol w:w="5760"/>
      </w:tblGrid>
      <w:tr w:rsidTr="003F36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1</w:t>
            </w:r>
            <w:r w:rsidRPr="00D56B33">
              <w:t xml:space="preserve">) </w:t>
            </w:r>
          </w:p>
          <w:p w:rsidR="00000000" w:rsidP="00D56B33">
            <w:pPr>
              <w:pStyle w:val="BodyText"/>
              <w:rPr>
                <w:lang w:val="en-NZ"/>
              </w:rPr>
            </w:pPr>
            <w:r w:rsidRPr="00D56B33">
              <w:rPr>
                <w:rStyle w:val="SpecialBold"/>
              </w:rPr>
              <w:t>1</w:t>
            </w:r>
            <w:r w:rsidRPr="00D56B33">
              <w:t>.</w:t>
            </w:r>
            <w:r w:rsidRPr="00D56B33">
              <w:rPr>
                <w:rStyle w:val="SpecialBold"/>
              </w:rPr>
              <w:t>1</w:t>
            </w:r>
            <w:r w:rsidRPr="00D56B33">
              <w:t xml:space="preserve">) </w:t>
            </w:r>
            <w:r w:rsidRPr="00D56B33">
              <w:rPr>
                <w:rStyle w:val="SpecialBold"/>
              </w:rPr>
              <w:t>Descriptor</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This unit covers assessing the energy used by commercial HVAC andrefrigeration systems in relation to its performance for the purpose of improving efficiency and/or certification as meeting energy efficiency standards. It encompasses safe working practices</w:t>
            </w:r>
            <w:r w:rsidRPr="00D56B33">
              <w:t>, determining efficiency requirements, setting up performance and energy tests, evaluating results and documenting test outcomes.</w:t>
            </w:r>
          </w:p>
        </w:tc>
      </w:tr>
    </w:tbl>
    <w:p w:rsidR="003F367D" w:rsidP="00D56B33">
      <w:pPr>
        <w:pStyle w:val="BodyText"/>
      </w:pPr>
    </w:p>
    <w:p w:rsidR="003F367D" w:rsidP="00D56B33">
      <w:pPr>
        <w:pStyle w:val="BodyText"/>
      </w:pPr>
    </w:p>
    <w:p w:rsidR="00000000" w:rsidRPr="00D56B33" w:rsidP="00D56B33">
      <w:pPr>
        <w:pStyle w:val="Heading1"/>
      </w:pPr>
      <w:bookmarkStart w:id="3" w:name="O_590035"/>
      <w:bookmarkEnd w:id="3"/>
      <w:r w:rsidRPr="00D56B33">
        <w:t>Application of the Unit</w:t>
      </w:r>
    </w:p>
    <w:tbl>
      <w:tblPr>
        <w:tblW w:w="0" w:type="auto"/>
        <w:tblLayout w:type="fixed"/>
        <w:tblCellMar>
          <w:left w:w="62" w:type="dxa"/>
          <w:right w:w="62" w:type="dxa"/>
        </w:tblCellMar>
        <w:tblLook w:val="0000"/>
      </w:tblPr>
      <w:tblGrid>
        <w:gridCol w:w="2700"/>
        <w:gridCol w:w="5760"/>
      </w:tblGrid>
      <w:tr w:rsidTr="003F36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4</w:t>
            </w:r>
            <w:r w:rsidRPr="00D56B33">
              <w:t>)</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D56B33">
              <w:t>6 level.</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 xml:space="preserve">Note: </w:t>
            </w:r>
            <w:r w:rsidRPr="00D56B33">
              <w:br/>
              <w:t>1. Compliance with permits may be required in various jurisdictions and typically relates to the operation of plant, machinery and equipment such as elevating work platforms, powder operated fixing tools, power operated tools, vehicles, r</w:t>
            </w:r>
            <w:r w:rsidRPr="00D56B33">
              <w:t>oad signage and traffic control, lifting equipment. Permits may also be required for some work environments such as confined spaces, working aloft, near live electrical devices, site rehabilitation.</w:t>
            </w:r>
            <w:r w:rsidRPr="00D56B33">
              <w:br/>
              <w:t>2. Compliance may be required in various jurisdictions re</w:t>
            </w:r>
            <w:r w:rsidRPr="00D56B33">
              <w:t xml:space="preserve">lating to currency in First Aid, confined space, lifting </w:t>
            </w:r>
            <w:r w:rsidRPr="00D56B33">
              <w:t xml:space="preserve">and risk safety measures </w:t>
            </w:r>
          </w:p>
        </w:tc>
      </w:tr>
    </w:tbl>
    <w:p w:rsidR="003F367D" w:rsidP="00D56B33">
      <w:pPr>
        <w:pStyle w:val="BodyText"/>
      </w:pPr>
    </w:p>
    <w:p w:rsidR="003F367D" w:rsidP="00D56B33">
      <w:pPr>
        <w:pStyle w:val="BodyText"/>
      </w:pPr>
    </w:p>
    <w:p w:rsidR="00000000" w:rsidRPr="00D56B33" w:rsidP="00D56B33">
      <w:pPr>
        <w:pStyle w:val="Heading1"/>
      </w:pPr>
      <w:bookmarkStart w:id="4" w:name="O_590034"/>
      <w:bookmarkEnd w:id="4"/>
      <w:r w:rsidRPr="00D56B33">
        <w:t>Licensing/Regulatory Information</w:t>
      </w:r>
    </w:p>
    <w:tbl>
      <w:tblPr>
        <w:tblW w:w="0" w:type="auto"/>
        <w:tblLayout w:type="fixed"/>
        <w:tblCellMar>
          <w:left w:w="62" w:type="dxa"/>
          <w:right w:w="62" w:type="dxa"/>
        </w:tblCellMar>
        <w:tblLook w:val="0000"/>
      </w:tblPr>
      <w:tblGrid>
        <w:gridCol w:w="8460"/>
      </w:tblGrid>
      <w:tr w:rsidTr="003F36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1</w:t>
            </w:r>
            <w:r w:rsidRPr="00D56B33">
              <w:t>.</w:t>
            </w:r>
            <w:r w:rsidRPr="00D56B33">
              <w:rPr>
                <w:rStyle w:val="SpecialBold"/>
              </w:rPr>
              <w:t>2</w:t>
            </w:r>
            <w:r w:rsidRPr="00D56B33">
              <w:t xml:space="preserve">) </w:t>
            </w:r>
            <w:r w:rsidRPr="00D56B33">
              <w:rPr>
                <w:rStyle w:val="SpecialBold"/>
              </w:rPr>
              <w:t>License to practice</w:t>
            </w:r>
          </w:p>
        </w:tc>
      </w:tr>
      <w:tr w:rsidTr="003F36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The skills and knowledge described in this unit may require a license to practice in the workplace subject to regulations for undertaking of electrical work. Practice in workplace and during training is also subject to regulations directly related to occup</w:t>
            </w:r>
            <w:r w:rsidRPr="00D56B33">
              <w:t>ational health and safety and where applicable contracts of training such as apprenticeships.</w:t>
            </w:r>
          </w:p>
        </w:tc>
      </w:tr>
    </w:tbl>
    <w:p w:rsidR="003F367D" w:rsidP="00D56B33">
      <w:pPr>
        <w:pStyle w:val="BodyText"/>
      </w:pPr>
    </w:p>
    <w:p w:rsidR="003F367D" w:rsidP="00D56B33">
      <w:pPr>
        <w:pStyle w:val="BodyText"/>
      </w:pPr>
    </w:p>
    <w:p w:rsidR="00000000" w:rsidRPr="00D56B33" w:rsidP="00D56B33">
      <w:pPr>
        <w:pStyle w:val="Heading1"/>
      </w:pPr>
      <w:bookmarkStart w:id="5" w:name="O_590033"/>
      <w:bookmarkEnd w:id="5"/>
      <w:r w:rsidRPr="00D56B33">
        <w:t>Pre-Requisites</w:t>
      </w:r>
    </w:p>
    <w:tbl>
      <w:tblPr>
        <w:tblW w:w="0" w:type="auto"/>
        <w:tblLayout w:type="fixed"/>
        <w:tblCellMar>
          <w:left w:w="62" w:type="dxa"/>
          <w:right w:w="62" w:type="dxa"/>
        </w:tblCellMar>
        <w:tblLook w:val="0000"/>
      </w:tblPr>
      <w:tblGrid>
        <w:gridCol w:w="2700"/>
        <w:gridCol w:w="1620"/>
        <w:gridCol w:w="4140"/>
      </w:tblGrid>
      <w:tr w:rsidTr="003F36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Prerequisite Unit</w:t>
            </w:r>
            <w:r w:rsidRPr="00D56B33">
              <w:t>(</w:t>
            </w:r>
            <w:r w:rsidRPr="00D56B33">
              <w:rPr>
                <w:rStyle w:val="SpecialBold"/>
              </w:rPr>
              <w:t>s</w:t>
            </w:r>
            <w:r w:rsidRPr="00D56B33">
              <w:t>)</w:t>
            </w:r>
          </w:p>
        </w:tc>
        <w:tc>
          <w:tcPr>
            <w:tcW w:w="5760" w:type="dxa"/>
            <w:gridSpan w:val="2"/>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2</w:t>
            </w:r>
            <w:r w:rsidRPr="00D56B33">
              <w:t xml:space="preserve">) </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6B33">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2</w:t>
            </w:r>
            <w:r w:rsidRPr="00D56B33">
              <w:t>.</w:t>
            </w:r>
            <w:r w:rsidRPr="00D56B33">
              <w:rPr>
                <w:rStyle w:val="SpecialBold"/>
              </w:rPr>
              <w:t>1</w:t>
            </w:r>
            <w:r w:rsidRPr="00D56B33">
              <w:t xml:space="preserve">) </w:t>
            </w:r>
            <w:r w:rsidRPr="00D56B33">
              <w:rPr>
                <w:rStyle w:val="SpecialBold"/>
              </w:rPr>
              <w:t>Competencies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Granting competency in this unit shall be made only after competency in the following unit(s) has/have been confirmed.</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UEENEEJ136A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Evaluate and report on building services energy management systems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UEENEEJ109A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Verify functionality and compliance of refrigeration and air conditioning installations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UEENEEE101A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Apply Occupational Health and Safety regulations, codes and practices in the workplace</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UEENEEE102A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 xml:space="preserve">Fabricate, assemble and dismantle utilities industry </w:t>
            </w:r>
            <w:r w:rsidRPr="00D56B33">
              <w:t>components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UEENEEE003B</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Solve problems in extra-low voltage single path circuits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UEENEEE105A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Fix and secure electrotechnology equipment</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UEENEEE107A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Use drawings, diagrams, schedules, standards, codes and specifications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UEENEEE137A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Document and apply measures to control OHS risks associated with electrotechnology work</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UEENEEJ102A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Prepare and connect refrigerant tubing and fittings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UEENEEJ103A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Establish the basic operating conditions of vapour compression systems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UEENEEJ104A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Est</w:t>
            </w:r>
            <w:r w:rsidRPr="00D56B33">
              <w:t>ablish the basic operating conditions of air conditioning systems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UEENEEJ106A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Install refrigerant pipe work, flow controls and accessories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UEENEEJ107A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Install air conditioning and refrigeration systems, major components and associated equipment</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UEENEEJ108A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Recover, pressure test, evacuate, charge and leak test refrigerants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UEENEEJ110A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Select refrigerant piping, accessories and associated controls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UEENEEJ111A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Diagnose and rectify faults in air conditioning and refrigeration systems and compone</w:t>
            </w:r>
            <w:r w:rsidRPr="00D56B33">
              <w:t>nts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UEENEEJ113A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Commission air conditioning and refrigeration systems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UEENEEJ153A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Find and rectify faults motors and associated controls in refrigeration and air conditioning systems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UEENEEJ170A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Diagnose and rectify faults in air conditioning and refrigeration control systems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UEENEEJ194A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Solve problems in low voltage refrigeration circuits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UEENEEP012A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Disconnect / reconnect composite appliances connected to low voltage installation wiring</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w:t>
            </w:r>
            <w:r w:rsidRPr="00D56B33">
              <w:t>ENEEP017A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Locate and rectify faults in low voltage composite appliances using set procedures</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UEENEEP024A</w:t>
            </w:r>
          </w:p>
        </w:tc>
        <w:tc>
          <w:tcPr>
            <w:tcW w:w="41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Attach cords and plugs to electrical equipment for connection to a single phase 230 Volt supply</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UEENEEP025A</w:t>
            </w:r>
          </w:p>
        </w:tc>
        <w:tc>
          <w:tcPr>
            <w:tcW w:w="414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Attach cords, cables and plugs to electrical equipment for connection to 1000 Va.c. or 1500 Vd.c. supply</w:t>
            </w:r>
          </w:p>
        </w:tc>
      </w:tr>
    </w:tbl>
    <w:p w:rsidR="003F367D" w:rsidP="00D56B33">
      <w:pPr>
        <w:pStyle w:val="BodyText"/>
      </w:pPr>
    </w:p>
    <w:p w:rsidR="003F367D" w:rsidP="00D56B33">
      <w:pPr>
        <w:pStyle w:val="BodyText"/>
      </w:pPr>
    </w:p>
    <w:p w:rsidR="00000000" w:rsidRPr="00D56B33" w:rsidP="00D56B33">
      <w:pPr>
        <w:pStyle w:val="Heading1"/>
      </w:pPr>
      <w:bookmarkStart w:id="6" w:name="O_590032"/>
      <w:bookmarkEnd w:id="6"/>
      <w:r w:rsidRPr="00D56B33">
        <w:t>Employability Skills Information</w:t>
      </w:r>
    </w:p>
    <w:tbl>
      <w:tblPr>
        <w:tblW w:w="0" w:type="auto"/>
        <w:tblLayout w:type="fixed"/>
        <w:tblCellMar>
          <w:left w:w="62" w:type="dxa"/>
          <w:right w:w="62" w:type="dxa"/>
        </w:tblCellMar>
        <w:tblLook w:val="0000"/>
      </w:tblPr>
      <w:tblGrid>
        <w:gridCol w:w="2700"/>
        <w:gridCol w:w="5760"/>
      </w:tblGrid>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3</w:t>
            </w:r>
            <w:r w:rsidRPr="00D56B33">
              <w:t>)</w:t>
            </w:r>
          </w:p>
          <w:p w:rsidR="00000000" w:rsidRPr="00D56B33" w:rsidP="00D56B33">
            <w:pPr>
              <w:pStyle w:val="BodyText"/>
            </w:pPr>
            <w:r w:rsidRPr="00D56B33">
              <w:t>This unit contains Employability Skills</w:t>
            </w:r>
          </w:p>
          <w:p w:rsidR="00000000" w:rsidRPr="00D56B33" w:rsidP="00D56B33">
            <w:pPr>
              <w:pStyle w:val="BodyText"/>
            </w:pPr>
            <w:r w:rsidRPr="00D56B33">
              <w:t>The required outcomes described in</w:t>
            </w:r>
            <w:r w:rsidRPr="00D56B33">
              <w:t xml:space="preserve"> this unit of competency contain applicable facets of Employability Skills. The Employability Skills Summary of the qualification in which this unit of competency is packaged will assist in identifying Employability Skill requirements.</w:t>
            </w:r>
          </w:p>
        </w:tc>
      </w:tr>
    </w:tbl>
    <w:p w:rsidR="003F367D" w:rsidP="00D56B33">
      <w:pPr>
        <w:pStyle w:val="BodyText"/>
      </w:pPr>
    </w:p>
    <w:p w:rsidR="003F367D" w:rsidP="00D56B33">
      <w:pPr>
        <w:pStyle w:val="BodyText"/>
      </w:pPr>
    </w:p>
    <w:p w:rsidR="00000000" w:rsidRPr="00D56B33" w:rsidP="00D56B33">
      <w:pPr>
        <w:pStyle w:val="Heading1"/>
      </w:pPr>
      <w:bookmarkStart w:id="7" w:name="O_590031"/>
      <w:bookmarkEnd w:id="7"/>
      <w:r w:rsidRPr="00D56B33">
        <w:t>Elements and Performance Criteria Pre-Content</w:t>
      </w:r>
    </w:p>
    <w:tbl>
      <w:tblPr>
        <w:tblW w:w="0" w:type="auto"/>
        <w:tblLayout w:type="fixed"/>
        <w:tblCellMar>
          <w:left w:w="62" w:type="dxa"/>
          <w:right w:w="62" w:type="dxa"/>
        </w:tblCellMar>
        <w:tblLook w:val="0000"/>
      </w:tblPr>
      <w:tblGrid>
        <w:gridCol w:w="2268"/>
        <w:gridCol w:w="6240"/>
      </w:tblGrid>
      <w:tr w:rsidTr="003F36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6</w:t>
            </w:r>
            <w:r w:rsidRPr="00D56B33">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 xml:space="preserve">Performance criteria describe the required performance needed to demonstrate achievement of the element. Assessment of performance is to be consistent with </w:t>
            </w:r>
            <w:r w:rsidRPr="00D56B33">
              <w:t>the evidence guide.</w:t>
            </w:r>
          </w:p>
        </w:tc>
      </w:tr>
    </w:tbl>
    <w:p w:rsidR="00000000" w:rsidRPr="00D56B33" w:rsidP="00D56B33">
      <w:pPr>
        <w:pStyle w:val="BodyText"/>
      </w:pPr>
    </w:p>
    <w:p w:rsidR="00000000" w:rsidRPr="00D56B33" w:rsidP="00D56B33">
      <w:pPr>
        <w:pStyle w:val="AllowPageBreak"/>
      </w:pPr>
    </w:p>
    <w:p w:rsidR="00000000" w:rsidRPr="00D56B33" w:rsidP="00D56B33">
      <w:pPr>
        <w:pStyle w:val="Heading1"/>
      </w:pPr>
      <w:bookmarkStart w:id="8" w:name="O_590030"/>
      <w:bookmarkEnd w:id="8"/>
      <w:r w:rsidRPr="00D56B33">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3F367D">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PERFORMANCE CRITERIA</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1</w:t>
            </w:r>
          </w:p>
        </w:tc>
        <w:tc>
          <w:tcPr>
            <w:tcW w:w="1728" w:type="dxa"/>
            <w:vMerge w:val="restart"/>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Prepare to audit energy use for a commercial HVAC/R application</w:t>
            </w: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1.1</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OHS processes and procedures for a given work area are identified, obtained and understood</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1.2</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Established OHS risk control measures and procedures are followed in preparation for the work.</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1.3</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System assessment and testing area is checked for safety hazards and risk control measures implemented in strict accordance with safety policy and procedures.</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1.4</w:t>
            </w:r>
          </w:p>
        </w:tc>
        <w:tc>
          <w:tcPr>
            <w:tcW w:w="534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Relevant documentation is obtained and read to determine the performance/certification req</w:t>
            </w:r>
            <w:r w:rsidRPr="00D56B33">
              <w:t>uirements against which the system is to be assessed.</w:t>
            </w:r>
          </w:p>
          <w:p w:rsidR="00000000" w:rsidP="00D56B33">
            <w:pPr>
              <w:pStyle w:val="BodyText"/>
              <w:rPr>
                <w:lang w:val="en-NZ"/>
              </w:rPr>
            </w:pPr>
            <w:r w:rsidRPr="00D56B33">
              <w:t>Note:</w:t>
            </w:r>
            <w:r w:rsidRPr="00D56B33">
              <w:br/>
              <w:t>Examples of documentation are those specifying safety requirements, technical standard and as marketed technical energy performance</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1.5</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Advice is sought from the work supervisor to ensure the w</w:t>
            </w:r>
            <w:r w:rsidRPr="00D56B33">
              <w:t>ork is coordinated effectively with others.</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1.6</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Tools, testing devices, and materials needed to carry out the work are obtained and checked for correct operation and safety.</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2</w:t>
            </w:r>
          </w:p>
        </w:tc>
        <w:tc>
          <w:tcPr>
            <w:tcW w:w="1728" w:type="dxa"/>
            <w:vMerge w:val="restart"/>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Audit energy use for a commercial HVAC/R application</w:t>
            </w: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2.1</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OHS risk control measures and procedures for carrying out the work are followed.</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2.2</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Circuits/apparatus/plant are checked as being isolated where necessary in strict accordance OHS requirements and procedures</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2.3</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In depth knowledge of the performance and energy efficiency requirements of HVAC/R system and assessment methods are applied to the audit process.</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2.4</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Apparatus assessment and tests are set up in accordance with established test methods and procedures f</w:t>
            </w:r>
            <w:r w:rsidRPr="00D56B33">
              <w:t>or each particular parameter under scrutiny.</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2.5</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System assessment and tests are carried out methodically and results and comments systematically noted.</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2.6</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Unexpected situations are dealt with safely and with the approval of an authorised person.</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2.7</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Auditing is carried out without damage to systems, circuits, the surrounding environment or services and using sustainable energy practices.</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3</w:t>
            </w:r>
          </w:p>
        </w:tc>
        <w:tc>
          <w:tcPr>
            <w:tcW w:w="1728"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Document auditing activities and results</w:t>
            </w: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3.1</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OHS work completion risk control measures and procedures are f</w:t>
            </w:r>
            <w:r w:rsidRPr="00D56B33">
              <w:t>ollowed.</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3.2</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Work site is cleaned and made safe in accordance with established procedures.</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3.3</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Assessment and test results are evaluated and non-compliance issues identified.</w:t>
            </w:r>
          </w:p>
        </w:tc>
      </w:tr>
      <w:tr w:rsidTr="003F367D">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3.4</w:t>
            </w:r>
          </w:p>
        </w:tc>
        <w:tc>
          <w:tcPr>
            <w:tcW w:w="53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Assessme</w:t>
            </w:r>
            <w:r w:rsidRPr="00D56B33">
              <w:t>nt, test results and recommendations on non-compliance issues are documented and reported to appropriate person(s) in accordance with established procedures.</w:t>
            </w:r>
          </w:p>
        </w:tc>
      </w:tr>
      <w:tr w:rsidTr="003F367D">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D56B33" w:rsidP="00D56B33">
            <w:pPr>
              <w:pStyle w:val="BodyText"/>
            </w:pPr>
          </w:p>
        </w:tc>
      </w:tr>
    </w:tbl>
    <w:p w:rsidR="003F367D" w:rsidP="00D56B33">
      <w:pPr>
        <w:pStyle w:val="BodyText"/>
      </w:pPr>
    </w:p>
    <w:p w:rsidR="003F367D" w:rsidP="00D56B33">
      <w:pPr>
        <w:pStyle w:val="BodyText"/>
      </w:pPr>
    </w:p>
    <w:p w:rsidR="00000000" w:rsidRPr="00D56B33" w:rsidP="00D56B33">
      <w:pPr>
        <w:pStyle w:val="Heading1"/>
      </w:pPr>
      <w:bookmarkStart w:id="9" w:name="O_590029"/>
      <w:bookmarkEnd w:id="9"/>
      <w:r w:rsidRPr="00D56B33">
        <w:t>Required Skills and Knowledge</w:t>
      </w:r>
    </w:p>
    <w:tbl>
      <w:tblPr>
        <w:tblW w:w="0" w:type="auto"/>
        <w:tblLayout w:type="fixed"/>
        <w:tblCellMar>
          <w:left w:w="62" w:type="dxa"/>
          <w:right w:w="62" w:type="dxa"/>
        </w:tblCellMar>
        <w:tblLook w:val="0000"/>
      </w:tblPr>
      <w:tblGrid>
        <w:gridCol w:w="8508"/>
      </w:tblGrid>
      <w:tr w:rsidTr="003F367D">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REQUIRED SKILLS AND KNOWLEDGE</w:t>
            </w:r>
          </w:p>
        </w:tc>
      </w:tr>
      <w:tr w:rsidTr="003F367D">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7)</w:t>
            </w:r>
            <w:r w:rsidRPr="00D56B33">
              <w:t xml:space="preserve"> This describes the essential skills and knowledge and their level, required for this unit.</w:t>
            </w:r>
          </w:p>
        </w:tc>
      </w:tr>
      <w:tr w:rsidTr="003F367D">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 xml:space="preserve">Evidence shall show that knowledge has been acquired of safe working practices and auditing energy use for commercial HVAC/R systems. </w:t>
            </w:r>
          </w:p>
          <w:p w:rsidR="00000000" w:rsidRPr="00D56B33" w:rsidP="00D56B33">
            <w:pPr>
              <w:pStyle w:val="BodyText"/>
            </w:pPr>
            <w:r w:rsidRPr="00D56B33">
              <w:t>All knowledge and skills det</w:t>
            </w:r>
            <w:r w:rsidRPr="00D56B33">
              <w:t>ailed in this unit should be contextualised to current industry practices and technologies.</w:t>
            </w:r>
          </w:p>
          <w:p w:rsidR="00000000" w:rsidRPr="00D56B33" w:rsidP="00D56B33">
            <w:pPr>
              <w:pStyle w:val="BodyText"/>
            </w:pPr>
            <w:r w:rsidRPr="00D56B33">
              <w:rPr>
                <w:rStyle w:val="SpecialBold"/>
              </w:rPr>
              <w:t>KS01-EJ147A</w:t>
            </w:r>
            <w:r w:rsidRPr="00D56B33">
              <w:rPr>
                <w:rStyle w:val="SpecialBold"/>
              </w:rPr>
              <w:tab/>
              <w:t xml:space="preserve">                 HVAC/R energy audits</w:t>
            </w:r>
          </w:p>
          <w:p w:rsidR="00000000" w:rsidRPr="00D56B33" w:rsidP="00D56B33">
            <w:pPr>
              <w:pStyle w:val="BodyText"/>
            </w:pPr>
            <w:r w:rsidRPr="00D56B33">
              <w:t>Evidence shall show an understanding of HVAC/R energy auditing, applying safe working practices and relevant Stand</w:t>
            </w:r>
            <w:r w:rsidRPr="00D56B33">
              <w:t>ards, Codes and Regulations to an extent indicated by the following aspects:</w:t>
            </w:r>
          </w:p>
          <w:p w:rsidR="00000000" w:rsidRPr="00D56B33" w:rsidP="00D56B33">
            <w:pPr>
              <w:pStyle w:val="BodyText"/>
            </w:pPr>
            <w:r w:rsidRPr="00D56B33">
              <w:t>T1          Identification of major energy consuming plant</w:t>
            </w:r>
          </w:p>
          <w:p w:rsidR="00000000" w:rsidRPr="00D56B33" w:rsidP="00D56B33">
            <w:pPr>
              <w:pStyle w:val="ListBullet"/>
            </w:pPr>
            <w:r w:rsidRPr="00D56B33">
              <w:t>review of HVAC/R system components</w:t>
            </w:r>
          </w:p>
          <w:p w:rsidR="00000000" w:rsidRPr="00D56B33" w:rsidP="00D56B33">
            <w:pPr>
              <w:pStyle w:val="BodyText"/>
            </w:pPr>
            <w:r w:rsidRPr="00D56B33">
              <w:t>T2          Methods of energy conservation</w:t>
            </w:r>
          </w:p>
          <w:p w:rsidR="00000000" w:rsidRPr="00D56B33" w:rsidP="00D56B33">
            <w:pPr>
              <w:pStyle w:val="ListBullet"/>
            </w:pPr>
            <w:r w:rsidRPr="00D56B33">
              <w:t>review of energy conserving strategies</w:t>
            </w:r>
          </w:p>
          <w:p w:rsidR="00000000" w:rsidRPr="00D56B33" w:rsidP="00D56B33">
            <w:pPr>
              <w:pStyle w:val="ListBullet"/>
            </w:pPr>
            <w:r w:rsidRPr="00D56B33">
              <w:t>house keeping</w:t>
            </w:r>
          </w:p>
          <w:p w:rsidR="00000000" w:rsidRPr="00D56B33" w:rsidP="00D56B33">
            <w:pPr>
              <w:pStyle w:val="ListBullet"/>
            </w:pPr>
            <w:r w:rsidRPr="00D56B33">
              <w:t>time schedules</w:t>
            </w:r>
          </w:p>
          <w:p w:rsidR="00000000" w:rsidRPr="00D56B33" w:rsidP="00D56B33">
            <w:pPr>
              <w:pStyle w:val="ListBullet"/>
            </w:pPr>
            <w:r w:rsidRPr="00D56B33">
              <w:t>good maintenance practices</w:t>
            </w:r>
          </w:p>
          <w:p w:rsidR="00000000" w:rsidRPr="00D56B33" w:rsidP="00D56B33">
            <w:pPr>
              <w:pStyle w:val="ListBullet2"/>
            </w:pPr>
            <w:r w:rsidRPr="00D56B33">
              <w:t>filters, fans, appropriate set points, dead bands etc.</w:t>
            </w:r>
          </w:p>
          <w:p w:rsidR="00000000" w:rsidRPr="00D56B33" w:rsidP="00D56B33">
            <w:pPr>
              <w:pStyle w:val="ListBullet"/>
            </w:pPr>
            <w:r w:rsidRPr="00D56B33">
              <w:t>HVAC system control</w:t>
            </w:r>
          </w:p>
          <w:p w:rsidR="00000000" w:rsidRPr="00D56B33" w:rsidP="00D56B33">
            <w:pPr>
              <w:pStyle w:val="ListBullet2"/>
            </w:pPr>
            <w:r w:rsidRPr="00D56B33">
              <w:t>night cycle</w:t>
            </w:r>
          </w:p>
          <w:p w:rsidR="00000000" w:rsidRPr="00D56B33" w:rsidP="00D56B33">
            <w:pPr>
              <w:pStyle w:val="ListBullet2"/>
            </w:pPr>
            <w:r w:rsidRPr="00D56B33">
              <w:t>optimum stop/start</w:t>
            </w:r>
          </w:p>
          <w:p w:rsidR="00000000" w:rsidRPr="00D56B33" w:rsidP="00D56B33">
            <w:pPr>
              <w:pStyle w:val="ListBullet2"/>
            </w:pPr>
            <w:r w:rsidRPr="00D56B33">
              <w:t>purge cycles</w:t>
            </w:r>
          </w:p>
          <w:p w:rsidR="00000000" w:rsidRPr="00D56B33" w:rsidP="00D56B33">
            <w:pPr>
              <w:pStyle w:val="ListBullet2"/>
            </w:pPr>
            <w:r w:rsidRPr="00D56B33">
              <w:t>chiller/boiler/cooling tower sequencing</w:t>
            </w:r>
          </w:p>
          <w:p w:rsidR="00000000" w:rsidRPr="00D56B33" w:rsidP="00D56B33">
            <w:pPr>
              <w:pStyle w:val="ListBullet2"/>
            </w:pPr>
            <w:r w:rsidRPr="00D56B33">
              <w:t>economy cycles (based on temperature o</w:t>
            </w:r>
            <w:r w:rsidRPr="00D56B33">
              <w:t>r enthalpy).</w:t>
            </w:r>
          </w:p>
          <w:p w:rsidR="00000000" w:rsidRPr="00D56B33" w:rsidP="00D56B33">
            <w:pPr>
              <w:pStyle w:val="ListBullet2"/>
            </w:pPr>
            <w:r w:rsidRPr="00D56B33">
              <w:t>supply air reset</w:t>
            </w:r>
          </w:p>
          <w:p w:rsidR="00000000" w:rsidRPr="00D56B33" w:rsidP="00D56B33">
            <w:pPr>
              <w:pStyle w:val="ListBullet2"/>
            </w:pPr>
            <w:r w:rsidRPr="00D56B33">
              <w:t>condenser water temperature reset</w:t>
            </w:r>
          </w:p>
          <w:p w:rsidR="00000000" w:rsidRPr="00D56B33" w:rsidP="00D56B33">
            <w:pPr>
              <w:pStyle w:val="ListBullet"/>
            </w:pPr>
            <w:r w:rsidRPr="00D56B33">
              <w:t>electrical load control</w:t>
            </w:r>
          </w:p>
          <w:p w:rsidR="00000000" w:rsidRPr="00D56B33" w:rsidP="00D56B33">
            <w:pPr>
              <w:pStyle w:val="ListBullet2"/>
            </w:pPr>
            <w:r w:rsidRPr="00D56B33">
              <w:t>power demand control</w:t>
            </w:r>
          </w:p>
          <w:p w:rsidR="00000000" w:rsidRPr="00D56B33" w:rsidP="00D56B33">
            <w:pPr>
              <w:pStyle w:val="ListBullet2"/>
            </w:pPr>
            <w:r w:rsidRPr="00D56B33">
              <w:t>load limiting</w:t>
            </w:r>
          </w:p>
          <w:p w:rsidR="00000000" w:rsidRPr="00D56B33" w:rsidP="00D56B33">
            <w:pPr>
              <w:pStyle w:val="ListBullet2"/>
            </w:pPr>
            <w:r w:rsidRPr="00D56B33">
              <w:t>load shedding</w:t>
            </w:r>
          </w:p>
          <w:p w:rsidR="00000000" w:rsidRPr="00D56B33" w:rsidP="00D56B33">
            <w:pPr>
              <w:pStyle w:val="ListBullet2"/>
            </w:pPr>
            <w:r w:rsidRPr="00D56B33">
              <w:t>set point relaxation</w:t>
            </w:r>
          </w:p>
          <w:p w:rsidR="00000000" w:rsidRPr="00D56B33" w:rsidP="00D56B33">
            <w:pPr>
              <w:pStyle w:val="ListBullet2"/>
            </w:pPr>
            <w:r w:rsidRPr="00D56B33">
              <w:t>ventilation cycles</w:t>
            </w:r>
          </w:p>
          <w:p w:rsidR="00000000" w:rsidRPr="00D56B33" w:rsidP="00D56B33">
            <w:pPr>
              <w:pStyle w:val="BodyText"/>
            </w:pPr>
            <w:r w:rsidRPr="00D56B33">
              <w:t>T3          Tests and data collection procedures</w:t>
            </w:r>
          </w:p>
          <w:p w:rsidR="00000000" w:rsidRPr="00D56B33" w:rsidP="00D56B33">
            <w:pPr>
              <w:pStyle w:val="ListBullet"/>
            </w:pPr>
            <w:r w:rsidRPr="00D56B33">
              <w:t>use of BMS for data collection (trending)</w:t>
            </w:r>
          </w:p>
          <w:p w:rsidR="00000000" w:rsidRPr="00D56B33" w:rsidP="00D56B33">
            <w:pPr>
              <w:pStyle w:val="ListBullet"/>
            </w:pPr>
            <w:r w:rsidRPr="00D56B33">
              <w:t>use of data recorders (loggers)</w:t>
            </w:r>
          </w:p>
          <w:p w:rsidR="00000000" w:rsidRPr="00D56B33" w:rsidP="00D56B33">
            <w:pPr>
              <w:pStyle w:val="ListBullet"/>
            </w:pPr>
            <w:r w:rsidRPr="00D56B33">
              <w:t>monitoring of building operations generally</w:t>
            </w:r>
          </w:p>
          <w:p w:rsidR="00000000" w:rsidRPr="00D56B33" w:rsidP="00D56B33">
            <w:pPr>
              <w:pStyle w:val="BodyText"/>
            </w:pPr>
            <w:r w:rsidRPr="00D56B33">
              <w:t>T4          Analyse results from test data</w:t>
            </w:r>
          </w:p>
          <w:p w:rsidR="00000000" w:rsidRPr="00D56B33" w:rsidP="00D56B33">
            <w:pPr>
              <w:pStyle w:val="ListBullet"/>
            </w:pPr>
            <w:r w:rsidRPr="00D56B33">
              <w:t>compare against standards (BOMA)</w:t>
            </w:r>
          </w:p>
          <w:p w:rsidR="00000000" w:rsidRPr="00D56B33" w:rsidP="00D56B33">
            <w:pPr>
              <w:pStyle w:val="ListBullet"/>
            </w:pPr>
            <w:r w:rsidRPr="00D56B33">
              <w:t>review current practices against ideal</w:t>
            </w:r>
          </w:p>
          <w:p w:rsidR="00000000" w:rsidRPr="00D56B33" w:rsidP="00D56B33">
            <w:pPr>
              <w:pStyle w:val="ListBullet"/>
            </w:pPr>
            <w:r w:rsidRPr="00D56B33">
              <w:t>total consumption vs. peak load</w:t>
            </w:r>
          </w:p>
          <w:p w:rsidR="00000000" w:rsidRPr="00D56B33" w:rsidP="00D56B33">
            <w:pPr>
              <w:pStyle w:val="ListBullet"/>
            </w:pPr>
            <w:r w:rsidRPr="00D56B33">
              <w:t>electricity tariffs and implications</w:t>
            </w:r>
          </w:p>
          <w:p w:rsidR="00000000" w:rsidRPr="00D56B33" w:rsidP="00D56B33">
            <w:pPr>
              <w:pStyle w:val="BodyText"/>
            </w:pPr>
            <w:r w:rsidRPr="00D56B33">
              <w:t>T5          Methods of reducing energy usage</w:t>
            </w:r>
          </w:p>
          <w:p w:rsidR="00000000" w:rsidRPr="00D56B33" w:rsidP="00D56B33">
            <w:pPr>
              <w:pStyle w:val="ListBullet"/>
            </w:pPr>
            <w:r w:rsidRPr="00D56B33">
              <w:t>plant retrofits</w:t>
            </w:r>
          </w:p>
          <w:p w:rsidR="00000000" w:rsidRPr="00D56B33" w:rsidP="00D56B33">
            <w:pPr>
              <w:pStyle w:val="ListBullet"/>
            </w:pPr>
            <w:r w:rsidRPr="00D56B33">
              <w:t xml:space="preserve">controls - application of strategies </w:t>
            </w:r>
          </w:p>
          <w:p w:rsidR="00000000" w:rsidRPr="00D56B33" w:rsidP="00D56B33">
            <w:pPr>
              <w:pStyle w:val="ListBullet"/>
            </w:pPr>
            <w:r w:rsidRPr="00D56B33">
              <w:t>plant - fixed OA to economy, boiler to electric reheat, and constant volume to VAV etc.</w:t>
            </w:r>
            <w:r w:rsidRPr="00D56B33">
              <w:t xml:space="preserve"> cost/benefit (payback).</w:t>
            </w:r>
          </w:p>
        </w:tc>
      </w:tr>
    </w:tbl>
    <w:p w:rsidR="003F367D" w:rsidP="00D56B33">
      <w:pPr>
        <w:pStyle w:val="BodyText"/>
      </w:pPr>
    </w:p>
    <w:p w:rsidR="003F367D" w:rsidP="00D56B33">
      <w:pPr>
        <w:pStyle w:val="BodyText"/>
      </w:pPr>
    </w:p>
    <w:p w:rsidR="00000000" w:rsidRPr="00D56B33" w:rsidP="00D56B33">
      <w:pPr>
        <w:pStyle w:val="Heading1"/>
      </w:pPr>
      <w:bookmarkStart w:id="10" w:name="O_590028"/>
      <w:bookmarkEnd w:id="10"/>
      <w:r w:rsidRPr="00D56B33">
        <w:t>Evidence Guide</w:t>
      </w:r>
    </w:p>
    <w:tbl>
      <w:tblPr>
        <w:tblW w:w="0" w:type="auto"/>
        <w:tblLayout w:type="fixed"/>
        <w:tblCellMar>
          <w:left w:w="62" w:type="dxa"/>
          <w:right w:w="62" w:type="dxa"/>
        </w:tblCellMar>
        <w:tblLook w:val="0000"/>
      </w:tblPr>
      <w:tblGrid>
        <w:gridCol w:w="2160"/>
        <w:gridCol w:w="288"/>
        <w:gridCol w:w="540"/>
        <w:gridCol w:w="5520"/>
      </w:tblGrid>
      <w:tr w:rsidTr="003F367D">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EVIDENCE GUIDE</w:t>
            </w:r>
          </w:p>
        </w:tc>
      </w:tr>
      <w:tr w:rsidTr="003F367D">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9</w:t>
            </w:r>
            <w:r w:rsidRPr="00D56B33">
              <w:t xml:space="preserve">) The evidence guide provides advice on assessment and must be read in conjunction with the Performance </w:t>
            </w:r>
            <w:r w:rsidRPr="00D56B33">
              <w:t>Criteria, Required Skills and Knowledge, the Range Statement and the Assessment Guidelines for this Training Package. .</w:t>
            </w:r>
          </w:p>
          <w:p w:rsidR="00000000" w:rsidP="00D56B33">
            <w:pPr>
              <w:pStyle w:val="BodyText"/>
              <w:rPr>
                <w:lang w:val="en-NZ"/>
              </w:rPr>
            </w:pPr>
            <w:r w:rsidRPr="00D56B33">
              <w:t>The Evidence Guide forms an integral part of this Unit. It must be used in conjunction with all parts of this unit and performed in acco</w:t>
            </w:r>
            <w:r w:rsidRPr="00D56B33">
              <w:t>rdance with the Assessment Guidelines of this Training Package.</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9</w:t>
            </w:r>
            <w:r w:rsidRPr="00D56B33">
              <w:t>.</w:t>
            </w:r>
            <w:r w:rsidRPr="00D56B33">
              <w:rPr>
                <w:rStyle w:val="SpecialBold"/>
              </w:rPr>
              <w:t>1</w:t>
            </w:r>
            <w:r w:rsidRPr="00D56B33">
              <w:t xml:space="preserve">) </w:t>
            </w:r>
          </w:p>
          <w:p w:rsidR="00000000" w:rsidRPr="00D56B33" w:rsidP="00D56B33">
            <w:pPr>
              <w:pStyle w:val="BodyText"/>
            </w:pPr>
            <w:r w:rsidRPr="00D56B33">
              <w:t>Longitudinal competency development approaches to assessment, such as Profiling, require data to be reliably gathered in a form that can be consistently interp</w:t>
            </w:r>
            <w:r w:rsidRPr="00D56B33">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D56B33">
              <w:t>of the competency in the normal work environment or, at a minimum, the application of the competency in a realistically simulated work environment. In some circumstances, assessment in part or full can occur outside the workplace. However, it must be in ac</w:t>
            </w:r>
            <w:r w:rsidRPr="00D56B33">
              <w:t>cordance with industry and regulatory policy.</w:t>
            </w:r>
          </w:p>
          <w:p w:rsidR="00000000" w:rsidRPr="00D56B33" w:rsidP="00D56B33">
            <w:pPr>
              <w:pStyle w:val="BodyText"/>
            </w:pPr>
            <w:r w:rsidRPr="00D56B33">
              <w:t xml:space="preserve">Methods chosen for a particular assessment will be influenced by various factors. These include the extent of the assessment, the most effective locations for the assessment activities to take place, access to </w:t>
            </w:r>
            <w:r w:rsidRPr="00D56B33">
              <w:t>physical resources, additional safety measures that may be required and the critical nature of the competencies being assessed.</w:t>
            </w:r>
          </w:p>
          <w:p w:rsidR="00000000" w:rsidRPr="00D56B33" w:rsidP="00D56B33">
            <w:pPr>
              <w:pStyle w:val="BodyText"/>
            </w:pPr>
            <w:r w:rsidRPr="00D56B33">
              <w:t>The critical safety nature of working with electricity, electrical equipment, gas or any other hazardous substance/material carr</w:t>
            </w:r>
            <w:r w:rsidRPr="00D56B33">
              <w:t>ies risk in deeming a person competent. Sources of evidence need to be 'rich' in nature to minimise error in judgment.</w:t>
            </w:r>
          </w:p>
          <w:p w:rsidR="00000000" w:rsidP="00D56B33">
            <w:pPr>
              <w:pStyle w:val="BodyText"/>
              <w:rPr>
                <w:lang w:val="en-NZ"/>
              </w:rPr>
            </w:pPr>
            <w:r w:rsidRPr="00D56B33">
              <w:t>Activities associated with normal everyday work influence decisions about how/how much the data gathered will contribute to its 'richness'. Some skills are more critical to safety and operational requirements while the same skills may be more or less frequ</w:t>
            </w:r>
            <w:r w:rsidRPr="00D56B33">
              <w:t>ently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3F36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Critical aspects of evidence required to demonstrate 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9</w:t>
            </w:r>
            <w:r w:rsidRPr="00D56B33">
              <w:t>.</w:t>
            </w:r>
            <w:r w:rsidRPr="00D56B33">
              <w:rPr>
                <w:rStyle w:val="SpecialBold"/>
              </w:rPr>
              <w:t>2</w:t>
            </w:r>
            <w:r w:rsidRPr="00D56B33">
              <w:t xml:space="preserve">) </w:t>
            </w:r>
          </w:p>
          <w:p w:rsidR="00000000" w:rsidP="00D56B33">
            <w:pPr>
              <w:pStyle w:val="BodyText"/>
              <w:rPr>
                <w:lang w:val="en-NZ"/>
              </w:rPr>
            </w:pPr>
            <w:r w:rsidRPr="00D56B33">
              <w:t>Before the critical aspects of evidence are considered all prerequisites must be met.</w:t>
            </w:r>
          </w:p>
        </w:tc>
      </w:tr>
      <w:tr w:rsidTr="003F36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Evidence for competence in this unit shall be considered holistically.  Each El</w:t>
            </w:r>
            <w:r w:rsidRPr="00D56B33">
              <w:t>ement and associated performance criteria shall be demonstrated on at least two occasions in accordance with the 'Assessment Guidelines - UEE07'.  Evidence shall also comprise:</w:t>
            </w:r>
          </w:p>
          <w:p w:rsidR="00000000" w:rsidP="00D56B33">
            <w:pPr>
              <w:pStyle w:val="ListBullet"/>
              <w:rPr>
                <w:lang w:val="en-NZ"/>
              </w:rPr>
            </w:pPr>
            <w:r w:rsidRPr="00D56B33">
              <w:t>A representative body of work performance demonstrated within the timeframes t</w:t>
            </w:r>
            <w:r w:rsidRPr="00D56B33">
              <w:t>ypically expected of the discipline, work function and industrial environment. In particular this shall incorporate evidence that shows a candidate is able to:</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56B33" w:rsidP="00D56B33">
            <w:pPr>
              <w:pStyle w:val="ListBullet2"/>
            </w:pPr>
            <w:r w:rsidRPr="00D56B33">
              <w:t xml:space="preserve">Implement Occupational Health and Safety workplace procedures and practices including </w:t>
            </w:r>
            <w:r w:rsidRPr="00D56B33">
              <w:t>the use of risk control measures as specified in the performance criteria and range statement</w:t>
            </w:r>
          </w:p>
          <w:p w:rsidR="00000000" w:rsidRPr="00D56B33" w:rsidP="00D56B33">
            <w:pPr>
              <w:pStyle w:val="ListBullet2"/>
            </w:pPr>
            <w:r w:rsidRPr="00D56B33">
              <w:t>Apply sustainable energy principles and practices as specified in the performance criteria and range statement</w:t>
            </w:r>
          </w:p>
          <w:p w:rsidR="00000000" w:rsidRPr="00D56B33" w:rsidP="00D56B33">
            <w:pPr>
              <w:pStyle w:val="ListBullet2"/>
            </w:pPr>
            <w:r w:rsidRPr="00D56B33">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D56B33" w:rsidP="00D56B33">
            <w:pPr>
              <w:pStyle w:val="ListBullet2"/>
            </w:pPr>
            <w:r w:rsidRPr="00D56B33">
              <w:t>Demonst</w:t>
            </w:r>
            <w:r w:rsidRPr="00D56B33">
              <w:t>rate an appropriate level of skills enabling employment</w:t>
            </w:r>
          </w:p>
          <w:p w:rsidR="00000000" w:rsidP="00D56B33">
            <w:pPr>
              <w:pStyle w:val="ListBullet2"/>
              <w:rPr>
                <w:lang w:val="en-NZ"/>
              </w:rPr>
            </w:pPr>
            <w:r w:rsidRPr="00D56B33">
              <w:t>Conduct work observing the relevant Anti Discrimination legislation, regulations, polices and workplace procedures</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56B33">
            <w:pPr>
              <w:pStyle w:val="ListBullet"/>
              <w:rPr>
                <w:lang w:val="en-NZ"/>
              </w:rPr>
            </w:pPr>
            <w:r w:rsidRPr="00D56B33">
              <w:t>Demonstrated consistent performance across a representative range of contexts fr</w:t>
            </w:r>
            <w:r w:rsidRPr="00D56B33">
              <w:t>om the prescribed items below:</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56B33">
            <w:pPr>
              <w:pStyle w:val="ListBullet2"/>
              <w:rPr>
                <w:lang w:val="en-NZ"/>
              </w:rPr>
            </w:pPr>
            <w:r w:rsidRPr="00D56B33">
              <w:t>Audit energy use for commercial HVAC/R systems as described in 8) and including:</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A</w:t>
            </w:r>
          </w:p>
        </w:tc>
        <w:tc>
          <w:tcPr>
            <w:tcW w:w="55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 xml:space="preserve">Interpreting performance/certification requirements correctly. </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B</w:t>
            </w:r>
          </w:p>
        </w:tc>
        <w:tc>
          <w:tcPr>
            <w:tcW w:w="55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 xml:space="preserve">Setting up </w:t>
            </w:r>
            <w:r w:rsidRPr="00D56B33">
              <w:t>and conducting appropriate system assessments and tests.</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C</w:t>
            </w:r>
          </w:p>
        </w:tc>
        <w:tc>
          <w:tcPr>
            <w:tcW w:w="55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Identifying non-compliance issues.</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D</w:t>
            </w:r>
          </w:p>
        </w:tc>
        <w:tc>
          <w:tcPr>
            <w:tcW w:w="55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Reporting assessment and test results and non-compliance issues and recommendations appropriately.</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E</w:t>
            </w:r>
          </w:p>
        </w:tc>
        <w:tc>
          <w:tcPr>
            <w:tcW w:w="552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Dealing with unplanned events by drawing on essent</w:t>
            </w:r>
            <w:r w:rsidRPr="00D56B33">
              <w:t>ial knowledge and skills to provide appropriate solutions incorporated in the holistic assessment with the above listed items</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9</w:t>
            </w:r>
            <w:r w:rsidRPr="00D56B33">
              <w:t>.</w:t>
            </w:r>
            <w:r w:rsidRPr="00D56B33">
              <w:rPr>
                <w:rStyle w:val="SpecialBold"/>
              </w:rPr>
              <w:t>3</w:t>
            </w:r>
            <w:r w:rsidRPr="00D56B33">
              <w:t xml:space="preserve">) </w:t>
            </w:r>
          </w:p>
          <w:p w:rsidR="00000000" w:rsidRPr="00D56B33" w:rsidP="00D56B33">
            <w:pPr>
              <w:pStyle w:val="BodyText"/>
            </w:pPr>
            <w:r w:rsidRPr="00D56B33">
              <w:t>This unit should be assessed as it relates to normal work practice using procedures, information and resources typical of a workplace. This should include:</w:t>
            </w:r>
          </w:p>
          <w:p w:rsidR="00000000" w:rsidRPr="00D56B33" w:rsidP="00D56B33">
            <w:pPr>
              <w:pStyle w:val="ListBullet"/>
            </w:pPr>
            <w:r w:rsidRPr="00D56B33">
              <w:t>OHS policy and work procedures and instructions.</w:t>
            </w:r>
          </w:p>
          <w:p w:rsidR="00000000" w:rsidRPr="00D56B33" w:rsidP="00D56B33">
            <w:pPr>
              <w:pStyle w:val="ListBullet"/>
            </w:pPr>
            <w:r w:rsidRPr="00D56B33">
              <w:t>Suitable work environment, facilities, equipment a</w:t>
            </w:r>
            <w:r w:rsidRPr="00D56B33">
              <w:t>nd materials to undertake actual work as prescribed by this unit.</w:t>
            </w:r>
          </w:p>
          <w:p w:rsidR="00000000" w:rsidRPr="00D56B33" w:rsidP="00D56B33">
            <w:pPr>
              <w:pStyle w:val="BodyText"/>
            </w:pPr>
            <w:r w:rsidRPr="00D56B33">
              <w:t>These should be part of the formal learning/assessment environment.</w:t>
            </w:r>
          </w:p>
          <w:p w:rsidR="00000000" w:rsidRPr="00D56B33" w:rsidP="00D56B33">
            <w:pPr>
              <w:pStyle w:val="BodyText"/>
            </w:pPr>
            <w:r w:rsidRPr="00D56B33">
              <w:t>Note:</w:t>
            </w:r>
          </w:p>
          <w:p w:rsidR="00000000" w:rsidP="00D56B33">
            <w:pPr>
              <w:pStyle w:val="BodyText"/>
              <w:rPr>
                <w:lang w:val="en-NZ"/>
              </w:rPr>
            </w:pPr>
            <w:r w:rsidRPr="00D56B33">
              <w:t>Where simulation is considered a suitable strategy for assessment, conditions must be authentic and as far as possib</w:t>
            </w:r>
            <w:r w:rsidRPr="00D56B33">
              <w:t>le reproduce and replicate the workplace and be consistent with the approved industry simulation policy.</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Evidence should show demonstrated competency in auditing energy use for commercial HVAC/R systems.</w:t>
            </w:r>
          </w:p>
        </w:tc>
      </w:tr>
      <w:tr w:rsidTr="003F36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9</w:t>
            </w:r>
            <w:r w:rsidRPr="00D56B33">
              <w:t>.</w:t>
            </w:r>
            <w:r w:rsidRPr="00D56B33">
              <w:rPr>
                <w:rStyle w:val="SpecialBold"/>
              </w:rPr>
              <w:t>4</w:t>
            </w:r>
            <w:r w:rsidRPr="00D56B33">
              <w:t xml:space="preserve">) </w:t>
            </w:r>
          </w:p>
          <w:p w:rsidR="00000000" w:rsidRPr="00D56B33" w:rsidP="00D56B33">
            <w:pPr>
              <w:pStyle w:val="BodyText"/>
            </w:pPr>
            <w:r w:rsidRPr="00D56B33">
              <w:t>This unit shall be assessed by methods given in Volume 1, Part 3 'Assessment Guidelines'.</w:t>
            </w:r>
          </w:p>
          <w:p w:rsidR="00000000" w:rsidP="00D56B33">
            <w:pPr>
              <w:pStyle w:val="BodyText"/>
              <w:rPr>
                <w:lang w:val="en-NZ"/>
              </w:rPr>
            </w:pPr>
            <w:r w:rsidRPr="00D56B33">
              <w:t xml:space="preserve">Note: </w:t>
            </w:r>
            <w:r w:rsidRPr="00D56B33">
              <w:br/>
              <w:t>Competent performance with inherent safe working practices is expected in the Industry to which this unit applies. This requires assessment in a structured env</w:t>
            </w:r>
            <w:r w:rsidRPr="00D56B33">
              <w:t>ironment which is intended primarily for learning/assessment and incorporates all necessary equipment and facilities for learners to develop and demonstrate the essential knowledge and skills described in this unit.</w:t>
            </w:r>
          </w:p>
        </w:tc>
      </w:tr>
      <w:tr w:rsidTr="003F36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Concurrent assessment and relationshi</w:t>
            </w:r>
            <w:r w:rsidRPr="00D56B33">
              <w:rPr>
                <w:rStyle w:val="SpecialBold"/>
              </w:rPr>
              <w:t>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9</w:t>
            </w:r>
            <w:r w:rsidRPr="00D56B33">
              <w:t>.</w:t>
            </w:r>
            <w:r w:rsidRPr="00D56B33">
              <w:rPr>
                <w:rStyle w:val="SpecialBold"/>
              </w:rPr>
              <w:t>5</w:t>
            </w:r>
            <w:r w:rsidRPr="00D56B33">
              <w:t>)</w:t>
            </w:r>
          </w:p>
        </w:tc>
      </w:tr>
      <w:tr w:rsidTr="003F36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There are no concurrent assessment recommendations for this unit.</w:t>
            </w:r>
          </w:p>
        </w:tc>
      </w:tr>
    </w:tbl>
    <w:p w:rsidR="003F367D" w:rsidP="00D56B33">
      <w:pPr>
        <w:pStyle w:val="BodyText"/>
      </w:pPr>
    </w:p>
    <w:p w:rsidR="003F367D" w:rsidP="00D56B33">
      <w:pPr>
        <w:pStyle w:val="BodyText"/>
      </w:pPr>
    </w:p>
    <w:p w:rsidR="00000000" w:rsidRPr="00D56B33" w:rsidP="00D56B33">
      <w:pPr>
        <w:pStyle w:val="Heading1"/>
      </w:pPr>
      <w:bookmarkStart w:id="11" w:name="O_590027"/>
      <w:bookmarkEnd w:id="11"/>
      <w:r w:rsidRPr="00D56B33">
        <w:t>Range Statement</w:t>
      </w:r>
    </w:p>
    <w:tbl>
      <w:tblPr>
        <w:tblW w:w="0" w:type="auto"/>
        <w:tblLayout w:type="fixed"/>
        <w:tblCellMar>
          <w:left w:w="62" w:type="dxa"/>
          <w:right w:w="62" w:type="dxa"/>
        </w:tblCellMar>
        <w:tblLook w:val="0000"/>
      </w:tblPr>
      <w:tblGrid>
        <w:gridCol w:w="8508"/>
      </w:tblGrid>
      <w:tr w:rsidTr="003F367D">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RANGE STATEMENT</w:t>
            </w:r>
          </w:p>
        </w:tc>
      </w:tr>
      <w:tr w:rsidTr="003F367D">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8</w:t>
            </w:r>
            <w:r w:rsidRPr="00D56B33">
              <w:t>) This relates to the unit as a whole providing the range of contexts and conditions to which the performance criteria apply. It allows for different work environments and situations that will affect performance.</w:t>
            </w:r>
          </w:p>
        </w:tc>
      </w:tr>
      <w:tr w:rsidTr="003F367D">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This unit must be demonstrated in relation to auditing energy use by at least two different commercial HVAC/R systems.</w:t>
            </w:r>
          </w:p>
        </w:tc>
      </w:tr>
      <w:tr w:rsidTr="003F367D">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Generic terms used throughout this Vocational Standard shall be regarded as part of the Range Statement in which competency is demonstra</w:t>
            </w:r>
            <w:r w:rsidRPr="00D56B33">
              <w:t>ted. The definition of these and other terms that apply are given in Volume 2, Part 2.1.</w:t>
            </w:r>
          </w:p>
        </w:tc>
      </w:tr>
    </w:tbl>
    <w:p w:rsidR="003F367D" w:rsidP="00D56B33">
      <w:pPr>
        <w:pStyle w:val="BodyText"/>
      </w:pPr>
    </w:p>
    <w:p w:rsidR="003F367D" w:rsidP="00D56B33">
      <w:pPr>
        <w:pStyle w:val="BodyText"/>
      </w:pPr>
    </w:p>
    <w:p w:rsidR="00000000" w:rsidRPr="00D56B33" w:rsidP="00D56B33">
      <w:pPr>
        <w:pStyle w:val="Heading1"/>
      </w:pPr>
      <w:bookmarkStart w:id="12" w:name="O_590026"/>
      <w:bookmarkEnd w:id="12"/>
      <w:r w:rsidRPr="00D56B33">
        <w:t>Unit Sector(s)</w:t>
      </w:r>
    </w:p>
    <w:p w:rsidR="00000000" w:rsidRPr="00D56B33" w:rsidP="00D56B33">
      <w:pPr>
        <w:pStyle w:val="BodyText"/>
      </w:pPr>
      <w:r w:rsidRPr="00D56B33">
        <w:t>Not Applicable</w:t>
      </w:r>
    </w:p>
    <w:p w:rsidR="00000000" w:rsidRPr="00D56B33" w:rsidP="00D56B33">
      <w:pPr>
        <w:pStyle w:val="AllowPageBreak"/>
      </w:pPr>
    </w:p>
    <w:p w:rsidR="00000000" w:rsidRPr="00D56B33" w:rsidP="00D56B33">
      <w:pPr>
        <w:pStyle w:val="Heading1"/>
      </w:pPr>
      <w:bookmarkStart w:id="13" w:name="O_590025"/>
      <w:bookmarkEnd w:id="13"/>
      <w:r w:rsidRPr="00D56B3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F367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2</w:t>
            </w:r>
            <w:r w:rsidRPr="00D56B33">
              <w:t>.</w:t>
            </w:r>
            <w:r w:rsidRPr="00D56B33">
              <w:rPr>
                <w:rStyle w:val="SpecialBold"/>
              </w:rPr>
              <w:t>2</w:t>
            </w:r>
            <w:r w:rsidRPr="00D56B33">
              <w:t xml:space="preserve">) </w:t>
            </w:r>
            <w:r w:rsidRPr="00D56B33">
              <w:rPr>
                <w:rStyle w:val="SpecialBold"/>
              </w:rPr>
              <w:t>Literacy and numeracy skills</w:t>
            </w:r>
          </w:p>
          <w:p w:rsidR="00000000" w:rsidP="00D56B33">
            <w:pPr>
              <w:pStyle w:val="BodyText"/>
              <w:rPr>
                <w:lang w:val="en-NZ"/>
              </w:rPr>
            </w:pPr>
            <w:r w:rsidRPr="00D56B33">
              <w:t>Participants are best equipped to achieve compete</w:t>
            </w:r>
            <w:r w:rsidRPr="00D56B33">
              <w:t>ncy in this unit if they have reading, writing and numeracy skills indicated by the following scales. Description of each scale is given in Volume 2, Part 3 'Literacy and Numeracy'</w:t>
            </w:r>
          </w:p>
        </w:tc>
      </w:tr>
      <w:tr w:rsidTr="003F367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Reading</w:t>
            </w:r>
          </w:p>
        </w:tc>
        <w:tc>
          <w:tcPr>
            <w:tcW w:w="1182"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5</w:t>
            </w:r>
          </w:p>
        </w:tc>
        <w:tc>
          <w:tcPr>
            <w:tcW w:w="1739"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Writing</w:t>
            </w:r>
          </w:p>
        </w:tc>
        <w:tc>
          <w:tcPr>
            <w:tcW w:w="1182"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5</w:t>
            </w:r>
          </w:p>
        </w:tc>
        <w:tc>
          <w:tcPr>
            <w:tcW w:w="1721"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t>Numeracy</w:t>
            </w:r>
          </w:p>
        </w:tc>
        <w:tc>
          <w:tcPr>
            <w:tcW w:w="1182"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5</w:t>
            </w:r>
          </w:p>
        </w:tc>
      </w:tr>
    </w:tbl>
    <w:p w:rsidR="003F367D" w:rsidP="00D56B33">
      <w:pPr>
        <w:pStyle w:val="BodyText"/>
      </w:pPr>
    </w:p>
    <w:p w:rsidR="003F367D" w:rsidP="00D56B33">
      <w:pPr>
        <w:pStyle w:val="BodyText"/>
      </w:pPr>
    </w:p>
    <w:p w:rsidR="00000000" w:rsidRPr="00D56B33" w:rsidP="00D56B33">
      <w:pPr>
        <w:pStyle w:val="Heading1"/>
      </w:pPr>
      <w:bookmarkStart w:id="14" w:name="O_590024"/>
      <w:bookmarkEnd w:id="14"/>
      <w:r w:rsidRPr="00D56B33">
        <w:t>2.2) Literacy and numeracy skills</w:t>
      </w:r>
    </w:p>
    <w:tbl>
      <w:tblPr>
        <w:tblW w:w="0" w:type="auto"/>
        <w:tblLayout w:type="fixed"/>
        <w:tblCellMar>
          <w:left w:w="62" w:type="dxa"/>
          <w:right w:w="62" w:type="dxa"/>
        </w:tblCellMar>
        <w:tblLook w:val="0000"/>
      </w:tblPr>
      <w:tblGrid>
        <w:gridCol w:w="2700"/>
        <w:gridCol w:w="5760"/>
      </w:tblGrid>
      <w:tr w:rsidTr="003F36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56B33">
            <w:pPr>
              <w:pStyle w:val="BodyText"/>
              <w:rPr>
                <w:lang w:val="en-NZ"/>
              </w:rPr>
            </w:pPr>
            <w:r w:rsidRPr="00D56B33">
              <w:rPr>
                <w:rStyle w:val="SpecialBold"/>
              </w:rPr>
              <w:t>5</w:t>
            </w:r>
            <w:r w:rsidRPr="00D56B33">
              <w:t>)</w:t>
            </w:r>
          </w:p>
        </w:tc>
      </w:tr>
      <w:tr w:rsidTr="003F36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6B33" w:rsidP="00D56B33">
            <w:pPr>
              <w:pStyle w:val="BodyText"/>
            </w:pPr>
            <w:r w:rsidRPr="00D56B33">
              <w:t>Refrigeration and Air Conditioning</w:t>
            </w:r>
          </w:p>
        </w:tc>
      </w:tr>
    </w:tbl>
    <w:p w:rsidR="003F367D" w:rsidP="00D56B33">
      <w:pPr>
        <w:pStyle w:val="BodyText"/>
      </w:pPr>
    </w:p>
    <w:p w:rsidR="003F367D" w:rsidP="00D56B33">
      <w:pPr>
        <w:pStyle w:val="BodyText"/>
      </w:pPr>
    </w:p>
    <w:p w:rsidR="00000000" w:rsidRPr="00D56B33" w:rsidP="00D56B33"/>
    <w:sectPr w:rsidSect="00D56B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33" w:rsidRPr="003F367D" w:rsidP="003F3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67D" w:rsidP="00D56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367D" w:rsidP="00D56B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F367D" w:rsidP="00D56B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33" w:rsidRPr="003F367D" w:rsidP="003F36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67D" w:rsidRPr="002D2AF8" w:rsidP="00D56B33">
    <w:pPr>
      <w:pStyle w:val="Header"/>
      <w:framePr w:wrap="around"/>
    </w:pPr>
    <w:r>
      <w:fldChar w:fldCharType="begin"/>
    </w:r>
    <w:r>
      <w:instrText xml:space="preserve"> TITLE   \* MERGEFORMAT </w:instrText>
    </w:r>
    <w:r>
      <w:fldChar w:fldCharType="separate"/>
    </w:r>
    <w:r>
      <w:t>UEENEEJ147A Audit energy use for commercial HVAC/Refrigeration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F367D" w:rsidP="00D56B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D43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89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4E4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B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B33"/>
    <w:pPr>
      <w:spacing w:before="360" w:after="60"/>
      <w:outlineLvl w:val="0"/>
    </w:pPr>
    <w:rPr>
      <w:sz w:val="32"/>
    </w:rPr>
  </w:style>
  <w:style w:type="paragraph" w:styleId="Heading2">
    <w:name w:val="heading 2"/>
    <w:basedOn w:val="HeadingBase"/>
    <w:next w:val="BodyText"/>
    <w:link w:val="Heading2Char"/>
    <w:qFormat/>
    <w:rsid w:val="00D56B33"/>
    <w:pPr>
      <w:keepLines/>
      <w:spacing w:before="240" w:after="120"/>
      <w:outlineLvl w:val="1"/>
    </w:pPr>
    <w:rPr>
      <w:sz w:val="28"/>
      <w:szCs w:val="40"/>
    </w:rPr>
  </w:style>
  <w:style w:type="paragraph" w:styleId="Heading3">
    <w:name w:val="heading 3"/>
    <w:basedOn w:val="HeadingBase"/>
    <w:next w:val="BodyText"/>
    <w:link w:val="Heading3Char"/>
    <w:qFormat/>
    <w:rsid w:val="00D56B33"/>
    <w:pPr>
      <w:spacing w:before="180" w:after="120"/>
      <w:outlineLvl w:val="2"/>
    </w:pPr>
    <w:rPr>
      <w:spacing w:val="-10"/>
      <w:kern w:val="32"/>
    </w:rPr>
  </w:style>
  <w:style w:type="paragraph" w:styleId="Heading4">
    <w:name w:val="heading 4"/>
    <w:basedOn w:val="HeadingBase"/>
    <w:next w:val="BodyText"/>
    <w:link w:val="Heading4Char"/>
    <w:qFormat/>
    <w:rsid w:val="00D56B33"/>
    <w:pPr>
      <w:spacing w:before="160" w:after="120"/>
      <w:outlineLvl w:val="3"/>
    </w:pPr>
    <w:rPr>
      <w:sz w:val="22"/>
    </w:rPr>
  </w:style>
  <w:style w:type="paragraph" w:styleId="Heading5">
    <w:name w:val="heading 5"/>
    <w:basedOn w:val="HeadingBase"/>
    <w:next w:val="Normal"/>
    <w:link w:val="Heading5Char"/>
    <w:qFormat/>
    <w:rsid w:val="00D56B33"/>
    <w:pPr>
      <w:spacing w:before="80"/>
      <w:outlineLvl w:val="4"/>
    </w:pPr>
    <w:rPr>
      <w:color w:val="918585"/>
      <w:sz w:val="20"/>
    </w:rPr>
  </w:style>
  <w:style w:type="paragraph" w:styleId="Heading6">
    <w:name w:val="heading 6"/>
    <w:basedOn w:val="HeadingBase"/>
    <w:next w:val="Normal"/>
    <w:link w:val="Heading6Char"/>
    <w:qFormat/>
    <w:rsid w:val="00D56B33"/>
    <w:pPr>
      <w:spacing w:before="60"/>
      <w:outlineLvl w:val="5"/>
    </w:pPr>
    <w:rPr>
      <w:color w:val="918585"/>
      <w:sz w:val="20"/>
    </w:rPr>
  </w:style>
  <w:style w:type="paragraph" w:styleId="Heading7">
    <w:name w:val="heading 7"/>
    <w:basedOn w:val="Normal"/>
    <w:next w:val="Normal"/>
    <w:link w:val="Heading7Char"/>
    <w:qFormat/>
    <w:rsid w:val="00D56B33"/>
    <w:pPr>
      <w:ind w:left="720"/>
      <w:outlineLvl w:val="6"/>
    </w:pPr>
    <w:rPr>
      <w:i/>
    </w:rPr>
  </w:style>
  <w:style w:type="paragraph" w:styleId="Heading8">
    <w:name w:val="heading 8"/>
    <w:basedOn w:val="Normal"/>
    <w:next w:val="Normal"/>
    <w:link w:val="Heading8Char"/>
    <w:qFormat/>
    <w:rsid w:val="00D56B33"/>
    <w:pPr>
      <w:ind w:left="720"/>
      <w:outlineLvl w:val="7"/>
    </w:pPr>
    <w:rPr>
      <w:i/>
    </w:rPr>
  </w:style>
  <w:style w:type="paragraph" w:styleId="Heading9">
    <w:name w:val="heading 9"/>
    <w:basedOn w:val="Normal"/>
    <w:next w:val="Normal"/>
    <w:link w:val="Heading9Char"/>
    <w:qFormat/>
    <w:rsid w:val="00D56B33"/>
    <w:pPr>
      <w:ind w:left="720"/>
      <w:outlineLvl w:val="8"/>
    </w:pPr>
    <w:rPr>
      <w:i/>
    </w:rPr>
  </w:style>
  <w:style w:type="character" w:default="1" w:styleId="DefaultParagraphFont">
    <w:name w:val="Default Paragraph Font"/>
    <w:uiPriority w:val="1"/>
    <w:unhideWhenUsed/>
    <w:rsid w:val="00D56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B33"/>
  </w:style>
  <w:style w:type="character" w:customStyle="1" w:styleId="Heading1Char">
    <w:name w:val="Heading 1 Char"/>
    <w:basedOn w:val="DefaultParagraphFont"/>
    <w:link w:val="Heading1"/>
    <w:rsid w:val="00D56B33"/>
    <w:rPr>
      <w:rFonts w:ascii="Times New Roman" w:eastAsia="Times New Roman" w:hAnsi="Times New Roman" w:cs="Times New Roman"/>
      <w:b/>
      <w:sz w:val="32"/>
      <w:szCs w:val="20"/>
      <w:lang w:eastAsia="en-US"/>
    </w:rPr>
  </w:style>
  <w:style w:type="paragraph" w:styleId="BodyText">
    <w:name w:val="Body Text"/>
    <w:basedOn w:val="Normal"/>
    <w:link w:val="BodyTextChar"/>
    <w:rsid w:val="00D56B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B33"/>
    <w:rPr>
      <w:rFonts w:ascii="Times New Roman" w:eastAsia="Times New Roman" w:hAnsi="Times New Roman" w:cs="Times New Roman"/>
      <w:sz w:val="24"/>
      <w:lang w:eastAsia="en-US"/>
    </w:rPr>
  </w:style>
  <w:style w:type="paragraph" w:styleId="ListBullet">
    <w:name w:val="List Bullet"/>
    <w:basedOn w:val="List"/>
    <w:rsid w:val="00D56B33"/>
    <w:pPr>
      <w:numPr>
        <w:numId w:val="13"/>
      </w:numPr>
      <w:tabs>
        <w:tab w:val="clear" w:pos="340"/>
      </w:tabs>
      <w:spacing w:before="40" w:after="40"/>
    </w:pPr>
  </w:style>
  <w:style w:type="character" w:customStyle="1" w:styleId="SpecialBold">
    <w:name w:val="Special Bold"/>
    <w:basedOn w:val="DefaultParagraphFont"/>
    <w:rsid w:val="00D56B33"/>
    <w:rPr>
      <w:b/>
      <w:spacing w:val="0"/>
    </w:rPr>
  </w:style>
  <w:style w:type="paragraph" w:styleId="ListBullet2">
    <w:name w:val="List Bullet 2"/>
    <w:basedOn w:val="List2"/>
    <w:rsid w:val="00D56B33"/>
    <w:pPr>
      <w:numPr>
        <w:numId w:val="14"/>
      </w:numPr>
      <w:tabs>
        <w:tab w:val="clear" w:pos="680"/>
      </w:tabs>
    </w:pPr>
  </w:style>
  <w:style w:type="paragraph" w:customStyle="1" w:styleId="SuperHeading">
    <w:name w:val="SuperHeading"/>
    <w:basedOn w:val="Normal"/>
    <w:rsid w:val="00D56B33"/>
    <w:pPr>
      <w:spacing w:before="240" w:after="120"/>
      <w:outlineLvl w:val="0"/>
    </w:pPr>
    <w:rPr>
      <w:rFonts w:ascii="Times New Roman" w:hAnsi="Times New Roman"/>
      <w:b/>
      <w:sz w:val="32"/>
    </w:rPr>
  </w:style>
  <w:style w:type="paragraph" w:customStyle="1" w:styleId="AllowPageBreak">
    <w:name w:val="AllowPageBreak"/>
    <w:rsid w:val="00D56B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6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B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B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B33"/>
    <w:rPr>
      <w:rFonts w:ascii="Courier New" w:eastAsia="Times New Roman" w:hAnsi="Courier New" w:cs="Times New Roman"/>
      <w:i/>
      <w:szCs w:val="20"/>
      <w:lang w:eastAsia="en-US"/>
    </w:rPr>
  </w:style>
  <w:style w:type="paragraph" w:customStyle="1" w:styleId="HeadingBase">
    <w:name w:val="Heading Base"/>
    <w:rsid w:val="00D56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B33"/>
    <w:pPr>
      <w:tabs>
        <w:tab w:val="right" w:leader="dot" w:pos="9072"/>
      </w:tabs>
      <w:ind w:left="567"/>
    </w:pPr>
    <w:rPr>
      <w:szCs w:val="22"/>
    </w:rPr>
  </w:style>
  <w:style w:type="paragraph" w:customStyle="1" w:styleId="TOCBase">
    <w:name w:val="TOC Base"/>
    <w:rsid w:val="00D56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B33"/>
    <w:pPr>
      <w:tabs>
        <w:tab w:val="right" w:leader="dot" w:pos="9072"/>
      </w:tabs>
      <w:spacing w:before="40" w:after="40"/>
      <w:ind w:left="284"/>
    </w:pPr>
    <w:rPr>
      <w:rFonts w:ascii="Times New Roman" w:hAnsi="Times New Roman"/>
    </w:rPr>
  </w:style>
  <w:style w:type="paragraph" w:styleId="TOC1">
    <w:name w:val="toc 1"/>
    <w:basedOn w:val="TOCBase"/>
    <w:next w:val="Normal"/>
    <w:rsid w:val="00D56B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B33"/>
    <w:rPr>
      <w:rFonts w:ascii="Times New Roman" w:eastAsia="Times New Roman" w:hAnsi="Times New Roman" w:cs="Times New Roman"/>
      <w:sz w:val="16"/>
      <w:lang w:eastAsia="en-US"/>
    </w:rPr>
  </w:style>
  <w:style w:type="paragraph" w:styleId="Title">
    <w:name w:val="Title"/>
    <w:basedOn w:val="HeadingBase"/>
    <w:link w:val="TitleChar"/>
    <w:qFormat/>
    <w:rsid w:val="00D56B33"/>
    <w:pPr>
      <w:spacing w:before="5040"/>
      <w:jc w:val="center"/>
    </w:pPr>
    <w:rPr>
      <w:sz w:val="48"/>
      <w:szCs w:val="72"/>
      <w:lang w:val="en-US"/>
    </w:rPr>
  </w:style>
  <w:style w:type="character" w:customStyle="1" w:styleId="TitleChar">
    <w:name w:val="Title Char"/>
    <w:basedOn w:val="DefaultParagraphFont"/>
    <w:link w:val="Title"/>
    <w:rsid w:val="00D56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B33"/>
    <w:pPr>
      <w:tabs>
        <w:tab w:val="left" w:pos="3600"/>
        <w:tab w:val="left" w:pos="3958"/>
      </w:tabs>
    </w:pPr>
  </w:style>
  <w:style w:type="paragraph" w:styleId="List">
    <w:name w:val="List"/>
    <w:basedOn w:val="BodyText"/>
    <w:next w:val="BodyText"/>
    <w:rsid w:val="00D56B33"/>
    <w:pPr>
      <w:tabs>
        <w:tab w:val="left" w:pos="340"/>
      </w:tabs>
      <w:spacing w:before="60" w:after="60"/>
      <w:ind w:left="340" w:hanging="340"/>
    </w:pPr>
  </w:style>
  <w:style w:type="paragraph" w:customStyle="1" w:styleId="Note">
    <w:name w:val="Note"/>
    <w:basedOn w:val="BodyText"/>
    <w:rsid w:val="00D56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B33"/>
    <w:pPr>
      <w:framePr w:wrap="auto" w:hAnchor="text" w:y="6049"/>
    </w:pPr>
    <w:rPr>
      <w:color w:val="000000"/>
      <w:sz w:val="40"/>
    </w:rPr>
  </w:style>
  <w:style w:type="paragraph" w:customStyle="1" w:styleId="TOCTitle">
    <w:name w:val="TOCTitle"/>
    <w:basedOn w:val="Heading1"/>
    <w:rsid w:val="00D56B33"/>
    <w:pPr>
      <w:spacing w:after="240"/>
      <w:jc w:val="center"/>
      <w:outlineLvl w:val="9"/>
    </w:pPr>
    <w:rPr>
      <w:caps/>
    </w:rPr>
  </w:style>
  <w:style w:type="paragraph" w:customStyle="1" w:styleId="Version">
    <w:name w:val="Version"/>
    <w:rsid w:val="00D56B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B33"/>
    <w:pPr>
      <w:keepNext w:val="0"/>
      <w:tabs>
        <w:tab w:val="right" w:pos="4176"/>
      </w:tabs>
      <w:ind w:left="198" w:hanging="198"/>
    </w:pPr>
    <w:rPr>
      <w:rFonts w:ascii="Garamond" w:hAnsi="Garamond"/>
    </w:rPr>
  </w:style>
  <w:style w:type="paragraph" w:styleId="IndexHeading">
    <w:name w:val="index heading"/>
    <w:basedOn w:val="Normal"/>
    <w:next w:val="Index1"/>
    <w:semiHidden/>
    <w:rsid w:val="00D56B33"/>
    <w:pPr>
      <w:spacing w:before="120" w:after="120"/>
    </w:pPr>
    <w:rPr>
      <w:rFonts w:ascii="Arial" w:hAnsi="Arial"/>
      <w:b/>
      <w:color w:val="918585"/>
      <w:sz w:val="24"/>
    </w:rPr>
  </w:style>
  <w:style w:type="paragraph" w:styleId="Header">
    <w:name w:val="header"/>
    <w:basedOn w:val="Normal"/>
    <w:link w:val="HeaderChar"/>
    <w:rsid w:val="00D56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B33"/>
    <w:rPr>
      <w:rFonts w:ascii="Times New Roman" w:eastAsia="Times New Roman" w:hAnsi="Times New Roman" w:cs="Times New Roman"/>
      <w:sz w:val="16"/>
      <w:szCs w:val="20"/>
      <w:lang w:val="en-GB" w:eastAsia="en-US"/>
    </w:rPr>
  </w:style>
  <w:style w:type="paragraph" w:customStyle="1" w:styleId="Chapter">
    <w:name w:val="Chapter"/>
    <w:basedOn w:val="Normal"/>
    <w:rsid w:val="00D56B33"/>
    <w:pPr>
      <w:spacing w:before="240"/>
    </w:pPr>
    <w:rPr>
      <w:rFonts w:ascii="Times New Roman" w:hAnsi="Times New Roman"/>
      <w:smallCaps/>
      <w:spacing w:val="80"/>
      <w:sz w:val="28"/>
    </w:rPr>
  </w:style>
  <w:style w:type="paragraph" w:customStyle="1" w:styleId="InChapter">
    <w:name w:val="InChapter"/>
    <w:basedOn w:val="Heading3"/>
    <w:rsid w:val="00D56B33"/>
    <w:pPr>
      <w:spacing w:after="240"/>
      <w:outlineLvl w:val="9"/>
    </w:pPr>
    <w:rPr>
      <w:noProof/>
    </w:rPr>
  </w:style>
  <w:style w:type="paragraph" w:styleId="Index2">
    <w:name w:val="index 2"/>
    <w:basedOn w:val="Normal"/>
    <w:next w:val="Normal"/>
    <w:semiHidden/>
    <w:rsid w:val="00D56B33"/>
    <w:pPr>
      <w:tabs>
        <w:tab w:val="right" w:pos="4176"/>
      </w:tabs>
      <w:ind w:left="568" w:hanging="284"/>
    </w:pPr>
    <w:rPr>
      <w:rFonts w:ascii="Garamond" w:hAnsi="Garamond"/>
    </w:rPr>
  </w:style>
  <w:style w:type="paragraph" w:customStyle="1" w:styleId="Byline">
    <w:name w:val="Byline"/>
    <w:rsid w:val="00D56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B33"/>
    <w:pPr>
      <w:tabs>
        <w:tab w:val="clear" w:pos="3600"/>
        <w:tab w:val="clear" w:pos="3958"/>
      </w:tabs>
      <w:jc w:val="right"/>
    </w:pPr>
  </w:style>
  <w:style w:type="character" w:styleId="Emphasis">
    <w:name w:val="Emphasis"/>
    <w:basedOn w:val="DefaultParagraphFont"/>
    <w:qFormat/>
    <w:rsid w:val="00D56B33"/>
    <w:rPr>
      <w:i/>
    </w:rPr>
  </w:style>
  <w:style w:type="paragraph" w:styleId="Caption">
    <w:name w:val="caption"/>
    <w:basedOn w:val="BodyText"/>
    <w:next w:val="Normal"/>
    <w:qFormat/>
    <w:rsid w:val="00D56B33"/>
    <w:pPr>
      <w:framePr w:w="2268" w:hSpace="181" w:vSpace="181" w:wrap="around" w:vAnchor="text" w:hAnchor="page" w:x="1135" w:y="285" w:anchorLock="1"/>
    </w:pPr>
    <w:rPr>
      <w:i/>
    </w:rPr>
  </w:style>
  <w:style w:type="paragraph" w:customStyle="1" w:styleId="MiniTOCTitle">
    <w:name w:val="MiniTOCTitle"/>
    <w:basedOn w:val="Heading4"/>
    <w:rsid w:val="00D56B33"/>
    <w:pPr>
      <w:spacing w:before="240"/>
      <w:outlineLvl w:val="9"/>
    </w:pPr>
    <w:rPr>
      <w:noProof/>
      <w:sz w:val="24"/>
    </w:rPr>
  </w:style>
  <w:style w:type="paragraph" w:customStyle="1" w:styleId="MiniTOCItem">
    <w:name w:val="MiniTOCItem"/>
    <w:basedOn w:val="ListBullet"/>
    <w:rsid w:val="00D56B33"/>
    <w:pPr>
      <w:numPr>
        <w:numId w:val="0"/>
      </w:numPr>
      <w:tabs>
        <w:tab w:val="right" w:leader="dot" w:pos="6521"/>
      </w:tabs>
      <w:spacing w:before="0" w:after="0"/>
    </w:pPr>
  </w:style>
  <w:style w:type="paragraph" w:customStyle="1" w:styleId="TOFTitle">
    <w:name w:val="TOFTitle"/>
    <w:basedOn w:val="TOCTitle"/>
    <w:rsid w:val="00D56B33"/>
  </w:style>
  <w:style w:type="paragraph" w:styleId="TableofFigures">
    <w:name w:val="table of figures"/>
    <w:basedOn w:val="Normal"/>
    <w:next w:val="Normal"/>
    <w:semiHidden/>
    <w:rsid w:val="00D56B33"/>
    <w:pPr>
      <w:tabs>
        <w:tab w:val="right" w:leader="dot" w:pos="9072"/>
      </w:tabs>
      <w:ind w:left="970" w:hanging="403"/>
    </w:pPr>
    <w:rPr>
      <w:rFonts w:ascii="Times New Roman" w:hAnsi="Times New Roman"/>
      <w:b/>
    </w:rPr>
  </w:style>
  <w:style w:type="paragraph" w:styleId="ListNumber">
    <w:name w:val="List Number"/>
    <w:basedOn w:val="List"/>
    <w:rsid w:val="00D56B33"/>
    <w:pPr>
      <w:numPr>
        <w:numId w:val="11"/>
      </w:numPr>
    </w:pPr>
  </w:style>
  <w:style w:type="character" w:customStyle="1" w:styleId="WingdingSymbols">
    <w:name w:val="Wingding Symbols"/>
    <w:rsid w:val="00D56B33"/>
    <w:rPr>
      <w:rFonts w:ascii="Wingdings" w:hAnsi="Wingdings"/>
    </w:rPr>
  </w:style>
  <w:style w:type="paragraph" w:customStyle="1" w:styleId="TableHeading">
    <w:name w:val="Table Heading"/>
    <w:basedOn w:val="HeadingBase"/>
    <w:rsid w:val="00D56B33"/>
    <w:pPr>
      <w:keepLines/>
      <w:pBdr>
        <w:bottom w:val="single" w:sz="6" w:space="1" w:color="918585"/>
      </w:pBdr>
      <w:spacing w:before="240"/>
    </w:pPr>
  </w:style>
  <w:style w:type="character" w:customStyle="1" w:styleId="HotSpot">
    <w:name w:val="HotSpot"/>
    <w:rsid w:val="00D56B33"/>
    <w:rPr>
      <w:color w:val="0033CC"/>
      <w:u w:val="none"/>
    </w:rPr>
  </w:style>
  <w:style w:type="paragraph" w:customStyle="1" w:styleId="BodyTextRight">
    <w:name w:val="Body Text Right"/>
    <w:basedOn w:val="BodyText"/>
    <w:rsid w:val="00D56B33"/>
    <w:pPr>
      <w:spacing w:before="0" w:after="0"/>
      <w:jc w:val="right"/>
    </w:pPr>
  </w:style>
  <w:style w:type="paragraph" w:styleId="Index3">
    <w:name w:val="index 3"/>
    <w:basedOn w:val="ListNumber2"/>
    <w:next w:val="Normal"/>
    <w:semiHidden/>
    <w:rsid w:val="00D56B33"/>
    <w:pPr>
      <w:numPr>
        <w:numId w:val="0"/>
      </w:numPr>
      <w:tabs>
        <w:tab w:val="right" w:leader="dot" w:pos="4176"/>
      </w:tabs>
    </w:pPr>
  </w:style>
  <w:style w:type="paragraph" w:styleId="ListNumber2">
    <w:name w:val="List Number 2"/>
    <w:basedOn w:val="List2"/>
    <w:rsid w:val="00D56B33"/>
    <w:pPr>
      <w:numPr>
        <w:numId w:val="10"/>
      </w:numPr>
      <w:tabs>
        <w:tab w:val="clear" w:pos="1060"/>
      </w:tabs>
    </w:pPr>
  </w:style>
  <w:style w:type="paragraph" w:customStyle="1" w:styleId="MarginNote">
    <w:name w:val="Margin Note"/>
    <w:basedOn w:val="BodyText"/>
    <w:rsid w:val="00D56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B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B33"/>
    <w:rPr>
      <w:sz w:val="32"/>
    </w:rPr>
  </w:style>
  <w:style w:type="paragraph" w:customStyle="1" w:styleId="HeadingProcedure">
    <w:name w:val="Heading Procedure"/>
    <w:basedOn w:val="HeadingBase"/>
    <w:next w:val="Normal"/>
    <w:rsid w:val="00D56B33"/>
    <w:pPr>
      <w:tabs>
        <w:tab w:val="left" w:pos="0"/>
      </w:tabs>
      <w:spacing w:before="120" w:after="60"/>
    </w:pPr>
    <w:rPr>
      <w:i/>
      <w:color w:val="918585"/>
      <w:sz w:val="22"/>
    </w:rPr>
  </w:style>
  <w:style w:type="paragraph" w:customStyle="1" w:styleId="TableBodyText">
    <w:name w:val="Table Body Text"/>
    <w:basedOn w:val="BodyText"/>
    <w:rsid w:val="00D56B33"/>
    <w:pPr>
      <w:spacing w:before="60" w:after="60"/>
    </w:pPr>
  </w:style>
  <w:style w:type="paragraph" w:styleId="ListContinue">
    <w:name w:val="List Continue"/>
    <w:basedOn w:val="List"/>
    <w:rsid w:val="00D56B33"/>
    <w:pPr>
      <w:ind w:firstLine="0"/>
    </w:pPr>
  </w:style>
  <w:style w:type="paragraph" w:customStyle="1" w:styleId="ListNote">
    <w:name w:val="List Note"/>
    <w:basedOn w:val="List"/>
    <w:rsid w:val="00D56B33"/>
    <w:pPr>
      <w:pBdr>
        <w:top w:val="single" w:sz="6" w:space="2" w:color="918585"/>
        <w:bottom w:val="single" w:sz="6" w:space="2" w:color="918585"/>
      </w:pBdr>
      <w:tabs>
        <w:tab w:val="left" w:pos="1021"/>
      </w:tabs>
      <w:ind w:firstLine="0"/>
    </w:pPr>
  </w:style>
  <w:style w:type="paragraph" w:customStyle="1" w:styleId="Warning">
    <w:name w:val="Warning"/>
    <w:basedOn w:val="BodyText"/>
    <w:rsid w:val="00D56B33"/>
    <w:pPr>
      <w:shd w:val="clear" w:color="auto" w:fill="D9D9D9"/>
      <w:tabs>
        <w:tab w:val="left" w:pos="992"/>
      </w:tabs>
      <w:ind w:left="119" w:right="119"/>
    </w:pPr>
    <w:rPr>
      <w:sz w:val="20"/>
    </w:rPr>
  </w:style>
  <w:style w:type="paragraph" w:customStyle="1" w:styleId="MarginIcons">
    <w:name w:val="Margin Icons"/>
    <w:basedOn w:val="BodyText"/>
    <w:rsid w:val="00D56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B33"/>
    <w:rPr>
      <w:rFonts w:ascii="Courier New" w:hAnsi="Courier New"/>
    </w:rPr>
  </w:style>
  <w:style w:type="paragraph" w:customStyle="1" w:styleId="NoteBullet">
    <w:name w:val="Note Bullet"/>
    <w:basedOn w:val="Note"/>
    <w:rsid w:val="00D56B33"/>
    <w:pPr>
      <w:tabs>
        <w:tab w:val="clear" w:pos="680"/>
      </w:tabs>
      <w:spacing w:before="60" w:after="60"/>
    </w:pPr>
  </w:style>
  <w:style w:type="paragraph" w:customStyle="1" w:styleId="SubHeading2">
    <w:name w:val="SubHeading2"/>
    <w:basedOn w:val="HeadingBase"/>
    <w:rsid w:val="00D56B33"/>
    <w:pPr>
      <w:spacing w:before="240" w:after="60"/>
    </w:pPr>
    <w:rPr>
      <w:sz w:val="20"/>
    </w:rPr>
  </w:style>
  <w:style w:type="paragraph" w:customStyle="1" w:styleId="SubHeading1">
    <w:name w:val="SubHeading1"/>
    <w:basedOn w:val="HeadingBase"/>
    <w:rsid w:val="00D56B33"/>
    <w:pPr>
      <w:spacing w:before="240" w:after="60"/>
    </w:pPr>
    <w:rPr>
      <w:color w:val="918585"/>
      <w:sz w:val="22"/>
    </w:rPr>
  </w:style>
  <w:style w:type="paragraph" w:customStyle="1" w:styleId="SideHeading">
    <w:name w:val="Side Heading"/>
    <w:basedOn w:val="HeadingBase"/>
    <w:rsid w:val="00D56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B33"/>
    <w:pPr>
      <w:numPr>
        <w:numId w:val="12"/>
      </w:numPr>
    </w:pPr>
  </w:style>
  <w:style w:type="paragraph" w:styleId="PlainText">
    <w:name w:val="Plain Text"/>
    <w:basedOn w:val="Normal"/>
    <w:link w:val="PlainTextChar"/>
    <w:rsid w:val="00D56B33"/>
    <w:rPr>
      <w:sz w:val="20"/>
    </w:rPr>
  </w:style>
  <w:style w:type="character" w:customStyle="1" w:styleId="PlainTextChar">
    <w:name w:val="Plain Text Char"/>
    <w:basedOn w:val="DefaultParagraphFont"/>
    <w:link w:val="PlainText"/>
    <w:rsid w:val="00D56B33"/>
    <w:rPr>
      <w:rFonts w:ascii="Courier New" w:eastAsia="Times New Roman" w:hAnsi="Courier New" w:cs="Times New Roman"/>
      <w:sz w:val="20"/>
      <w:szCs w:val="20"/>
      <w:lang w:eastAsia="en-US"/>
    </w:rPr>
  </w:style>
  <w:style w:type="character" w:customStyle="1" w:styleId="MenuOption">
    <w:name w:val="Menu Option"/>
    <w:basedOn w:val="DefaultParagraphFont"/>
    <w:rsid w:val="00D56B33"/>
    <w:rPr>
      <w:b/>
      <w:smallCaps/>
    </w:rPr>
  </w:style>
  <w:style w:type="paragraph" w:customStyle="1" w:styleId="TableListNumber">
    <w:name w:val="Table List Number"/>
    <w:basedOn w:val="ListNumber"/>
    <w:rsid w:val="00D56B33"/>
    <w:pPr>
      <w:numPr>
        <w:numId w:val="0"/>
      </w:numPr>
    </w:pPr>
  </w:style>
  <w:style w:type="paragraph" w:styleId="TOC4">
    <w:name w:val="toc 4"/>
    <w:basedOn w:val="TOCBase"/>
    <w:next w:val="Normal"/>
    <w:semiHidden/>
    <w:rsid w:val="00D56B33"/>
    <w:pPr>
      <w:tabs>
        <w:tab w:val="right" w:leader="dot" w:pos="9071"/>
      </w:tabs>
      <w:ind w:left="1701"/>
    </w:pPr>
  </w:style>
  <w:style w:type="paragraph" w:customStyle="1" w:styleId="ListAlpha">
    <w:name w:val="List Alpha"/>
    <w:basedOn w:val="List"/>
    <w:rsid w:val="00D56B33"/>
    <w:pPr>
      <w:numPr>
        <w:numId w:val="9"/>
      </w:numPr>
    </w:pPr>
  </w:style>
  <w:style w:type="paragraph" w:customStyle="1" w:styleId="ListAlpha2">
    <w:name w:val="List Alpha 2"/>
    <w:basedOn w:val="List2"/>
    <w:rsid w:val="00D56B33"/>
    <w:pPr>
      <w:numPr>
        <w:numId w:val="8"/>
      </w:numPr>
    </w:pPr>
  </w:style>
  <w:style w:type="paragraph" w:styleId="List2">
    <w:name w:val="List 2"/>
    <w:basedOn w:val="BodyText"/>
    <w:rsid w:val="00D56B33"/>
    <w:pPr>
      <w:tabs>
        <w:tab w:val="left" w:pos="680"/>
      </w:tabs>
      <w:spacing w:before="60" w:after="60"/>
      <w:ind w:left="680" w:hanging="340"/>
    </w:pPr>
  </w:style>
  <w:style w:type="paragraph" w:styleId="List3">
    <w:name w:val="List 3"/>
    <w:basedOn w:val="BodyText"/>
    <w:rsid w:val="00D56B33"/>
    <w:pPr>
      <w:tabs>
        <w:tab w:val="left" w:pos="1021"/>
      </w:tabs>
      <w:spacing w:before="60" w:after="60"/>
      <w:ind w:left="1020" w:hanging="340"/>
    </w:pPr>
  </w:style>
  <w:style w:type="paragraph" w:styleId="List4">
    <w:name w:val="List 4"/>
    <w:basedOn w:val="BodyText"/>
    <w:rsid w:val="00D56B33"/>
    <w:pPr>
      <w:tabs>
        <w:tab w:val="left" w:pos="1361"/>
      </w:tabs>
      <w:spacing w:before="60" w:after="60"/>
      <w:ind w:left="1361" w:hanging="340"/>
    </w:pPr>
  </w:style>
  <w:style w:type="paragraph" w:styleId="List5">
    <w:name w:val="List 5"/>
    <w:basedOn w:val="BodyText"/>
    <w:rsid w:val="00D56B33"/>
    <w:pPr>
      <w:tabs>
        <w:tab w:val="left" w:pos="1701"/>
      </w:tabs>
      <w:spacing w:before="60" w:after="60"/>
      <w:ind w:left="1701" w:hanging="340"/>
    </w:pPr>
  </w:style>
  <w:style w:type="paragraph" w:styleId="ListBullet3">
    <w:name w:val="List Bullet 3"/>
    <w:basedOn w:val="List3"/>
    <w:rsid w:val="00D56B33"/>
    <w:pPr>
      <w:numPr>
        <w:numId w:val="15"/>
      </w:numPr>
      <w:tabs>
        <w:tab w:val="clear" w:pos="1021"/>
      </w:tabs>
      <w:ind w:left="1037" w:hanging="357"/>
    </w:pPr>
  </w:style>
  <w:style w:type="paragraph" w:styleId="ListBullet4">
    <w:name w:val="List Bullet 4"/>
    <w:basedOn w:val="List4"/>
    <w:rsid w:val="00D56B33"/>
    <w:pPr>
      <w:numPr>
        <w:numId w:val="3"/>
      </w:numPr>
    </w:pPr>
  </w:style>
  <w:style w:type="paragraph" w:styleId="ListBullet5">
    <w:name w:val="List Bullet 5"/>
    <w:basedOn w:val="List5"/>
    <w:rsid w:val="00D56B33"/>
    <w:pPr>
      <w:numPr>
        <w:numId w:val="4"/>
      </w:numPr>
    </w:pPr>
  </w:style>
  <w:style w:type="paragraph" w:styleId="ListContinue2">
    <w:name w:val="List Continue 2"/>
    <w:basedOn w:val="List2"/>
    <w:rsid w:val="00D56B33"/>
    <w:pPr>
      <w:ind w:firstLine="0"/>
    </w:pPr>
  </w:style>
  <w:style w:type="paragraph" w:styleId="ListContinue3">
    <w:name w:val="List Continue 3"/>
    <w:basedOn w:val="List3"/>
    <w:rsid w:val="00D56B33"/>
    <w:pPr>
      <w:ind w:left="1021" w:firstLine="0"/>
    </w:pPr>
  </w:style>
  <w:style w:type="paragraph" w:styleId="ListContinue4">
    <w:name w:val="List Continue 4"/>
    <w:basedOn w:val="List4"/>
    <w:rsid w:val="00D56B33"/>
    <w:pPr>
      <w:ind w:firstLine="0"/>
    </w:pPr>
  </w:style>
  <w:style w:type="paragraph" w:styleId="ListContinue5">
    <w:name w:val="List Continue 5"/>
    <w:basedOn w:val="List5"/>
    <w:rsid w:val="00D56B33"/>
    <w:pPr>
      <w:ind w:firstLine="0"/>
    </w:pPr>
  </w:style>
  <w:style w:type="paragraph" w:styleId="ListNumber3">
    <w:name w:val="List Number 3"/>
    <w:basedOn w:val="List3"/>
    <w:rsid w:val="00D56B33"/>
    <w:pPr>
      <w:numPr>
        <w:numId w:val="5"/>
      </w:numPr>
    </w:pPr>
  </w:style>
  <w:style w:type="paragraph" w:styleId="ListNumber4">
    <w:name w:val="List Number 4"/>
    <w:basedOn w:val="List4"/>
    <w:rsid w:val="00D56B33"/>
    <w:pPr>
      <w:numPr>
        <w:numId w:val="6"/>
      </w:numPr>
    </w:pPr>
  </w:style>
  <w:style w:type="paragraph" w:styleId="ListNumber5">
    <w:name w:val="List Number 5"/>
    <w:basedOn w:val="List5"/>
    <w:rsid w:val="00D56B33"/>
    <w:pPr>
      <w:numPr>
        <w:numId w:val="7"/>
      </w:numPr>
    </w:pPr>
  </w:style>
  <w:style w:type="paragraph" w:styleId="BlockText">
    <w:name w:val="Block Text"/>
    <w:basedOn w:val="Normal"/>
    <w:rsid w:val="00D56B33"/>
    <w:pPr>
      <w:spacing w:after="120"/>
      <w:ind w:left="1440" w:right="1440"/>
    </w:pPr>
  </w:style>
  <w:style w:type="character" w:customStyle="1" w:styleId="Subscript">
    <w:name w:val="Subscript"/>
    <w:basedOn w:val="DefaultParagraphFont"/>
    <w:rsid w:val="00D56B33"/>
    <w:rPr>
      <w:sz w:val="16"/>
      <w:vertAlign w:val="subscript"/>
    </w:rPr>
  </w:style>
  <w:style w:type="character" w:customStyle="1" w:styleId="Superscript">
    <w:name w:val="Superscript"/>
    <w:basedOn w:val="DefaultParagraphFont"/>
    <w:rsid w:val="00D56B33"/>
    <w:rPr>
      <w:sz w:val="16"/>
      <w:vertAlign w:val="superscript"/>
    </w:rPr>
  </w:style>
  <w:style w:type="character" w:customStyle="1" w:styleId="Symbols">
    <w:name w:val="Symbols"/>
    <w:basedOn w:val="DefaultParagraphFont"/>
    <w:rsid w:val="00D56B33"/>
    <w:rPr>
      <w:rFonts w:ascii="Symbol" w:hAnsi="Symbol"/>
    </w:rPr>
  </w:style>
  <w:style w:type="character" w:customStyle="1" w:styleId="MenuOptions">
    <w:name w:val="Menu Options"/>
    <w:basedOn w:val="DefaultParagraphFont"/>
    <w:rsid w:val="00D56B33"/>
    <w:rPr>
      <w:rFonts w:ascii="Arial Narrow" w:hAnsi="Arial Narrow"/>
      <w:smallCaps/>
    </w:rPr>
  </w:style>
  <w:style w:type="character" w:customStyle="1" w:styleId="Buttons">
    <w:name w:val="Buttons"/>
    <w:basedOn w:val="DefaultParagraphFont"/>
    <w:rsid w:val="00D56B33"/>
    <w:rPr>
      <w:b/>
    </w:rPr>
  </w:style>
  <w:style w:type="character" w:customStyle="1" w:styleId="Underlined">
    <w:name w:val="Underlined"/>
    <w:basedOn w:val="DefaultParagraphFont"/>
    <w:rsid w:val="00D56B33"/>
    <w:rPr>
      <w:u w:val="single"/>
    </w:rPr>
  </w:style>
  <w:style w:type="paragraph" w:customStyle="1" w:styleId="TableBodyTextRight">
    <w:name w:val="Table Body Text Right"/>
    <w:basedOn w:val="TableBodyText"/>
    <w:rsid w:val="00D56B33"/>
    <w:pPr>
      <w:widowControl w:val="0"/>
      <w:autoSpaceDE w:val="0"/>
      <w:autoSpaceDN w:val="0"/>
      <w:adjustRightInd w:val="0"/>
      <w:jc w:val="right"/>
    </w:pPr>
    <w:rPr>
      <w:rFonts w:cs="Arial"/>
      <w:szCs w:val="18"/>
    </w:rPr>
  </w:style>
  <w:style w:type="paragraph" w:customStyle="1" w:styleId="CopyrightText">
    <w:name w:val="Copyright Text"/>
    <w:basedOn w:val="BodyText"/>
    <w:rsid w:val="00D56B33"/>
    <w:rPr>
      <w:sz w:val="18"/>
    </w:rPr>
  </w:style>
  <w:style w:type="paragraph" w:customStyle="1" w:styleId="BodySmallRight">
    <w:name w:val="Body Small Right"/>
    <w:basedOn w:val="BodyTextRight"/>
    <w:rsid w:val="00D56B33"/>
    <w:rPr>
      <w:sz w:val="18"/>
      <w:szCs w:val="18"/>
    </w:rPr>
  </w:style>
  <w:style w:type="paragraph" w:customStyle="1" w:styleId="MarginEdition">
    <w:name w:val="Margin Edition"/>
    <w:basedOn w:val="MarginNote"/>
    <w:rsid w:val="00D56B33"/>
    <w:pPr>
      <w:spacing w:before="0" w:after="0"/>
    </w:pPr>
    <w:rPr>
      <w:rFonts w:ascii="Times New Roman" w:hAnsi="Times New Roman"/>
      <w:color w:val="999999"/>
    </w:rPr>
  </w:style>
  <w:style w:type="paragraph" w:customStyle="1" w:styleId="Spacer">
    <w:name w:val="Spacer"/>
    <w:basedOn w:val="Normal"/>
    <w:rsid w:val="00D56B33"/>
    <w:rPr>
      <w:sz w:val="2"/>
      <w:szCs w:val="2"/>
    </w:rPr>
  </w:style>
  <w:style w:type="character" w:customStyle="1" w:styleId="Small">
    <w:name w:val="Small"/>
    <w:basedOn w:val="DefaultParagraphFont"/>
    <w:rsid w:val="00D56B33"/>
    <w:rPr>
      <w:sz w:val="16"/>
    </w:rPr>
  </w:style>
  <w:style w:type="paragraph" w:customStyle="1" w:styleId="WideTable">
    <w:name w:val="Wide Table"/>
    <w:basedOn w:val="Normal"/>
    <w:rsid w:val="00D56B33"/>
    <w:pPr>
      <w:ind w:left="-1418"/>
    </w:pPr>
    <w:rPr>
      <w:sz w:val="2"/>
      <w:szCs w:val="2"/>
    </w:rPr>
  </w:style>
  <w:style w:type="character" w:styleId="PageNumber">
    <w:name w:val="page number"/>
    <w:basedOn w:val="DefaultParagraphFont"/>
    <w:rsid w:val="00D56B33"/>
  </w:style>
  <w:style w:type="paragraph" w:styleId="Quote">
    <w:name w:val="Quote"/>
    <w:basedOn w:val="Heading1"/>
    <w:link w:val="QuoteChar"/>
    <w:qFormat/>
    <w:rsid w:val="00D56B33"/>
    <w:rPr>
      <w:b w:val="0"/>
      <w:sz w:val="72"/>
      <w:szCs w:val="72"/>
      <w:lang w:val="en-NZ"/>
    </w:rPr>
  </w:style>
  <w:style w:type="character" w:customStyle="1" w:styleId="QuoteChar">
    <w:name w:val="Quote Char"/>
    <w:basedOn w:val="DefaultParagraphFont"/>
    <w:link w:val="Quote"/>
    <w:rsid w:val="00D56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B33"/>
    <w:pPr>
      <w:pageBreakBefore/>
    </w:pPr>
  </w:style>
  <w:style w:type="paragraph" w:customStyle="1" w:styleId="Border">
    <w:name w:val="Border"/>
    <w:basedOn w:val="Normal"/>
    <w:qFormat/>
    <w:rsid w:val="00D56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B33"/>
    <w:rPr>
      <w:b/>
      <w:bCs/>
      <w:i/>
      <w:iCs/>
      <w:color w:val="auto"/>
    </w:rPr>
  </w:style>
  <w:style w:type="paragraph" w:styleId="IntenseQuote">
    <w:name w:val="Intense Quote"/>
    <w:basedOn w:val="Normal"/>
    <w:next w:val="Normal"/>
    <w:link w:val="IntenseQuoteChar"/>
    <w:uiPriority w:val="30"/>
    <w:qFormat/>
    <w:rsid w:val="00D56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B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B33"/>
    <w:rPr>
      <w:smallCaps/>
      <w:color w:val="auto"/>
      <w:u w:val="single"/>
    </w:rPr>
  </w:style>
  <w:style w:type="character" w:styleId="IntenseReference">
    <w:name w:val="Intense Reference"/>
    <w:basedOn w:val="DefaultParagraphFont"/>
    <w:uiPriority w:val="32"/>
    <w:qFormat/>
    <w:rsid w:val="00D56B33"/>
    <w:rPr>
      <w:b/>
      <w:bCs/>
      <w:smallCaps/>
      <w:color w:val="auto"/>
      <w:spacing w:val="5"/>
      <w:u w:val="single"/>
    </w:rPr>
  </w:style>
  <w:style w:type="paragraph" w:customStyle="1" w:styleId="2ColumnHeading">
    <w:name w:val="2Column Heading"/>
    <w:basedOn w:val="BodyText"/>
    <w:qFormat/>
    <w:rsid w:val="00D56B33"/>
    <w:pPr>
      <w:spacing w:after="60"/>
      <w:ind w:left="-2268"/>
    </w:pPr>
    <w:rPr>
      <w:b/>
    </w:rPr>
  </w:style>
  <w:style w:type="paragraph" w:customStyle="1" w:styleId="Heading1TOC">
    <w:name w:val="Heading1 TOC"/>
    <w:basedOn w:val="Normal"/>
    <w:qFormat/>
    <w:rsid w:val="00D56B33"/>
    <w:pPr>
      <w:spacing w:before="240" w:after="120"/>
    </w:pPr>
    <w:rPr>
      <w:rFonts w:ascii="Times New Roman" w:hAnsi="Times New Roman"/>
      <w:b/>
      <w:sz w:val="32"/>
    </w:rPr>
  </w:style>
  <w:style w:type="paragraph" w:customStyle="1" w:styleId="Heading2TOC">
    <w:name w:val="Heading2 TOC"/>
    <w:basedOn w:val="Normal"/>
    <w:qFormat/>
    <w:rsid w:val="00D56B33"/>
    <w:pPr>
      <w:spacing w:before="240" w:after="60"/>
    </w:pPr>
    <w:rPr>
      <w:rFonts w:ascii="Times New Roman" w:hAnsi="Times New Roman"/>
      <w:b/>
      <w:sz w:val="28"/>
    </w:rPr>
  </w:style>
  <w:style w:type="character" w:customStyle="1" w:styleId="Underline">
    <w:name w:val="Underline"/>
    <w:basedOn w:val="DefaultParagraphFont"/>
    <w:qFormat/>
    <w:rsid w:val="00D56B33"/>
    <w:rPr>
      <w:u w:val="single"/>
    </w:rPr>
  </w:style>
  <w:style w:type="character" w:customStyle="1" w:styleId="BoldandItalics">
    <w:name w:val="Bold and Italics"/>
    <w:qFormat/>
    <w:rsid w:val="00D56B33"/>
    <w:rPr>
      <w:b/>
      <w:i/>
      <w:u w:val="none"/>
    </w:rPr>
  </w:style>
  <w:style w:type="paragraph" w:styleId="BalloonText">
    <w:name w:val="Balloon Text"/>
    <w:basedOn w:val="Normal"/>
    <w:link w:val="BalloonTextChar"/>
    <w:rsid w:val="00D56B33"/>
    <w:rPr>
      <w:rFonts w:ascii="Tahoma" w:hAnsi="Tahoma" w:cs="Tahoma"/>
      <w:sz w:val="16"/>
      <w:szCs w:val="16"/>
    </w:rPr>
  </w:style>
  <w:style w:type="character" w:customStyle="1" w:styleId="BalloonTextChar">
    <w:name w:val="Balloon Text Char"/>
    <w:basedOn w:val="DefaultParagraphFont"/>
    <w:link w:val="BalloonText"/>
    <w:rsid w:val="00D56B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B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B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B33"/>
    <w:rPr>
      <w:b/>
      <w:color w:val="660033"/>
      <w:spacing w:val="0"/>
    </w:rPr>
  </w:style>
  <w:style w:type="paragraph" w:customStyle="1" w:styleId="Nameditemlist">
    <w:name w:val="Named item list"/>
    <w:basedOn w:val="BodyText"/>
    <w:qFormat/>
    <w:rsid w:val="00D56B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2207</Words>
  <Characters>13532</Characters>
  <Application>Microsoft Office Word</Application>
  <DocSecurity>0</DocSecurity>
  <Lines>575</Lines>
  <Paragraphs>233</Paragraphs>
  <ScaleCrop>false</ScaleCrop>
  <Company>Author-it Software Corporation Ltd.</Company>
  <LinksUpToDate>false</LinksUpToDate>
  <CharactersWithSpaces>15622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UEENEEJ147A Audit energy use for commercial HVAC/Refrigeration systems</dc:title>
  <dc:subject>Approved</dc:subject>
  <dc:creator>E-OZ Training Standards</dc:creator>
  <cp:keywords>Release: 3</cp:keywords>
  <dc:description>Review Date: 12 April 2008</dc:description>
  <cp:lastModifiedBy>TPCMS</cp:lastModifiedBy>
  <cp:revision>3</cp:revision>
  <dcterms:created xsi:type="dcterms:W3CDTF">2013-08-14T07:29:00Z</dcterms:created>
  <dcterms:modified xsi:type="dcterms:W3CDTF">2013-08-14T07:29:00Z</dcterms:modified>
</cp:coreProperties>
</file>