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DEE" w:rsidP="00005DEE">
      <w:pPr>
        <w:pStyle w:val="Title"/>
      </w:pPr>
      <w:r>
        <w:fldChar w:fldCharType="begin"/>
      </w:r>
      <w:r>
        <w:instrText xml:space="preserve"> TITLE   \* MERGEFORMAT </w:instrText>
      </w:r>
      <w:r>
        <w:fldChar w:fldCharType="separate"/>
      </w:r>
      <w:r>
        <w:t>UEENEEJ143A Design complex air conditioning systems and select equipment</w:t>
      </w:r>
      <w:r>
        <w:fldChar w:fldCharType="end"/>
      </w:r>
    </w:p>
    <w:p w:rsidR="00005DEE" w:rsidP="00005DEE">
      <w:pPr>
        <w:pStyle w:val="Version"/>
        <w:sectPr w:rsidSect="00054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54342" w:rsidP="00054342">
      <w:pPr>
        <w:pStyle w:val="SuperHeading"/>
      </w:pPr>
      <w:r w:rsidRPr="00054342">
        <w:t>UEENEEJ143A Design complex air conditioning systems and select equipment</w:t>
      </w:r>
    </w:p>
    <w:p w:rsidR="00000000" w:rsidRPr="00054342" w:rsidP="00054342">
      <w:pPr>
        <w:pStyle w:val="Heading1"/>
      </w:pPr>
      <w:bookmarkStart w:id="1" w:name="O_589977"/>
      <w:bookmarkEnd w:id="1"/>
      <w:r w:rsidRPr="00054342">
        <w:t>Modification History</w:t>
      </w:r>
    </w:p>
    <w:p w:rsidR="00000000" w:rsidRPr="00054342" w:rsidP="00054342">
      <w:pPr>
        <w:pStyle w:val="BodyText"/>
      </w:pPr>
      <w:r w:rsidRPr="00054342">
        <w:t>Not Applicable</w:t>
      </w:r>
    </w:p>
    <w:p w:rsidR="00000000" w:rsidRPr="00054342" w:rsidP="00054342">
      <w:pPr>
        <w:pStyle w:val="AllowPageBreak"/>
      </w:pPr>
    </w:p>
    <w:p w:rsidR="00000000" w:rsidRPr="00054342" w:rsidP="00054342">
      <w:pPr>
        <w:pStyle w:val="Heading1"/>
      </w:pPr>
      <w:bookmarkStart w:id="2" w:name="O_589976"/>
      <w:bookmarkEnd w:id="2"/>
      <w:r w:rsidRPr="00054342">
        <w:t>Unit Descriptor</w:t>
      </w:r>
    </w:p>
    <w:tbl>
      <w:tblPr>
        <w:tblW w:w="0" w:type="auto"/>
        <w:tblLayout w:type="fixed"/>
        <w:tblCellMar>
          <w:left w:w="62" w:type="dxa"/>
          <w:right w:w="62" w:type="dxa"/>
        </w:tblCellMar>
        <w:tblLook w:val="0000"/>
      </w:tblPr>
      <w:tblGrid>
        <w:gridCol w:w="2700"/>
        <w:gridCol w:w="5760"/>
      </w:tblGrid>
      <w:tr w:rsidTr="0000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1</w:t>
            </w:r>
            <w:r w:rsidRPr="00054342">
              <w:t xml:space="preserve">) </w:t>
            </w:r>
          </w:p>
          <w:p w:rsidR="00000000" w:rsidP="00054342">
            <w:pPr>
              <w:pStyle w:val="BodyText"/>
              <w:rPr>
                <w:lang w:val="en-NZ"/>
              </w:rPr>
            </w:pPr>
            <w:r w:rsidRPr="00054342">
              <w:rPr>
                <w:rStyle w:val="SpecialBold"/>
              </w:rPr>
              <w:t>1</w:t>
            </w:r>
            <w:r w:rsidRPr="00054342">
              <w:t>.</w:t>
            </w:r>
            <w:r w:rsidRPr="00054342">
              <w:rPr>
                <w:rStyle w:val="SpecialBold"/>
              </w:rPr>
              <w:t>1</w:t>
            </w:r>
            <w:r w:rsidRPr="00054342">
              <w:t xml:space="preserve">) </w:t>
            </w:r>
            <w:r w:rsidRPr="00054342">
              <w:rPr>
                <w:rStyle w:val="SpecialBold"/>
              </w:rPr>
              <w:t>Descriptor</w:t>
            </w:r>
          </w:p>
        </w:tc>
      </w:tr>
      <w:tr w:rsidTr="0000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This unit covers the design of complex air conditioning systems. It encompasses applying knowledge of complex air conditioning systems, safety and regulatory requirements, developing alternative design schemes based on a design brief and customer requireme</w:t>
            </w:r>
            <w:r w:rsidRPr="00054342">
              <w:t>nts and documenting system designs.</w:t>
            </w:r>
          </w:p>
        </w:tc>
      </w:tr>
    </w:tbl>
    <w:p w:rsidR="00005DEE" w:rsidP="00054342">
      <w:pPr>
        <w:pStyle w:val="BodyText"/>
      </w:pPr>
    </w:p>
    <w:p w:rsidR="00005DEE" w:rsidP="00054342">
      <w:pPr>
        <w:pStyle w:val="BodyText"/>
      </w:pPr>
    </w:p>
    <w:p w:rsidR="00000000" w:rsidRPr="00054342" w:rsidP="00054342">
      <w:pPr>
        <w:pStyle w:val="Heading1"/>
      </w:pPr>
      <w:bookmarkStart w:id="3" w:name="O_589975"/>
      <w:bookmarkEnd w:id="3"/>
      <w:r w:rsidRPr="00054342">
        <w:t>Application of the Unit</w:t>
      </w:r>
    </w:p>
    <w:tbl>
      <w:tblPr>
        <w:tblW w:w="0" w:type="auto"/>
        <w:tblLayout w:type="fixed"/>
        <w:tblCellMar>
          <w:left w:w="62" w:type="dxa"/>
          <w:right w:w="62" w:type="dxa"/>
        </w:tblCellMar>
        <w:tblLook w:val="0000"/>
      </w:tblPr>
      <w:tblGrid>
        <w:gridCol w:w="2700"/>
        <w:gridCol w:w="5760"/>
      </w:tblGrid>
      <w:tr w:rsidTr="0000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4</w:t>
            </w:r>
            <w:r w:rsidRPr="00054342">
              <w:t>)</w:t>
            </w:r>
          </w:p>
        </w:tc>
      </w:tr>
      <w:tr w:rsidTr="0000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 xml:space="preserve">This unit is intended to augment formally acquired competencies. It is suitable for employment-based programs under an approved contract of </w:t>
            </w:r>
            <w:r w:rsidRPr="00054342">
              <w:t>training or institutional based delivery. It applies to any formal recognition for this standard at the aligned AQF 6 level.</w:t>
            </w:r>
          </w:p>
        </w:tc>
      </w:tr>
    </w:tbl>
    <w:p w:rsidR="00005DEE" w:rsidP="00054342">
      <w:pPr>
        <w:pStyle w:val="BodyText"/>
      </w:pPr>
    </w:p>
    <w:p w:rsidR="00005DEE" w:rsidP="00054342">
      <w:pPr>
        <w:pStyle w:val="BodyText"/>
      </w:pPr>
    </w:p>
    <w:p w:rsidR="00000000" w:rsidRPr="00054342" w:rsidP="00054342">
      <w:pPr>
        <w:pStyle w:val="Heading1"/>
      </w:pPr>
      <w:bookmarkStart w:id="4" w:name="O_589974"/>
      <w:bookmarkEnd w:id="4"/>
      <w:r w:rsidRPr="00054342">
        <w:t>Licensing/Regulatory Information</w:t>
      </w:r>
    </w:p>
    <w:tbl>
      <w:tblPr>
        <w:tblW w:w="0" w:type="auto"/>
        <w:tblLayout w:type="fixed"/>
        <w:tblCellMar>
          <w:left w:w="62" w:type="dxa"/>
          <w:right w:w="62" w:type="dxa"/>
        </w:tblCellMar>
        <w:tblLook w:val="0000"/>
      </w:tblPr>
      <w:tblGrid>
        <w:gridCol w:w="8460"/>
      </w:tblGrid>
      <w:tr w:rsidTr="00005DE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1</w:t>
            </w:r>
            <w:r w:rsidRPr="00054342">
              <w:t>.</w:t>
            </w:r>
            <w:r w:rsidRPr="00054342">
              <w:rPr>
                <w:rStyle w:val="SpecialBold"/>
              </w:rPr>
              <w:t>2</w:t>
            </w:r>
            <w:r w:rsidRPr="00054342">
              <w:t xml:space="preserve">) </w:t>
            </w:r>
            <w:r w:rsidRPr="00054342">
              <w:rPr>
                <w:rStyle w:val="SpecialBold"/>
              </w:rPr>
              <w:t>License to practice</w:t>
            </w:r>
          </w:p>
        </w:tc>
      </w:tr>
      <w:tr w:rsidTr="00005DE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The skills and knowledge described in this unit do not require a license to practice in the workplace. However, practice in this unit is subject to regulations directly related to occupational health and safety and where applicable contracts of training su</w:t>
            </w:r>
            <w:r w:rsidRPr="00054342">
              <w:t>ch as apprenticeships.</w:t>
            </w:r>
          </w:p>
        </w:tc>
      </w:tr>
    </w:tbl>
    <w:p w:rsidR="00005DEE" w:rsidP="00054342">
      <w:pPr>
        <w:pStyle w:val="BodyText"/>
      </w:pPr>
    </w:p>
    <w:p w:rsidR="00005DEE" w:rsidP="00054342">
      <w:pPr>
        <w:pStyle w:val="BodyText"/>
      </w:pPr>
    </w:p>
    <w:p w:rsidR="00000000" w:rsidRPr="00054342" w:rsidP="00054342">
      <w:pPr>
        <w:pStyle w:val="Heading1"/>
      </w:pPr>
      <w:bookmarkStart w:id="5" w:name="O_589973"/>
      <w:bookmarkEnd w:id="5"/>
      <w:r w:rsidRPr="00054342">
        <w:t>Pre-Requisites</w:t>
      </w:r>
    </w:p>
    <w:tbl>
      <w:tblPr>
        <w:tblW w:w="0" w:type="auto"/>
        <w:tblLayout w:type="fixed"/>
        <w:tblCellMar>
          <w:left w:w="62" w:type="dxa"/>
          <w:right w:w="62" w:type="dxa"/>
        </w:tblCellMar>
        <w:tblLook w:val="0000"/>
      </w:tblPr>
      <w:tblGrid>
        <w:gridCol w:w="2700"/>
        <w:gridCol w:w="5760"/>
      </w:tblGrid>
      <w:tr w:rsidTr="0000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Prerequisite Unit</w:t>
            </w:r>
            <w:r w:rsidRPr="00054342">
              <w:t>(</w:t>
            </w:r>
            <w:r w:rsidRPr="00054342">
              <w:rPr>
                <w:rStyle w:val="SpecialBold"/>
              </w:rPr>
              <w:t>s</w:t>
            </w:r>
            <w:r w:rsidRPr="00054342">
              <w:t>)</w:t>
            </w:r>
          </w:p>
        </w:tc>
        <w:tc>
          <w:tcPr>
            <w:tcW w:w="57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2</w:t>
            </w:r>
            <w:r w:rsidRPr="00054342">
              <w:t xml:space="preserve">) </w:t>
            </w:r>
          </w:p>
        </w:tc>
      </w:tr>
      <w:tr w:rsidTr="0000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5434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2</w:t>
            </w:r>
            <w:r w:rsidRPr="00054342">
              <w:t>.</w:t>
            </w:r>
            <w:r w:rsidRPr="00054342">
              <w:rPr>
                <w:rStyle w:val="SpecialBold"/>
              </w:rPr>
              <w:t>1</w:t>
            </w:r>
            <w:r w:rsidRPr="00054342">
              <w:t xml:space="preserve">) </w:t>
            </w:r>
            <w:r w:rsidRPr="00054342">
              <w:rPr>
                <w:rStyle w:val="SpecialBold"/>
              </w:rPr>
              <w:t>Competencies</w:t>
            </w:r>
          </w:p>
        </w:tc>
      </w:tr>
      <w:tr w:rsidTr="0000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Granting competency in this unit shall be made only after competency in the following unit(s) has/have been confirmed.</w:t>
            </w:r>
          </w:p>
          <w:p w:rsidR="00000000" w:rsidRPr="00054342" w:rsidP="00054342">
            <w:pPr>
              <w:pStyle w:val="BodyText"/>
            </w:pPr>
            <w:r w:rsidRPr="00054342">
              <w:t>UEENEEJ134A Design heating, ventilation and air conditioning (HVAC) systems and select components</w:t>
            </w:r>
          </w:p>
          <w:p w:rsidR="00000000" w:rsidRPr="00054342" w:rsidP="00054342">
            <w:pPr>
              <w:pStyle w:val="BodyText"/>
            </w:pPr>
            <w:r w:rsidRPr="00054342">
              <w:t>UEENEEJ138A Analyse vibration and noise in refrigeration and air conditioning systems</w:t>
            </w:r>
          </w:p>
          <w:p w:rsidR="00000000" w:rsidRPr="00054342" w:rsidP="00054342">
            <w:pPr>
              <w:pStyle w:val="BodyText"/>
            </w:pPr>
            <w:r w:rsidRPr="00054342">
              <w:t>UEENEEJ165A Evaluate thermodynamic and fluid parameters of refrigeration</w:t>
            </w:r>
            <w:r w:rsidRPr="00054342">
              <w:t xml:space="preserve"> systems</w:t>
            </w:r>
          </w:p>
          <w:p w:rsidR="00000000" w:rsidRPr="00054342" w:rsidP="00054342">
            <w:pPr>
              <w:pStyle w:val="BodyText"/>
            </w:pPr>
            <w:r w:rsidRPr="00054342">
              <w:t>UEENEEJ164A Analyse the operation of HVAC air and hydronic systems</w:t>
            </w:r>
          </w:p>
          <w:p w:rsidR="00000000" w:rsidRPr="00054342" w:rsidP="00054342">
            <w:pPr>
              <w:pStyle w:val="BodyText"/>
            </w:pPr>
            <w:r w:rsidRPr="00054342">
              <w:t>UEENEEJ192A Analyse the psychrometric performance of HVAC/R systems</w:t>
            </w:r>
          </w:p>
          <w:p w:rsidR="00000000" w:rsidRPr="00054342" w:rsidP="00054342">
            <w:pPr>
              <w:pStyle w:val="BodyText"/>
            </w:pPr>
            <w:r w:rsidRPr="00054342">
              <w:t xml:space="preserve">and </w:t>
            </w:r>
          </w:p>
          <w:p w:rsidR="00000000" w:rsidRPr="00054342" w:rsidP="00054342">
            <w:pPr>
              <w:pStyle w:val="BodyText"/>
            </w:pPr>
            <w:r w:rsidRPr="00054342">
              <w:t>UEENEEJ193A  Analyse the thermodynamic performance of HVAC/R systems</w:t>
            </w:r>
          </w:p>
          <w:p w:rsidR="00000000" w:rsidRPr="00054342" w:rsidP="00054342">
            <w:pPr>
              <w:pStyle w:val="BodyText"/>
            </w:pPr>
            <w:r w:rsidRPr="00054342">
              <w:t xml:space="preserve">or </w:t>
            </w:r>
          </w:p>
          <w:p w:rsidR="00000000" w:rsidRPr="00054342" w:rsidP="00054342">
            <w:pPr>
              <w:pStyle w:val="BodyText"/>
            </w:pPr>
            <w:r w:rsidRPr="00054342">
              <w:t>UEENEEJ109A Verify functionality a</w:t>
            </w:r>
            <w:r w:rsidRPr="00054342">
              <w:t>nd compliance of refrigeration and air conditioning installations</w:t>
            </w:r>
          </w:p>
          <w:p w:rsidR="00000000" w:rsidRPr="00054342" w:rsidP="00054342">
            <w:pPr>
              <w:pStyle w:val="BodyText"/>
            </w:pPr>
            <w:r w:rsidRPr="00054342">
              <w:t>UEENEEE101A Apply Occupational Health and Safety regulations, codes and practices in the workplace</w:t>
            </w:r>
          </w:p>
          <w:p w:rsidR="00000000" w:rsidRPr="00054342" w:rsidP="00054342">
            <w:pPr>
              <w:pStyle w:val="BodyText"/>
            </w:pPr>
            <w:r w:rsidRPr="00054342">
              <w:t xml:space="preserve">UEENEEE102A Fabricate, assemble and dismantle </w:t>
            </w:r>
            <w:r w:rsidRPr="00054342">
              <w:t>utilities industry components</w:t>
            </w:r>
          </w:p>
          <w:p w:rsidR="00000000" w:rsidRPr="00054342" w:rsidP="00054342">
            <w:pPr>
              <w:pStyle w:val="BodyText"/>
            </w:pPr>
            <w:r w:rsidRPr="00054342">
              <w:t>UEENEEE003B Sol</w:t>
            </w:r>
            <w:r w:rsidRPr="00054342">
              <w:t>ve problems in extra-low voltage single path circuits</w:t>
            </w:r>
          </w:p>
          <w:p w:rsidR="00000000" w:rsidRPr="00054342" w:rsidP="00054342">
            <w:pPr>
              <w:pStyle w:val="BodyText"/>
            </w:pPr>
            <w:r w:rsidRPr="00054342">
              <w:t>UEENEEE105A Fix and secure electrotechnology equipment</w:t>
            </w:r>
          </w:p>
          <w:p w:rsidR="00000000" w:rsidRPr="00054342" w:rsidP="00054342">
            <w:pPr>
              <w:pStyle w:val="BodyText"/>
            </w:pPr>
            <w:r w:rsidRPr="00054342">
              <w:t>UEENEEE107A Use drawings, diagrams, schedules, standards, codes and specifications</w:t>
            </w:r>
          </w:p>
          <w:p w:rsidR="00000000" w:rsidRPr="00054342" w:rsidP="00054342">
            <w:pPr>
              <w:pStyle w:val="BodyText"/>
            </w:pPr>
            <w:r w:rsidRPr="00054342">
              <w:t>UEENEEE137A Document and apply measures to control OHS risks ass</w:t>
            </w:r>
            <w:r w:rsidRPr="00054342">
              <w:t>ociated with electrotechnology work</w:t>
            </w:r>
          </w:p>
          <w:p w:rsidR="00000000" w:rsidRPr="00054342" w:rsidP="00054342">
            <w:pPr>
              <w:pStyle w:val="BodyText"/>
            </w:pPr>
            <w:r w:rsidRPr="00054342">
              <w:t>UEENEEJ102A Prepare and connect refrigerant tubing and fittings</w:t>
            </w:r>
          </w:p>
          <w:p w:rsidR="00000000" w:rsidRPr="00054342" w:rsidP="00054342">
            <w:pPr>
              <w:pStyle w:val="BodyText"/>
            </w:pPr>
            <w:r w:rsidRPr="00054342">
              <w:t>UEENEEJ103A Establish the basic operating conditions of vapour compression systems</w:t>
            </w:r>
          </w:p>
          <w:p w:rsidR="00000000" w:rsidRPr="00054342" w:rsidP="00054342">
            <w:pPr>
              <w:pStyle w:val="BodyText"/>
            </w:pPr>
            <w:r w:rsidRPr="00054342">
              <w:t xml:space="preserve">UEENEEJ104A Establish the basic operating conditions of air conditioning </w:t>
            </w:r>
            <w:r w:rsidRPr="00054342">
              <w:t>systems</w:t>
            </w:r>
          </w:p>
          <w:p w:rsidR="00000000" w:rsidRPr="00054342" w:rsidP="00054342">
            <w:pPr>
              <w:pStyle w:val="BodyText"/>
            </w:pPr>
            <w:r w:rsidRPr="00054342">
              <w:t>UEENEEJ106A Install refrigerant pipe work, flow controls and accessories</w:t>
            </w:r>
          </w:p>
          <w:p w:rsidR="00000000" w:rsidRPr="00054342" w:rsidP="00054342">
            <w:pPr>
              <w:pStyle w:val="BodyText"/>
            </w:pPr>
            <w:r w:rsidRPr="00054342">
              <w:t>UEENEEJ107A Install air conditioning and refrigeration systems, major components and associated equipment</w:t>
            </w:r>
          </w:p>
          <w:p w:rsidR="00000000" w:rsidRPr="00054342" w:rsidP="00054342">
            <w:pPr>
              <w:pStyle w:val="BodyText"/>
            </w:pPr>
            <w:r w:rsidRPr="00054342">
              <w:t>UEENEEJ108A Recover, pressure test, evacuate, charge and leak test refrigerants</w:t>
            </w:r>
          </w:p>
          <w:p w:rsidR="00000000" w:rsidRPr="00054342" w:rsidP="00054342">
            <w:pPr>
              <w:pStyle w:val="BodyText"/>
            </w:pPr>
            <w:r w:rsidRPr="00054342">
              <w:t>UEENEEJ110A Select refrigerant piping, accessories and associated controls</w:t>
            </w:r>
          </w:p>
          <w:p w:rsidR="00000000" w:rsidRPr="00054342" w:rsidP="00054342">
            <w:pPr>
              <w:pStyle w:val="BodyText"/>
            </w:pPr>
            <w:r w:rsidRPr="00054342">
              <w:t>UEENEEJ111A Diagnose and rectify faults in air conditioning and refrigeration systems and components</w:t>
            </w:r>
          </w:p>
          <w:p w:rsidR="00000000" w:rsidRPr="00054342" w:rsidP="00054342">
            <w:pPr>
              <w:pStyle w:val="BodyText"/>
            </w:pPr>
            <w:r w:rsidRPr="00054342">
              <w:t>UEENEEJ113A Commission air conditioning and refrigeration systems</w:t>
            </w:r>
          </w:p>
          <w:p w:rsidR="00000000" w:rsidRPr="00054342" w:rsidP="00054342">
            <w:pPr>
              <w:pStyle w:val="BodyText"/>
            </w:pPr>
            <w:r w:rsidRPr="00054342">
              <w:t>UEENEEJ153A Find and rectify faults motors and associated controls in refrigeration and air conditioning systems</w:t>
            </w:r>
          </w:p>
          <w:p w:rsidR="00000000" w:rsidRPr="00054342" w:rsidP="00054342">
            <w:pPr>
              <w:pStyle w:val="BodyText"/>
            </w:pPr>
            <w:r w:rsidRPr="00054342">
              <w:t>UEENEEJ170A Diagnose and rectify faults in air conditioning and refrigeration</w:t>
            </w:r>
            <w:r w:rsidRPr="00054342">
              <w:t xml:space="preserve"> control systems</w:t>
            </w:r>
          </w:p>
          <w:p w:rsidR="00000000" w:rsidRPr="00054342" w:rsidP="00054342">
            <w:pPr>
              <w:pStyle w:val="BodyText"/>
            </w:pPr>
            <w:r w:rsidRPr="00054342">
              <w:t>UEENEEJ194A Solve problems in low voltage refrigeration circuits</w:t>
            </w:r>
          </w:p>
          <w:p w:rsidR="00000000" w:rsidRPr="00054342" w:rsidP="00054342">
            <w:pPr>
              <w:pStyle w:val="BodyText"/>
            </w:pPr>
            <w:r w:rsidRPr="00054342">
              <w:t>UEENEEP012A Disconnect / reconnect composite appliances connected to low voltage installation wiring</w:t>
            </w:r>
          </w:p>
          <w:p w:rsidR="00000000" w:rsidRPr="00054342" w:rsidP="00054342">
            <w:pPr>
              <w:pStyle w:val="BodyText"/>
            </w:pPr>
            <w:r w:rsidRPr="00054342">
              <w:t>UEENEEP017A Locate and rectify faults in low voltage composite appliances</w:t>
            </w:r>
            <w:r w:rsidRPr="00054342">
              <w:t xml:space="preserve"> using set procedures</w:t>
            </w:r>
          </w:p>
          <w:p w:rsidR="00000000" w:rsidRPr="00054342" w:rsidP="00054342">
            <w:pPr>
              <w:pStyle w:val="BodyText"/>
            </w:pPr>
            <w:r w:rsidRPr="00054342">
              <w:t>UEENEEP024A Attach cords and plugs to electrical equipment for connection to a single phase 230 Volt supply</w:t>
            </w:r>
          </w:p>
          <w:p w:rsidR="00000000" w:rsidRPr="00054342" w:rsidP="00054342">
            <w:pPr>
              <w:pStyle w:val="BodyText"/>
            </w:pPr>
            <w:r w:rsidRPr="00054342">
              <w:t>UEENEEP025A Attach cords, cables and plugs to electrical equipment for connection to 1000 Va.c. or 1500 Vd.c. supply</w:t>
            </w:r>
          </w:p>
        </w:tc>
      </w:tr>
    </w:tbl>
    <w:p w:rsidR="00005DEE" w:rsidP="00054342">
      <w:pPr>
        <w:pStyle w:val="BodyText"/>
      </w:pPr>
    </w:p>
    <w:p w:rsidR="00005DEE" w:rsidP="00054342">
      <w:pPr>
        <w:pStyle w:val="BodyText"/>
      </w:pPr>
    </w:p>
    <w:p w:rsidR="00000000" w:rsidRPr="00054342" w:rsidP="00054342">
      <w:pPr>
        <w:pStyle w:val="Heading1"/>
      </w:pPr>
      <w:bookmarkStart w:id="6" w:name="O_589972"/>
      <w:bookmarkEnd w:id="6"/>
      <w:r w:rsidRPr="00054342">
        <w:t>Employability Skills Information</w:t>
      </w:r>
    </w:p>
    <w:tbl>
      <w:tblPr>
        <w:tblW w:w="0" w:type="auto"/>
        <w:tblLayout w:type="fixed"/>
        <w:tblCellMar>
          <w:left w:w="62" w:type="dxa"/>
          <w:right w:w="62" w:type="dxa"/>
        </w:tblCellMar>
        <w:tblLook w:val="0000"/>
      </w:tblPr>
      <w:tblGrid>
        <w:gridCol w:w="2700"/>
        <w:gridCol w:w="5760"/>
      </w:tblGrid>
      <w:tr w:rsidTr="0000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3</w:t>
            </w:r>
            <w:r w:rsidRPr="00054342">
              <w:t>)</w:t>
            </w:r>
          </w:p>
          <w:p w:rsidR="00000000" w:rsidRPr="00054342" w:rsidP="00054342">
            <w:pPr>
              <w:pStyle w:val="BodyText"/>
            </w:pPr>
            <w:r w:rsidRPr="00054342">
              <w:t>This unit contains Employability Skills</w:t>
            </w:r>
          </w:p>
          <w:p w:rsidR="00000000" w:rsidRPr="00054342" w:rsidP="00054342">
            <w:pPr>
              <w:pStyle w:val="BodyText"/>
            </w:pPr>
            <w:r w:rsidRPr="00054342">
              <w:t>The required outcomes described in this unit of competency contain applicable facets of Employabili</w:t>
            </w:r>
            <w:r w:rsidRPr="00054342">
              <w:t>ty Skills. The Employability Skills Summary of the qualification in which this unit of competency is packaged will assist in identifying Employability Skill requirements.</w:t>
            </w:r>
          </w:p>
        </w:tc>
      </w:tr>
    </w:tbl>
    <w:p w:rsidR="00005DEE" w:rsidP="00054342">
      <w:pPr>
        <w:pStyle w:val="BodyText"/>
      </w:pPr>
    </w:p>
    <w:p w:rsidR="00005DEE" w:rsidP="00054342">
      <w:pPr>
        <w:pStyle w:val="BodyText"/>
      </w:pPr>
    </w:p>
    <w:p w:rsidR="00000000" w:rsidRPr="00054342" w:rsidP="00054342">
      <w:pPr>
        <w:pStyle w:val="Heading1"/>
      </w:pPr>
      <w:bookmarkStart w:id="7" w:name="O_589971"/>
      <w:bookmarkEnd w:id="7"/>
      <w:r w:rsidRPr="00054342">
        <w:t>Elements and Performance Criteria Pre-Content</w:t>
      </w:r>
    </w:p>
    <w:tbl>
      <w:tblPr>
        <w:tblW w:w="0" w:type="auto"/>
        <w:tblLayout w:type="fixed"/>
        <w:tblCellMar>
          <w:left w:w="62" w:type="dxa"/>
          <w:right w:w="62" w:type="dxa"/>
        </w:tblCellMar>
        <w:tblLook w:val="0000"/>
      </w:tblPr>
      <w:tblGrid>
        <w:gridCol w:w="2410"/>
        <w:gridCol w:w="6381"/>
      </w:tblGrid>
      <w:tr w:rsidTr="00005DEE">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6</w:t>
            </w:r>
            <w:r w:rsidRPr="00054342">
              <w:t>) Elements describ</w:t>
            </w:r>
            <w:r w:rsidRPr="00054342">
              <w:t>e the essential outcomes of a unit</w:t>
            </w:r>
          </w:p>
        </w:tc>
        <w:tc>
          <w:tcPr>
            <w:tcW w:w="6381"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Performance criteria describe the required performance needed to demonstrate achievement of the element. Assessment of performance is to be consistent with the evidence guide.</w:t>
            </w:r>
          </w:p>
        </w:tc>
      </w:tr>
    </w:tbl>
    <w:p w:rsidR="00000000" w:rsidRPr="00054342" w:rsidP="00054342">
      <w:pPr>
        <w:pStyle w:val="BodyText"/>
      </w:pPr>
    </w:p>
    <w:p w:rsidR="00000000" w:rsidRPr="00054342" w:rsidP="00054342">
      <w:pPr>
        <w:pStyle w:val="AllowPageBreak"/>
      </w:pPr>
    </w:p>
    <w:p w:rsidR="00000000" w:rsidRPr="00054342" w:rsidP="00054342">
      <w:pPr>
        <w:pStyle w:val="Heading1"/>
      </w:pPr>
      <w:bookmarkStart w:id="8" w:name="O_589970"/>
      <w:bookmarkEnd w:id="8"/>
      <w:r w:rsidRPr="00054342">
        <w:t>Elements and Performance C</w:t>
      </w:r>
      <w:r w:rsidRPr="00054342">
        <w:t>riteria</w:t>
      </w:r>
    </w:p>
    <w:tbl>
      <w:tblPr>
        <w:tblW w:w="0" w:type="auto"/>
        <w:tblLayout w:type="fixed"/>
        <w:tblCellMar>
          <w:left w:w="62" w:type="dxa"/>
          <w:right w:w="62" w:type="dxa"/>
        </w:tblCellMar>
        <w:tblLook w:val="0000"/>
      </w:tblPr>
      <w:tblGrid>
        <w:gridCol w:w="540"/>
        <w:gridCol w:w="1870"/>
        <w:gridCol w:w="900"/>
        <w:gridCol w:w="5481"/>
      </w:tblGrid>
      <w:tr w:rsidTr="00005DEE">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PERFORMANCE CRITERIA</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1</w:t>
            </w:r>
          </w:p>
        </w:tc>
        <w:tc>
          <w:tcPr>
            <w:tcW w:w="1870" w:type="dxa"/>
            <w:vMerge w:val="restart"/>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Prepare to design complex commercial refrigeration system</w:t>
            </w: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1.1</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OHS processes and procedures for a given work area are identified, obtained and understood</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1.2</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Established OHS risk control measures and procedures are followed in preparation for the work.</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1.3</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The extent of the proposed refrigeration system is determined from the design brief or in consultations with appropriate person(s).</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1.4</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Design development work is planned to meet scheduled timelines in consultation with others involved on the work site.</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w:t>
            </w:r>
          </w:p>
        </w:tc>
        <w:tc>
          <w:tcPr>
            <w:tcW w:w="1870" w:type="dxa"/>
            <w:vMerge w:val="restart"/>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Design complex commercial refrigeration system</w:t>
            </w: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2.1</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Knowledge of complex air conditioning processes and methods are applied to the desig</w:t>
            </w:r>
            <w:r w:rsidRPr="00054342">
              <w:t>n.</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2.2</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Alternative concepts for the design are evaluated based on the requirements outlined in the design brief. (See Note)</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2.3</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Safety, functional and budget considerations are incorporated in the design.</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2.4</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 xml:space="preserve">System design draft is checked for compliance with the design brief and regulatory requirements. </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2.5</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System design is documented for submission to appropriate person(s) for approval.</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2.6</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 xml:space="preserve">Solutions to unplanned situation are provided consistent with </w:t>
            </w:r>
            <w:r w:rsidRPr="00054342">
              <w:t>organisation's policy.</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3</w:t>
            </w:r>
          </w:p>
        </w:tc>
        <w:tc>
          <w:tcPr>
            <w:tcW w:w="1870" w:type="dxa"/>
            <w:vMerge w:val="restart"/>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Obtain approval for complex commercial refrigeration system design</w:t>
            </w: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3.1</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 xml:space="preserve">System design is presented and explained to client representative and/or other relevant person(s). </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3.2</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Requests for alterations to the design are negotiated with relevant person(s) within the constraints of organisation's policy.</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3.3</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Final design is documented and approval obtained from appropriate person(s).</w:t>
            </w:r>
          </w:p>
        </w:tc>
      </w:tr>
      <w:tr w:rsidTr="00005DE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3.4</w:t>
            </w:r>
          </w:p>
        </w:tc>
        <w:tc>
          <w:tcPr>
            <w:tcW w:w="548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Quality of work is monitored against personal performance agreement and/or established organizational or professional standards.</w:t>
            </w:r>
          </w:p>
        </w:tc>
      </w:tr>
      <w:tr w:rsidTr="00005DEE">
        <w:tblPrEx>
          <w:tblW w:w="0" w:type="auto"/>
          <w:tblLayout w:type="fixed"/>
          <w:tblCellMar>
            <w:left w:w="62" w:type="dxa"/>
            <w:right w:w="62" w:type="dxa"/>
          </w:tblCellMar>
          <w:tblLook w:val="0000"/>
        </w:tblPrEx>
        <w:tc>
          <w:tcPr>
            <w:tcW w:w="8791" w:type="dxa"/>
            <w:gridSpan w:val="4"/>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Note.</w:t>
            </w:r>
            <w:r w:rsidRPr="00054342">
              <w:br/>
              <w:t>Design concepts should be evaluated by real or virtual prototyping where it cannot be shown easily by other means that p</w:t>
            </w:r>
            <w:r w:rsidRPr="00054342">
              <w:t>articular aspects of the design met specified requirements.</w:t>
            </w:r>
          </w:p>
        </w:tc>
      </w:tr>
    </w:tbl>
    <w:p w:rsidR="00005DEE" w:rsidP="00054342">
      <w:pPr>
        <w:pStyle w:val="BodyText"/>
      </w:pPr>
    </w:p>
    <w:p w:rsidR="00005DEE" w:rsidP="00054342">
      <w:pPr>
        <w:pStyle w:val="BodyText"/>
      </w:pPr>
    </w:p>
    <w:p w:rsidR="00000000" w:rsidRPr="00054342" w:rsidP="00054342">
      <w:pPr>
        <w:pStyle w:val="Heading1"/>
      </w:pPr>
      <w:bookmarkStart w:id="9" w:name="O_589969"/>
      <w:bookmarkEnd w:id="9"/>
      <w:r w:rsidRPr="00054342">
        <w:t>Required Skills and Knowledge</w:t>
      </w:r>
    </w:p>
    <w:tbl>
      <w:tblPr>
        <w:tblW w:w="0" w:type="auto"/>
        <w:tblLayout w:type="fixed"/>
        <w:tblCellMar>
          <w:left w:w="62" w:type="dxa"/>
          <w:right w:w="62" w:type="dxa"/>
        </w:tblCellMar>
        <w:tblLook w:val="0000"/>
      </w:tblPr>
      <w:tblGrid>
        <w:gridCol w:w="8791"/>
      </w:tblGrid>
      <w:tr w:rsidTr="00005DEE">
        <w:tblPrEx>
          <w:tblW w:w="0" w:type="auto"/>
          <w:tblLayout w:type="fixed"/>
          <w:tblCellMar>
            <w:left w:w="62" w:type="dxa"/>
            <w:right w:w="62" w:type="dxa"/>
          </w:tblCellMar>
          <w:tblLook w:val="0000"/>
        </w:tblPrEx>
        <w:trPr>
          <w:tblHeader/>
        </w:trPr>
        <w:tc>
          <w:tcPr>
            <w:tcW w:w="879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REQUIRED SKILLS AND KNOWLEDGE</w:t>
            </w:r>
          </w:p>
        </w:tc>
      </w:tr>
      <w:tr w:rsidTr="00005DE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 xml:space="preserve">7) </w:t>
            </w:r>
            <w:r w:rsidRPr="00054342">
              <w:t>This describes the essential skills and knowledge and their level, required for this unit.</w:t>
            </w:r>
          </w:p>
        </w:tc>
      </w:tr>
      <w:tr w:rsidTr="00005DE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Evidence shall show that knowledge has been acquired of safe working practices and designing complex air conditioning systems.</w:t>
            </w:r>
          </w:p>
          <w:p w:rsidR="00000000" w:rsidRPr="00054342" w:rsidP="00054342">
            <w:pPr>
              <w:pStyle w:val="BodyText"/>
            </w:pPr>
            <w:r w:rsidRPr="00054342">
              <w:t>All knowledge and skills detailed in this unit should be contextualised to current industry practices and technologies.</w:t>
            </w:r>
          </w:p>
          <w:p w:rsidR="00000000" w:rsidRPr="00054342" w:rsidP="00054342">
            <w:pPr>
              <w:pStyle w:val="BodyText"/>
            </w:pPr>
            <w:r w:rsidRPr="00054342">
              <w:rPr>
                <w:rStyle w:val="SpecialBold"/>
              </w:rPr>
              <w:t>KS01-EJ14</w:t>
            </w:r>
            <w:r w:rsidRPr="00054342">
              <w:rPr>
                <w:rStyle w:val="SpecialBold"/>
              </w:rPr>
              <w:t>3A</w:t>
            </w:r>
            <w:r w:rsidRPr="00054342">
              <w:rPr>
                <w:rStyle w:val="SpecialBold"/>
              </w:rPr>
              <w:tab/>
              <w:t xml:space="preserve">               Complex HVAC system design</w:t>
            </w:r>
          </w:p>
          <w:p w:rsidR="00000000" w:rsidRPr="00054342" w:rsidP="00054342">
            <w:pPr>
              <w:pStyle w:val="BodyText"/>
            </w:pPr>
            <w:r w:rsidRPr="00054342">
              <w:t>Evidence shall show an understanding of complex air conditioning system design, applying safe working practices and relevant Standards, Codes and Regulations to an extent indicated by the following aspects:</w:t>
            </w:r>
          </w:p>
          <w:p w:rsidR="00000000" w:rsidRPr="00054342" w:rsidP="00054342">
            <w:pPr>
              <w:pStyle w:val="BodyText"/>
            </w:pPr>
            <w:r w:rsidRPr="00054342">
              <w:t xml:space="preserve">T1  </w:t>
            </w:r>
            <w:r w:rsidRPr="00054342">
              <w:t xml:space="preserve">        HVAC load estimating of multiple zone and multi-storey buildings</w:t>
            </w:r>
          </w:p>
          <w:p w:rsidR="00000000" w:rsidRPr="00054342" w:rsidP="00054342">
            <w:pPr>
              <w:pStyle w:val="ListBullet"/>
            </w:pPr>
            <w:r w:rsidRPr="00054342">
              <w:t>System design parameters</w:t>
            </w:r>
          </w:p>
          <w:p w:rsidR="00000000" w:rsidRPr="00054342" w:rsidP="00054342">
            <w:pPr>
              <w:pStyle w:val="ListBullet2"/>
            </w:pPr>
            <w:r w:rsidRPr="00054342">
              <w:t>human comfort</w:t>
            </w:r>
          </w:p>
          <w:p w:rsidR="00000000" w:rsidRPr="00054342" w:rsidP="00054342">
            <w:pPr>
              <w:pStyle w:val="ListBullet2"/>
            </w:pPr>
            <w:r w:rsidRPr="00054342">
              <w:t>system requirements in accordance with AS1668</w:t>
            </w:r>
          </w:p>
          <w:p w:rsidR="00000000" w:rsidRPr="00054342" w:rsidP="00054342">
            <w:pPr>
              <w:pStyle w:val="ListBullet2"/>
            </w:pPr>
            <w:r w:rsidRPr="00054342">
              <w:t>heat transfer calculations for complex structures and building components</w:t>
            </w:r>
          </w:p>
          <w:p w:rsidR="00000000" w:rsidRPr="00054342" w:rsidP="00054342">
            <w:pPr>
              <w:pStyle w:val="ListBullet2"/>
            </w:pPr>
            <w:r w:rsidRPr="00054342">
              <w:t>heat and radiation transfer calculations through complex glass structures including various internal and external shading devices</w:t>
            </w:r>
          </w:p>
          <w:p w:rsidR="00000000" w:rsidRPr="00054342" w:rsidP="00054342">
            <w:pPr>
              <w:pStyle w:val="ListBullet2"/>
            </w:pPr>
            <w:r w:rsidRPr="00054342">
              <w:t>indoor air quality</w:t>
            </w:r>
          </w:p>
          <w:p w:rsidR="00000000" w:rsidRPr="00054342" w:rsidP="00054342">
            <w:pPr>
              <w:pStyle w:val="ListBullet2"/>
            </w:pPr>
            <w:r w:rsidRPr="00054342">
              <w:t>olfs and decipols</w:t>
            </w:r>
          </w:p>
          <w:p w:rsidR="00000000" w:rsidRPr="00054342" w:rsidP="00054342">
            <w:pPr>
              <w:pStyle w:val="ListBullet"/>
            </w:pPr>
            <w:r w:rsidRPr="00054342">
              <w:t>Complex shading</w:t>
            </w:r>
          </w:p>
          <w:p w:rsidR="00000000" w:rsidRPr="00054342" w:rsidP="00054342">
            <w:pPr>
              <w:pStyle w:val="ListBullet2"/>
            </w:pPr>
            <w:r w:rsidRPr="00054342">
              <w:t>solar data, azimuth and altitude angles</w:t>
            </w:r>
          </w:p>
          <w:p w:rsidR="00000000" w:rsidRPr="00054342" w:rsidP="00054342">
            <w:pPr>
              <w:pStyle w:val="ListBullet2"/>
            </w:pPr>
            <w:r w:rsidRPr="00054342">
              <w:t>shading from adjacent structure</w:t>
            </w:r>
            <w:r w:rsidRPr="00054342">
              <w:t>s</w:t>
            </w:r>
          </w:p>
          <w:p w:rsidR="00000000" w:rsidRPr="00054342" w:rsidP="00054342">
            <w:pPr>
              <w:pStyle w:val="ListBullet"/>
            </w:pPr>
            <w:r w:rsidRPr="00054342">
              <w:t>Computer software</w:t>
            </w:r>
          </w:p>
          <w:p w:rsidR="00000000" w:rsidRPr="00054342" w:rsidP="00054342">
            <w:pPr>
              <w:pStyle w:val="ListBullet2"/>
            </w:pPr>
            <w:r w:rsidRPr="00054342">
              <w:t>heat load estimating</w:t>
            </w:r>
          </w:p>
          <w:p w:rsidR="00000000" w:rsidRPr="00054342" w:rsidP="00054342">
            <w:pPr>
              <w:pStyle w:val="ListBullet2"/>
            </w:pPr>
            <w:r w:rsidRPr="00054342">
              <w:t>building thermal performance analysis and simulation software</w:t>
            </w:r>
          </w:p>
          <w:p w:rsidR="00000000" w:rsidRPr="00054342" w:rsidP="00054342">
            <w:pPr>
              <w:pStyle w:val="BodyText"/>
            </w:pPr>
            <w:r w:rsidRPr="00054342">
              <w:t>T2         Advanced Psychrometrics</w:t>
            </w:r>
          </w:p>
          <w:p w:rsidR="00000000" w:rsidRPr="00054342" w:rsidP="00054342">
            <w:pPr>
              <w:pStyle w:val="ListBullet"/>
            </w:pPr>
            <w:r w:rsidRPr="00054342">
              <w:t>Complex psychrometric processes</w:t>
            </w:r>
          </w:p>
          <w:p w:rsidR="00000000" w:rsidRPr="00054342" w:rsidP="00054342">
            <w:pPr>
              <w:pStyle w:val="ListBullet2"/>
            </w:pPr>
            <w:r w:rsidRPr="00054342">
              <w:t>revise sensible cooling and heating and evaporative (adiabatic) cooling</w:t>
            </w:r>
          </w:p>
          <w:p w:rsidR="00000000" w:rsidRPr="00054342" w:rsidP="00054342">
            <w:pPr>
              <w:pStyle w:val="ListBullet2"/>
            </w:pPr>
            <w:r w:rsidRPr="00054342">
              <w:t>cooling and dehumidification</w:t>
            </w:r>
          </w:p>
          <w:p w:rsidR="00000000" w:rsidRPr="00054342" w:rsidP="00054342">
            <w:pPr>
              <w:pStyle w:val="ListBullet2"/>
            </w:pPr>
            <w:r w:rsidRPr="00054342">
              <w:t>cooling and dehumidification with high latent load</w:t>
            </w:r>
          </w:p>
          <w:p w:rsidR="00000000" w:rsidRPr="00054342" w:rsidP="00054342">
            <w:pPr>
              <w:pStyle w:val="ListBullet2"/>
            </w:pPr>
            <w:r w:rsidRPr="00054342">
              <w:t>cooling and dehumidification all out door air</w:t>
            </w:r>
          </w:p>
          <w:p w:rsidR="00000000" w:rsidRPr="00054342" w:rsidP="00054342">
            <w:pPr>
              <w:pStyle w:val="ListBullet2"/>
            </w:pPr>
            <w:r w:rsidRPr="00054342">
              <w:t>cooling and dehumidification all out door air with dehumidified air requirements less than supply air</w:t>
            </w:r>
          </w:p>
          <w:p w:rsidR="00000000" w:rsidRPr="00054342" w:rsidP="00054342">
            <w:pPr>
              <w:pStyle w:val="ListBullet2"/>
            </w:pPr>
            <w:r w:rsidRPr="00054342">
              <w:t>cooling with evaporative hum</w:t>
            </w:r>
            <w:r w:rsidRPr="00054342">
              <w:t>idification</w:t>
            </w:r>
          </w:p>
          <w:p w:rsidR="00000000" w:rsidRPr="00054342" w:rsidP="00054342">
            <w:pPr>
              <w:pStyle w:val="ListBullet2"/>
            </w:pPr>
            <w:r w:rsidRPr="00054342">
              <w:t>cooling with near isothermal humidification</w:t>
            </w:r>
          </w:p>
          <w:p w:rsidR="00000000" w:rsidRPr="00054342" w:rsidP="00054342">
            <w:pPr>
              <w:pStyle w:val="ListBullet2"/>
            </w:pPr>
            <w:r w:rsidRPr="00054342">
              <w:t>spray process to include cooling and dehumidification, cooling and humidification with heated spray water, heating and humidification.</w:t>
            </w:r>
          </w:p>
          <w:p w:rsidR="00000000" w:rsidRPr="00054342" w:rsidP="00054342">
            <w:pPr>
              <w:pStyle w:val="ListBullet2"/>
            </w:pPr>
            <w:r w:rsidRPr="00054342">
              <w:t>partial load processes</w:t>
            </w:r>
          </w:p>
          <w:p w:rsidR="00000000" w:rsidRPr="00054342" w:rsidP="00054342">
            <w:pPr>
              <w:pStyle w:val="ListBullet2"/>
            </w:pPr>
            <w:r w:rsidRPr="00054342">
              <w:t>reheat</w:t>
            </w:r>
          </w:p>
          <w:p w:rsidR="00000000" w:rsidRPr="00054342" w:rsidP="00054342">
            <w:pPr>
              <w:pStyle w:val="ListBullet2"/>
            </w:pPr>
            <w:r w:rsidRPr="00054342">
              <w:t xml:space="preserve">bypass of, RA only and mix of RA &amp; </w:t>
            </w:r>
            <w:r w:rsidRPr="00054342">
              <w:t>OA</w:t>
            </w:r>
          </w:p>
          <w:p w:rsidR="00000000" w:rsidRPr="00054342" w:rsidP="00054342">
            <w:pPr>
              <w:pStyle w:val="ListBullet2"/>
            </w:pPr>
            <w:r w:rsidRPr="00054342">
              <w:t>variable air volume</w:t>
            </w:r>
          </w:p>
          <w:p w:rsidR="00000000" w:rsidRPr="00054342" w:rsidP="00054342">
            <w:pPr>
              <w:pStyle w:val="ListBullet2"/>
            </w:pPr>
            <w:r w:rsidRPr="00054342">
              <w:t>variable coil effective surface temperature</w:t>
            </w:r>
          </w:p>
          <w:p w:rsidR="00000000" w:rsidRPr="00054342" w:rsidP="00054342">
            <w:pPr>
              <w:pStyle w:val="ListBullet2"/>
            </w:pPr>
            <w:r w:rsidRPr="00054342">
              <w:t>split coil, horizontal, vertical and intertwined.</w:t>
            </w:r>
          </w:p>
          <w:p w:rsidR="00000000" w:rsidRPr="00054342" w:rsidP="00054342">
            <w:pPr>
              <w:pStyle w:val="ListBullet"/>
            </w:pPr>
            <w:r w:rsidRPr="00054342">
              <w:t>System performance</w:t>
            </w:r>
          </w:p>
          <w:p w:rsidR="00000000" w:rsidRPr="00054342" w:rsidP="00054342">
            <w:pPr>
              <w:pStyle w:val="ListBullet2"/>
            </w:pPr>
            <w:r w:rsidRPr="00054342">
              <w:t>saturation efficiency of sprayers</w:t>
            </w:r>
          </w:p>
          <w:p w:rsidR="00000000" w:rsidRPr="00054342" w:rsidP="00054342">
            <w:pPr>
              <w:pStyle w:val="ListBullet2"/>
            </w:pPr>
            <w:r w:rsidRPr="00054342">
              <w:t>system capacity calculated from air quantity and enthalpy change</w:t>
            </w:r>
          </w:p>
          <w:p w:rsidR="00000000" w:rsidRPr="00054342" w:rsidP="00054342">
            <w:pPr>
              <w:pStyle w:val="ListBullet"/>
            </w:pPr>
            <w:r w:rsidRPr="00054342">
              <w:t>Required plant capacity and airflow rates</w:t>
            </w:r>
          </w:p>
          <w:p w:rsidR="00000000" w:rsidRPr="00054342" w:rsidP="00054342">
            <w:pPr>
              <w:pStyle w:val="ListBullet2"/>
            </w:pPr>
            <w:r w:rsidRPr="00054342">
              <w:t>effects of coil bypass factor and ADP</w:t>
            </w:r>
          </w:p>
          <w:p w:rsidR="00000000" w:rsidRPr="00054342" w:rsidP="00054342">
            <w:pPr>
              <w:pStyle w:val="ListBullet2"/>
            </w:pPr>
            <w:r w:rsidRPr="00054342">
              <w:t>calculation of dehumidified air quantity, using both TSH and ERSH methods.</w:t>
            </w:r>
          </w:p>
          <w:p w:rsidR="00000000" w:rsidRPr="00054342" w:rsidP="00054342">
            <w:pPr>
              <w:pStyle w:val="ListBullet"/>
            </w:pPr>
            <w:r w:rsidRPr="00054342">
              <w:t>Recap on psychrometrics formulae and charts</w:t>
            </w:r>
          </w:p>
          <w:p w:rsidR="00000000" w:rsidRPr="00054342" w:rsidP="00054342">
            <w:pPr>
              <w:pStyle w:val="ListBullet2"/>
            </w:pPr>
            <w:r w:rsidRPr="00054342">
              <w:t>properties of air</w:t>
            </w:r>
          </w:p>
          <w:p w:rsidR="00000000" w:rsidRPr="00054342" w:rsidP="00054342">
            <w:pPr>
              <w:pStyle w:val="ListBullet2"/>
            </w:pPr>
            <w:r w:rsidRPr="00054342">
              <w:t>gas constants</w:t>
            </w:r>
          </w:p>
          <w:p w:rsidR="00000000" w:rsidRPr="00054342" w:rsidP="00054342">
            <w:pPr>
              <w:pStyle w:val="ListBullet2"/>
            </w:pPr>
            <w:r w:rsidRPr="00054342">
              <w:t>derivation of air cons</w:t>
            </w:r>
            <w:r w:rsidRPr="00054342">
              <w:t>tants</w:t>
            </w:r>
          </w:p>
          <w:p w:rsidR="00000000" w:rsidRPr="00054342" w:rsidP="00054342">
            <w:pPr>
              <w:pStyle w:val="ListBullet2"/>
            </w:pPr>
            <w:r w:rsidRPr="00054342">
              <w:t>combined gas laws</w:t>
            </w:r>
          </w:p>
          <w:p w:rsidR="00000000" w:rsidRPr="00054342" w:rsidP="00054342">
            <w:pPr>
              <w:pStyle w:val="ListBullet2"/>
            </w:pPr>
            <w:r w:rsidRPr="00054342">
              <w:t>Dalton’s law of partial pressures</w:t>
            </w:r>
          </w:p>
          <w:p w:rsidR="00000000" w:rsidRPr="00054342" w:rsidP="00054342">
            <w:pPr>
              <w:pStyle w:val="ListBullet2"/>
            </w:pPr>
            <w:r w:rsidRPr="00054342">
              <w:t>Carrier’s equation</w:t>
            </w:r>
          </w:p>
          <w:p w:rsidR="00000000" w:rsidRPr="00054342" w:rsidP="00054342">
            <w:pPr>
              <w:pStyle w:val="ListBullet2"/>
            </w:pPr>
            <w:r w:rsidRPr="00054342">
              <w:t>psychrometric property tables</w:t>
            </w:r>
          </w:p>
          <w:p w:rsidR="00000000" w:rsidRPr="00054342" w:rsidP="00054342">
            <w:pPr>
              <w:pStyle w:val="ListBullet2"/>
            </w:pPr>
            <w:r w:rsidRPr="00054342">
              <w:t>psychrometric charts</w:t>
            </w:r>
          </w:p>
          <w:p w:rsidR="00000000" w:rsidRPr="00054342" w:rsidP="00054342">
            <w:pPr>
              <w:pStyle w:val="ListBullet2"/>
            </w:pPr>
            <w:r w:rsidRPr="00054342">
              <w:t>air mixing equations</w:t>
            </w:r>
          </w:p>
          <w:p w:rsidR="00000000" w:rsidRPr="00054342" w:rsidP="00054342">
            <w:pPr>
              <w:pStyle w:val="ListBullet2"/>
            </w:pPr>
            <w:r w:rsidRPr="00054342">
              <w:t>air quantity equations</w:t>
            </w:r>
          </w:p>
          <w:p w:rsidR="00000000" w:rsidRPr="00054342" w:rsidP="00054342">
            <w:pPr>
              <w:pStyle w:val="ListBullet2"/>
            </w:pPr>
            <w:r w:rsidRPr="00054342">
              <w:t>indirect evaporative coolers</w:t>
            </w:r>
          </w:p>
          <w:p w:rsidR="00000000" w:rsidRPr="00054342" w:rsidP="00054342">
            <w:pPr>
              <w:pStyle w:val="ListBullet2"/>
            </w:pPr>
            <w:r w:rsidRPr="00054342">
              <w:t>analysis of cooling coil selection and performance</w:t>
            </w:r>
          </w:p>
          <w:p w:rsidR="00000000" w:rsidRPr="00054342" w:rsidP="00054342">
            <w:pPr>
              <w:pStyle w:val="ListBullet2"/>
            </w:pPr>
            <w:r w:rsidRPr="00054342">
              <w:t>psychrometric analysis of:</w:t>
            </w:r>
          </w:p>
          <w:p w:rsidR="00000000" w:rsidRPr="00054342" w:rsidP="00054342">
            <w:pPr>
              <w:pStyle w:val="ListBullet2"/>
            </w:pPr>
            <w:r w:rsidRPr="00054342">
              <w:t>air conditioning in tropics</w:t>
            </w:r>
          </w:p>
          <w:p w:rsidR="00000000" w:rsidRPr="00054342" w:rsidP="00054342">
            <w:pPr>
              <w:pStyle w:val="ListBullet2"/>
            </w:pPr>
            <w:r w:rsidRPr="00054342">
              <w:t>all outdoor air</w:t>
            </w:r>
          </w:p>
          <w:p w:rsidR="00000000" w:rsidRPr="00054342" w:rsidP="00054342">
            <w:pPr>
              <w:pStyle w:val="ListBullet2"/>
            </w:pPr>
            <w:r w:rsidRPr="00054342">
              <w:t>LCV/HWF systems</w:t>
            </w:r>
          </w:p>
          <w:p w:rsidR="00000000" w:rsidRPr="00054342" w:rsidP="00054342">
            <w:pPr>
              <w:pStyle w:val="ListBullet2"/>
            </w:pPr>
            <w:r w:rsidRPr="00054342">
              <w:t>psychrometric analysis using equations and tables</w:t>
            </w:r>
          </w:p>
          <w:p w:rsidR="00000000" w:rsidRPr="00054342" w:rsidP="00054342">
            <w:pPr>
              <w:pStyle w:val="BodyText"/>
            </w:pPr>
            <w:r w:rsidRPr="00054342">
              <w:t>T3         Air conditioning system design</w:t>
            </w:r>
          </w:p>
          <w:p w:rsidR="00000000" w:rsidRPr="00054342" w:rsidP="00054342">
            <w:pPr>
              <w:pStyle w:val="ListBullet"/>
            </w:pPr>
            <w:r w:rsidRPr="00054342">
              <w:t>Design parameters for multi-storey building</w:t>
            </w:r>
          </w:p>
          <w:p w:rsidR="00000000" w:rsidRPr="00054342" w:rsidP="00054342">
            <w:pPr>
              <w:pStyle w:val="ListBullet2"/>
            </w:pPr>
            <w:r w:rsidRPr="00054342">
              <w:t>customer and objective</w:t>
            </w:r>
          </w:p>
          <w:p w:rsidR="00000000" w:rsidRPr="00054342" w:rsidP="00054342">
            <w:pPr>
              <w:pStyle w:val="ListBullet2"/>
            </w:pPr>
            <w:r w:rsidRPr="00054342">
              <w:t>customer concept of environment desired</w:t>
            </w:r>
          </w:p>
          <w:p w:rsidR="00000000" w:rsidRPr="00054342" w:rsidP="00054342">
            <w:pPr>
              <w:pStyle w:val="ListBullet2"/>
            </w:pPr>
            <w:r w:rsidRPr="00054342">
              <w:t>economic</w:t>
            </w:r>
          </w:p>
          <w:p w:rsidR="00000000" w:rsidRPr="00054342" w:rsidP="00054342">
            <w:pPr>
              <w:pStyle w:val="ListBullet2"/>
            </w:pPr>
            <w:r w:rsidRPr="00054342">
              <w:t>client brief</w:t>
            </w:r>
          </w:p>
          <w:p w:rsidR="00000000" w:rsidRPr="00054342" w:rsidP="00054342">
            <w:pPr>
              <w:pStyle w:val="ListBullet"/>
            </w:pPr>
            <w:r w:rsidRPr="00054342">
              <w:t>Relevant design criteria</w:t>
            </w:r>
          </w:p>
          <w:p w:rsidR="00000000" w:rsidRPr="00054342" w:rsidP="00054342">
            <w:pPr>
              <w:pStyle w:val="ListBullet2"/>
            </w:pPr>
            <w:r w:rsidRPr="00054342">
              <w:t>building purpose, location, orientation and shape</w:t>
            </w:r>
          </w:p>
          <w:p w:rsidR="00000000" w:rsidRPr="00054342" w:rsidP="00054342">
            <w:pPr>
              <w:pStyle w:val="ListBullet2"/>
            </w:pPr>
            <w:r w:rsidRPr="00054342">
              <w:t>external environment ambient conditions</w:t>
            </w:r>
          </w:p>
          <w:p w:rsidR="00000000" w:rsidRPr="00054342" w:rsidP="00054342">
            <w:pPr>
              <w:pStyle w:val="ListBullet2"/>
            </w:pPr>
            <w:r w:rsidRPr="00054342">
              <w:t>internal load diversity</w:t>
            </w:r>
          </w:p>
          <w:p w:rsidR="00000000" w:rsidRPr="00054342" w:rsidP="00054342">
            <w:pPr>
              <w:pStyle w:val="ListBullet2"/>
            </w:pPr>
            <w:r w:rsidRPr="00054342">
              <w:t>thermal capacity behaviour</w:t>
            </w:r>
          </w:p>
          <w:p w:rsidR="00000000" w:rsidRPr="00054342" w:rsidP="00054342">
            <w:pPr>
              <w:pStyle w:val="ListBullet2"/>
            </w:pPr>
            <w:r w:rsidRPr="00054342">
              <w:t>thermal load (full and par</w:t>
            </w:r>
            <w:r w:rsidRPr="00054342">
              <w:t>tial)</w:t>
            </w:r>
          </w:p>
          <w:p w:rsidR="00000000" w:rsidRPr="00054342" w:rsidP="00054342">
            <w:pPr>
              <w:pStyle w:val="ListBullet"/>
            </w:pPr>
            <w:r w:rsidRPr="00054342">
              <w:t>Zoning and building usage</w:t>
            </w:r>
          </w:p>
          <w:p w:rsidR="00000000" w:rsidRPr="00054342" w:rsidP="00054342">
            <w:pPr>
              <w:pStyle w:val="ListBullet2"/>
            </w:pPr>
            <w:r w:rsidRPr="00054342">
              <w:t>space and building</w:t>
            </w:r>
          </w:p>
          <w:p w:rsidR="00000000" w:rsidRPr="00054342" w:rsidP="00054342">
            <w:pPr>
              <w:pStyle w:val="ListBullet2"/>
            </w:pPr>
            <w:r w:rsidRPr="00054342">
              <w:t>occupancies, single purpose, multi-purpose</w:t>
            </w:r>
          </w:p>
          <w:p w:rsidR="00000000" w:rsidRPr="00054342" w:rsidP="00054342">
            <w:pPr>
              <w:pStyle w:val="ListBullet"/>
            </w:pPr>
            <w:r w:rsidRPr="00054342">
              <w:t>System selection criteria</w:t>
            </w:r>
          </w:p>
          <w:p w:rsidR="00000000" w:rsidRPr="00054342" w:rsidP="00054342">
            <w:pPr>
              <w:pStyle w:val="ListBullet2"/>
            </w:pPr>
            <w:r w:rsidRPr="00054342">
              <w:t>economics</w:t>
            </w:r>
          </w:p>
          <w:p w:rsidR="00000000" w:rsidRPr="00054342" w:rsidP="00054342">
            <w:pPr>
              <w:pStyle w:val="ListBullet2"/>
            </w:pPr>
            <w:r w:rsidRPr="00054342">
              <w:t>environment</w:t>
            </w:r>
          </w:p>
          <w:p w:rsidR="00000000" w:rsidRPr="00054342" w:rsidP="00054342">
            <w:pPr>
              <w:pStyle w:val="ListBullet2"/>
            </w:pPr>
            <w:r w:rsidRPr="00054342">
              <w:t>control requirements</w:t>
            </w:r>
          </w:p>
          <w:p w:rsidR="00000000" w:rsidRPr="00054342" w:rsidP="00054342">
            <w:pPr>
              <w:pStyle w:val="ListBullet2"/>
            </w:pPr>
            <w:r w:rsidRPr="00054342">
              <w:t>existing structures</w:t>
            </w:r>
          </w:p>
          <w:p w:rsidR="00000000" w:rsidRPr="00054342" w:rsidP="00054342">
            <w:pPr>
              <w:pStyle w:val="ListBullet2"/>
            </w:pPr>
            <w:r w:rsidRPr="00054342">
              <w:t>new structures</w:t>
            </w:r>
          </w:p>
          <w:p w:rsidR="00000000" w:rsidRPr="00054342" w:rsidP="00054342">
            <w:pPr>
              <w:pStyle w:val="ListBullet2"/>
            </w:pPr>
            <w:r w:rsidRPr="00054342">
              <w:t>system components</w:t>
            </w:r>
          </w:p>
          <w:p w:rsidR="00000000" w:rsidRPr="00054342" w:rsidP="00054342">
            <w:pPr>
              <w:pStyle w:val="ListBullet2"/>
            </w:pPr>
            <w:r w:rsidRPr="00054342">
              <w:t>space for equipment and system</w:t>
            </w:r>
          </w:p>
          <w:p w:rsidR="00000000" w:rsidRPr="00054342" w:rsidP="00054342">
            <w:pPr>
              <w:pStyle w:val="ListBullet2"/>
            </w:pPr>
            <w:r w:rsidRPr="00054342">
              <w:t>selection of appropriate system</w:t>
            </w:r>
          </w:p>
          <w:p w:rsidR="00000000" w:rsidRPr="00054342" w:rsidP="00054342">
            <w:pPr>
              <w:pStyle w:val="ListBullet"/>
            </w:pPr>
            <w:r w:rsidRPr="00054342">
              <w:t>System and applications</w:t>
            </w:r>
          </w:p>
          <w:p w:rsidR="00000000" w:rsidRPr="00054342" w:rsidP="00054342">
            <w:pPr>
              <w:pStyle w:val="ListBullet2"/>
            </w:pPr>
            <w:r w:rsidRPr="00054342">
              <w:t>design features, engineering procedures and controls for:</w:t>
            </w:r>
          </w:p>
          <w:p w:rsidR="00000000" w:rsidRPr="00054342" w:rsidP="00054342">
            <w:pPr>
              <w:pStyle w:val="ListBullet2"/>
            </w:pPr>
            <w:r w:rsidRPr="00054342">
              <w:t>direct expansion - self contained room/zone, heat pump, multi-zone fan-coils, central station</w:t>
            </w:r>
          </w:p>
          <w:p w:rsidR="00000000" w:rsidRPr="00054342" w:rsidP="00054342">
            <w:pPr>
              <w:pStyle w:val="ListBullet2"/>
            </w:pPr>
            <w:r w:rsidRPr="00054342">
              <w:t>all water - room fan-coil</w:t>
            </w:r>
          </w:p>
          <w:p w:rsidR="00000000" w:rsidRPr="00054342" w:rsidP="00054342">
            <w:pPr>
              <w:pStyle w:val="ListBullet2"/>
            </w:pPr>
            <w:r w:rsidRPr="00054342">
              <w:t>all-air - constant volume variable temperature, face and bypass, reheat, constant temp variable volume, constant volume induction, dual-duct, dual-conduit</w:t>
            </w:r>
          </w:p>
          <w:p w:rsidR="00000000" w:rsidRPr="00054342" w:rsidP="00054342">
            <w:pPr>
              <w:pStyle w:val="ListBullet2"/>
            </w:pPr>
            <w:r w:rsidRPr="00054342">
              <w:t>air water - induction unit, primary air fan- coil</w:t>
            </w:r>
          </w:p>
          <w:p w:rsidR="00000000" w:rsidRPr="00054342" w:rsidP="00054342">
            <w:pPr>
              <w:pStyle w:val="ListBullet"/>
            </w:pPr>
            <w:r w:rsidRPr="00054342">
              <w:t>HVAC energy conversation techniques</w:t>
            </w:r>
          </w:p>
          <w:p w:rsidR="00000000" w:rsidRPr="00054342" w:rsidP="00054342">
            <w:pPr>
              <w:pStyle w:val="ListBullet2"/>
            </w:pPr>
            <w:r w:rsidRPr="00054342">
              <w:t>heat recovery</w:t>
            </w:r>
            <w:r w:rsidRPr="00054342">
              <w:t xml:space="preserve"> systems</w:t>
            </w:r>
          </w:p>
          <w:p w:rsidR="00000000" w:rsidRPr="00054342" w:rsidP="00054342">
            <w:pPr>
              <w:pStyle w:val="ListBullet2"/>
            </w:pPr>
            <w:r w:rsidRPr="00054342">
              <w:t>night cycle</w:t>
            </w:r>
          </w:p>
          <w:p w:rsidR="00000000" w:rsidRPr="00054342" w:rsidP="00054342">
            <w:pPr>
              <w:pStyle w:val="ListBullet2"/>
            </w:pPr>
            <w:r w:rsidRPr="00054342">
              <w:t>optimum stop/start</w:t>
            </w:r>
          </w:p>
          <w:p w:rsidR="00000000" w:rsidRPr="00054342" w:rsidP="00054342">
            <w:pPr>
              <w:pStyle w:val="ListBullet2"/>
            </w:pPr>
            <w:r w:rsidRPr="00054342">
              <w:t>purge cycles</w:t>
            </w:r>
          </w:p>
          <w:p w:rsidR="00000000" w:rsidRPr="00054342" w:rsidP="00054342">
            <w:pPr>
              <w:pStyle w:val="ListBullet2"/>
            </w:pPr>
            <w:r w:rsidRPr="00054342">
              <w:t>chiller/boiler/cooling tower sequencing</w:t>
            </w:r>
          </w:p>
          <w:p w:rsidR="00000000" w:rsidRPr="00054342" w:rsidP="00054342">
            <w:pPr>
              <w:pStyle w:val="ListBullet2"/>
            </w:pPr>
            <w:r w:rsidRPr="00054342">
              <w:t>economy cycles (based on temperature or enthalpy)</w:t>
            </w:r>
          </w:p>
          <w:p w:rsidR="00000000" w:rsidRPr="00054342" w:rsidP="00054342">
            <w:pPr>
              <w:pStyle w:val="ListBullet2"/>
            </w:pPr>
            <w:r w:rsidRPr="00054342">
              <w:t>supply air reset</w:t>
            </w:r>
          </w:p>
          <w:p w:rsidR="00000000" w:rsidRPr="00054342" w:rsidP="00054342">
            <w:pPr>
              <w:pStyle w:val="ListBullet2"/>
            </w:pPr>
            <w:r w:rsidRPr="00054342">
              <w:t>supply water reset</w:t>
            </w:r>
          </w:p>
          <w:p w:rsidR="00000000" w:rsidRPr="00054342" w:rsidP="00054342">
            <w:pPr>
              <w:pStyle w:val="ListBullet2"/>
            </w:pPr>
            <w:r w:rsidRPr="00054342">
              <w:t>condenser water temperature reset</w:t>
            </w:r>
          </w:p>
          <w:p w:rsidR="00000000" w:rsidRPr="00054342" w:rsidP="00054342">
            <w:pPr>
              <w:pStyle w:val="ListBullet2"/>
            </w:pPr>
            <w:r w:rsidRPr="00054342">
              <w:t>power demand control</w:t>
            </w:r>
          </w:p>
          <w:p w:rsidR="00000000" w:rsidRPr="00054342" w:rsidP="00054342">
            <w:pPr>
              <w:pStyle w:val="ListBullet2"/>
            </w:pPr>
            <w:r w:rsidRPr="00054342">
              <w:t>load limiting</w:t>
            </w:r>
          </w:p>
          <w:p w:rsidR="00000000" w:rsidRPr="00054342" w:rsidP="00054342">
            <w:pPr>
              <w:pStyle w:val="ListBullet2"/>
            </w:pPr>
            <w:r w:rsidRPr="00054342">
              <w:t>load shedding</w:t>
            </w:r>
          </w:p>
          <w:p w:rsidR="00000000" w:rsidRPr="00054342" w:rsidP="00054342">
            <w:pPr>
              <w:pStyle w:val="ListBullet2"/>
            </w:pPr>
            <w:r w:rsidRPr="00054342">
              <w:t>set point relaxation</w:t>
            </w:r>
          </w:p>
          <w:p w:rsidR="00000000" w:rsidRPr="00054342" w:rsidP="00054342">
            <w:pPr>
              <w:pStyle w:val="ListBullet2"/>
            </w:pPr>
            <w:r w:rsidRPr="00054342">
              <w:t>ventilation cycles</w:t>
            </w:r>
          </w:p>
          <w:p w:rsidR="00000000" w:rsidRPr="00054342" w:rsidP="00054342">
            <w:pPr>
              <w:pStyle w:val="ListBullet2"/>
            </w:pPr>
            <w:r w:rsidRPr="00054342">
              <w:t>plant - fixed OA to economy, boiler to electric reheat, constant volume to VAV etc.</w:t>
            </w:r>
          </w:p>
          <w:p w:rsidR="00000000" w:rsidRPr="00054342" w:rsidP="00054342">
            <w:pPr>
              <w:pStyle w:val="ListBullet2"/>
            </w:pPr>
            <w:r w:rsidRPr="00054342">
              <w:t>cost-benefit (payback)</w:t>
            </w:r>
          </w:p>
        </w:tc>
      </w:tr>
    </w:tbl>
    <w:p w:rsidR="00005DEE" w:rsidP="00054342">
      <w:pPr>
        <w:pStyle w:val="BodyText"/>
      </w:pPr>
    </w:p>
    <w:p w:rsidR="00005DEE" w:rsidP="00054342">
      <w:pPr>
        <w:pStyle w:val="BodyText"/>
      </w:pPr>
    </w:p>
    <w:p w:rsidR="00000000" w:rsidRPr="00054342" w:rsidP="00054342">
      <w:pPr>
        <w:pStyle w:val="Heading1"/>
      </w:pPr>
      <w:bookmarkStart w:id="10" w:name="O_589968"/>
      <w:bookmarkEnd w:id="10"/>
      <w:r w:rsidRPr="00054342">
        <w:t>Evidence Guide</w:t>
      </w:r>
    </w:p>
    <w:tbl>
      <w:tblPr>
        <w:tblW w:w="0" w:type="auto"/>
        <w:tblLayout w:type="fixed"/>
        <w:tblCellMar>
          <w:left w:w="62" w:type="dxa"/>
          <w:right w:w="62" w:type="dxa"/>
        </w:tblCellMar>
        <w:tblLook w:val="0000"/>
      </w:tblPr>
      <w:tblGrid>
        <w:gridCol w:w="2160"/>
        <w:gridCol w:w="430"/>
        <w:gridCol w:w="540"/>
        <w:gridCol w:w="5661"/>
      </w:tblGrid>
      <w:tr w:rsidTr="00005DEE">
        <w:tblPrEx>
          <w:tblW w:w="0" w:type="auto"/>
          <w:tblLayout w:type="fixed"/>
          <w:tblCellMar>
            <w:left w:w="62" w:type="dxa"/>
            <w:right w:w="62" w:type="dxa"/>
          </w:tblCellMar>
          <w:tblLook w:val="0000"/>
        </w:tblPrEx>
        <w:trPr>
          <w:tblHeader/>
        </w:trPr>
        <w:tc>
          <w:tcPr>
            <w:tcW w:w="8791" w:type="dxa"/>
            <w:gridSpan w:val="4"/>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EVIDENCE GUIDE</w:t>
            </w:r>
          </w:p>
        </w:tc>
      </w:tr>
      <w:tr w:rsidTr="00005DEE">
        <w:tblPrEx>
          <w:tblW w:w="0" w:type="auto"/>
          <w:tblLayout w:type="fixed"/>
          <w:tblCellMar>
            <w:left w:w="62" w:type="dxa"/>
            <w:right w:w="62" w:type="dxa"/>
          </w:tblCellMar>
          <w:tblLook w:val="0000"/>
        </w:tblPrEx>
        <w:tc>
          <w:tcPr>
            <w:tcW w:w="8791" w:type="dxa"/>
            <w:gridSpan w:val="4"/>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9</w:t>
            </w:r>
            <w:r w:rsidRPr="00054342">
              <w:t>) The evidence guide provides advice on assessment and must be read in conjunction with the Performance Criteria, Required Skills and Knowledge, the Range Statement and the Assessment Guidelines for this Training Package. .</w:t>
            </w:r>
          </w:p>
          <w:p w:rsidR="00000000" w:rsidP="00054342">
            <w:pPr>
              <w:pStyle w:val="BodyText"/>
              <w:rPr>
                <w:lang w:val="en-NZ"/>
              </w:rPr>
            </w:pPr>
            <w:r w:rsidRPr="00054342">
              <w:t>The Evidence Guide forms an inte</w:t>
            </w:r>
            <w:r w:rsidRPr="00054342">
              <w:t>gral part of this Unit. It must be used in conjunction with all parts of this unit and performed in accordance with the Assessment Guidelines of this Training Package.</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Overview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9</w:t>
            </w:r>
            <w:r w:rsidRPr="00054342">
              <w:t>.</w:t>
            </w:r>
            <w:r w:rsidRPr="00054342">
              <w:rPr>
                <w:rStyle w:val="SpecialBold"/>
              </w:rPr>
              <w:t>1</w:t>
            </w:r>
            <w:r w:rsidRPr="00054342">
              <w:t xml:space="preserve">) </w:t>
            </w:r>
          </w:p>
          <w:p w:rsidR="00000000" w:rsidRPr="00054342" w:rsidP="00054342">
            <w:pPr>
              <w:pStyle w:val="BodyText"/>
            </w:pPr>
            <w:r w:rsidRPr="00054342">
              <w:t>Longitudinal competency development approaches to asses</w:t>
            </w:r>
            <w:r w:rsidRPr="00054342">
              <w:t>sment, such as Profiling, require data to be reliably gathered in a form that can be consistently interpreted over time. This approach is best utilised in Apprenticeship programs and reduces assessment intervention. It is the industry-preferred model for a</w:t>
            </w:r>
            <w:r w:rsidRPr="00054342">
              <w:t>pprenticeships. However, where summative (or final) assessment is used it is to include the application of the competency in the normal work environment or, at a minimum, the application of the competency in a realistically simulated work environment. In s</w:t>
            </w:r>
            <w:r w:rsidRPr="00054342">
              <w:t>ome circumstances, assessment in part or full can occur outside the workplace. However, it must be in accordance with industry and regulatory policy.</w:t>
            </w:r>
          </w:p>
          <w:p w:rsidR="00000000" w:rsidRPr="00054342" w:rsidP="00054342">
            <w:pPr>
              <w:pStyle w:val="BodyText"/>
            </w:pPr>
            <w:r w:rsidRPr="00054342">
              <w:t>Methods chosen for a particular assessment will be influenced by various factors. These include the extent</w:t>
            </w:r>
            <w:r w:rsidRPr="00054342">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054342" w:rsidP="00054342">
            <w:pPr>
              <w:pStyle w:val="BodyText"/>
            </w:pPr>
            <w:r w:rsidRPr="00054342">
              <w:t>The critical safety natu</w:t>
            </w:r>
            <w:r w:rsidRPr="00054342">
              <w:t>re of working with electricity, electrical equipment, gas or any other hazardous substance/material carries risk in deeming a person competent. Sources of evidence need to be 'rich' in nature to minimise error in judgment.</w:t>
            </w:r>
          </w:p>
          <w:p w:rsidR="00000000" w:rsidP="00054342">
            <w:pPr>
              <w:pStyle w:val="BodyText"/>
              <w:rPr>
                <w:lang w:val="en-NZ"/>
              </w:rPr>
            </w:pPr>
            <w:r w:rsidRPr="00054342">
              <w:t>Activities associated with normal</w:t>
            </w:r>
            <w:r w:rsidRPr="00054342">
              <w:t xml:space="preserve"> everyday work influence decisions about how/how much the data gathered will contribute to its 'richness'. Some skills are more critical to safety and operational requirements while the same skills may be more or less frequently practised. These points are</w:t>
            </w:r>
            <w:r w:rsidRPr="00054342">
              <w:t xml:space="preserve"> raised for the assessors to consider when choosing an assessment method and developing assessment instruments. Sample assessment instruments are included for Assessors in the Assessment Guidelines of this Training Package.</w:t>
            </w:r>
          </w:p>
        </w:tc>
      </w:tr>
      <w:tr w:rsidTr="00005D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 xml:space="preserve">Critical aspects of evidence required to demonstrate </w:t>
            </w:r>
            <w:r w:rsidRPr="00054342">
              <w:rPr>
                <w:rStyle w:val="SpecialBold"/>
              </w:rPr>
              <w:t>competency in this unit</w:t>
            </w: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9</w:t>
            </w:r>
            <w:r w:rsidRPr="00054342">
              <w:t>.</w:t>
            </w:r>
            <w:r w:rsidRPr="00054342">
              <w:rPr>
                <w:rStyle w:val="SpecialBold"/>
              </w:rPr>
              <w:t>2</w:t>
            </w:r>
            <w:r w:rsidRPr="00054342">
              <w:t xml:space="preserve">) </w:t>
            </w:r>
          </w:p>
          <w:p w:rsidR="00000000" w:rsidP="00054342">
            <w:pPr>
              <w:pStyle w:val="BodyText"/>
              <w:rPr>
                <w:lang w:val="en-NZ"/>
              </w:rPr>
            </w:pPr>
            <w:r w:rsidRPr="00054342">
              <w:t>Before the critical aspects of evidence are considered all prerequisites must be met.</w:t>
            </w:r>
          </w:p>
        </w:tc>
      </w:tr>
      <w:tr w:rsidTr="00005D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Evidence for competence in this unit shall be considered holistically.  Each Elemen</w:t>
            </w:r>
            <w:r w:rsidRPr="00054342">
              <w:t>t and associated performance criteria shall be demonstrated on at least two occasions in accordance with the 'Assessment Guidelines - UEE07'.  Evidence shall also comprise:</w:t>
            </w:r>
          </w:p>
          <w:p w:rsidR="00000000" w:rsidP="00054342">
            <w:pPr>
              <w:pStyle w:val="ListBullet"/>
              <w:rPr>
                <w:lang w:val="en-NZ"/>
              </w:rPr>
            </w:pPr>
            <w:r w:rsidRPr="00054342">
              <w:t>A representative body of work performance demonstrated within the timeframes typic</w:t>
            </w:r>
            <w:r w:rsidRPr="00054342">
              <w:t>ally expected of the discipline, work function and industrial environment. In particular this shall incorporate evidence that shows a candidate is able to:</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ListBullet2"/>
            </w:pPr>
            <w:r w:rsidRPr="00054342">
              <w:t xml:space="preserve">Implement Occupational Health and Safety workplace procedures and practices including </w:t>
            </w:r>
            <w:r w:rsidRPr="00054342">
              <w:t>the use of risk control measures as specified in the performance criteria and range statement</w:t>
            </w:r>
          </w:p>
          <w:p w:rsidR="00000000" w:rsidRPr="00054342" w:rsidP="00054342">
            <w:pPr>
              <w:pStyle w:val="ListBullet2"/>
            </w:pPr>
            <w:r w:rsidRPr="00054342">
              <w:t>Apply sustainable energy principles and practices as specified in the performance criteria and range statement</w:t>
            </w:r>
          </w:p>
          <w:p w:rsidR="00000000" w:rsidRPr="00054342" w:rsidP="00054342">
            <w:pPr>
              <w:pStyle w:val="ListBullet2"/>
            </w:pPr>
            <w:r w:rsidRPr="00054342">
              <w:t>Demonstrate an understanding o</w:t>
            </w:r>
            <w:r w:rsidRPr="00054342">
              <w:t>f the essential knowledge and associated skills as described in this unit.  It may be required by some jurisdictions that RTOs provide a percentile graded result for the purpose of regulatory or licensing requirements.</w:t>
            </w:r>
          </w:p>
          <w:p w:rsidR="00000000" w:rsidRPr="00054342" w:rsidP="00054342">
            <w:pPr>
              <w:pStyle w:val="ListBullet2"/>
            </w:pPr>
            <w:r w:rsidRPr="00054342">
              <w:t>Demonstrate an appropriate level of s</w:t>
            </w:r>
            <w:r w:rsidRPr="00054342">
              <w:t>kills enabling employment</w:t>
            </w:r>
          </w:p>
          <w:p w:rsidR="00000000" w:rsidP="00054342">
            <w:pPr>
              <w:pStyle w:val="ListBullet2"/>
              <w:rPr>
                <w:lang w:val="en-NZ"/>
              </w:rPr>
            </w:pPr>
            <w:r w:rsidRPr="00054342">
              <w:t>Conduct work observing the relevant Anti Discrimination legislation, regulations, polices and workplace procedures</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054342">
            <w:pPr>
              <w:pStyle w:val="ListBullet"/>
              <w:rPr>
                <w:lang w:val="en-NZ"/>
              </w:rPr>
            </w:pPr>
            <w:r w:rsidRPr="00054342">
              <w:t>Demonstrated consistent performance across a representative range of contexts from the prescribed items below:</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054342">
            <w:pPr>
              <w:pStyle w:val="ListBullet2"/>
              <w:rPr>
                <w:lang w:val="en-NZ"/>
              </w:rPr>
            </w:pPr>
            <w:r w:rsidRPr="00054342">
              <w:t>Design complex air conditioning systems as described in 8) and including:</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A</w:t>
            </w:r>
          </w:p>
        </w:tc>
        <w:tc>
          <w:tcPr>
            <w:tcW w:w="566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Developing outlines of alternative designs</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B</w:t>
            </w:r>
          </w:p>
        </w:tc>
        <w:tc>
          <w:tcPr>
            <w:tcW w:w="566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Developing the design within the safety, regulatory, functional requirements and budget limitations</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C</w:t>
            </w:r>
          </w:p>
        </w:tc>
        <w:tc>
          <w:tcPr>
            <w:tcW w:w="566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Documenting and presenting design effectively</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w:t>
            </w:r>
          </w:p>
        </w:tc>
        <w:tc>
          <w:tcPr>
            <w:tcW w:w="566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Successfully negotiating design alteration requests</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E</w:t>
            </w:r>
          </w:p>
        </w:tc>
        <w:tc>
          <w:tcPr>
            <w:tcW w:w="566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Obtaining approval for final design</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F</w:t>
            </w:r>
          </w:p>
        </w:tc>
        <w:tc>
          <w:tcPr>
            <w:tcW w:w="566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Dealing with unplanned events by drawing on essential knowledge and skills to provide appropriate solutions incorporated in the holistic assessment with the above listed items</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 xml:space="preserve">Note: </w:t>
            </w:r>
            <w:r w:rsidRPr="00054342">
              <w:br/>
              <w:t>Successful completion of relevant vendor training may be used to contri</w:t>
            </w:r>
            <w:r w:rsidRPr="00054342">
              <w:t>bute to evidence on which competency is deemed. In these cases the alignment of outcomes of vendor training with performance criteria and critical aspects of evidence shall be clearly identified.</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Context of and specific resources for assessment</w:t>
            </w: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9</w:t>
            </w:r>
            <w:r w:rsidRPr="00054342">
              <w:t>.</w:t>
            </w:r>
            <w:r w:rsidRPr="00054342">
              <w:rPr>
                <w:rStyle w:val="SpecialBold"/>
              </w:rPr>
              <w:t>3</w:t>
            </w:r>
            <w:r w:rsidRPr="00054342">
              <w:t xml:space="preserve">) </w:t>
            </w:r>
          </w:p>
          <w:p w:rsidR="00000000" w:rsidRPr="00054342" w:rsidP="00054342">
            <w:pPr>
              <w:pStyle w:val="BodyText"/>
            </w:pPr>
            <w:r w:rsidRPr="00054342">
              <w:t>Th</w:t>
            </w:r>
            <w:r w:rsidRPr="00054342">
              <w:t>is unit should be assessed as it relates to normal work practice using procedures, information and resources typical of a workplace. This should include:</w:t>
            </w:r>
          </w:p>
          <w:p w:rsidR="00000000" w:rsidRPr="00054342" w:rsidP="00054342">
            <w:pPr>
              <w:pStyle w:val="ListBullet"/>
            </w:pPr>
            <w:r w:rsidRPr="00054342">
              <w:t>OHS policy and work procedures and instructions.</w:t>
            </w:r>
          </w:p>
          <w:p w:rsidR="00000000" w:rsidRPr="00054342" w:rsidP="00054342">
            <w:pPr>
              <w:pStyle w:val="ListBullet"/>
            </w:pPr>
            <w:r w:rsidRPr="00054342">
              <w:t>Suitable work environment, facilities, equipment and materials to undertake actual work as prescribed by this unit.</w:t>
            </w:r>
          </w:p>
          <w:p w:rsidR="00000000" w:rsidRPr="00054342" w:rsidP="00054342">
            <w:pPr>
              <w:pStyle w:val="BodyText"/>
            </w:pPr>
            <w:r w:rsidRPr="00054342">
              <w:t>These should be part of the formal learning/assessment environment.</w:t>
            </w:r>
          </w:p>
          <w:p w:rsidR="00000000" w:rsidRPr="00054342" w:rsidP="00054342">
            <w:pPr>
              <w:pStyle w:val="BodyText"/>
            </w:pPr>
            <w:r w:rsidRPr="00054342">
              <w:t>Note:</w:t>
            </w:r>
          </w:p>
          <w:p w:rsidR="00000000" w:rsidP="00054342">
            <w:pPr>
              <w:pStyle w:val="BodyText"/>
              <w:rPr>
                <w:lang w:val="en-NZ"/>
              </w:rPr>
            </w:pPr>
            <w:r w:rsidRPr="00054342">
              <w:t>Where simulation is considered a suitable strategy for assessment,</w:t>
            </w:r>
            <w:r w:rsidRPr="00054342">
              <w:t xml:space="preserve"> conditions must be authentic and as far as possible reproduce and replicate the workplace and be consistent with the approved industry simulation policy.</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Evidence should show demonstrated competency in designing complex air conditioning systems.</w:t>
            </w:r>
          </w:p>
        </w:tc>
      </w:tr>
      <w:tr w:rsidTr="00005DE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Me</w:t>
            </w:r>
            <w:r w:rsidRPr="00054342">
              <w:rPr>
                <w:rStyle w:val="SpecialBold"/>
              </w:rPr>
              <w:t>thod of assessment</w:t>
            </w: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9</w:t>
            </w:r>
            <w:r w:rsidRPr="00054342">
              <w:t>.</w:t>
            </w:r>
            <w:r w:rsidRPr="00054342">
              <w:rPr>
                <w:rStyle w:val="SpecialBold"/>
              </w:rPr>
              <w:t>4</w:t>
            </w:r>
            <w:r w:rsidRPr="00054342">
              <w:t xml:space="preserve">) </w:t>
            </w:r>
          </w:p>
          <w:p w:rsidR="00000000" w:rsidRPr="00054342" w:rsidP="00054342">
            <w:pPr>
              <w:pStyle w:val="BodyText"/>
            </w:pPr>
            <w:r w:rsidRPr="00054342">
              <w:t>This unit shall be assessed by methods given in Volume 1, Part 3 'Assessment Guidelines'.</w:t>
            </w:r>
          </w:p>
          <w:p w:rsidR="00000000" w:rsidP="00054342">
            <w:pPr>
              <w:pStyle w:val="BodyText"/>
              <w:rPr>
                <w:lang w:val="en-NZ"/>
              </w:rPr>
            </w:pPr>
            <w:r w:rsidRPr="00054342">
              <w:t xml:space="preserve">Note: </w:t>
            </w:r>
            <w:r w:rsidRPr="00054342">
              <w:br/>
            </w:r>
            <w:r w:rsidRPr="00054342">
              <w:t>Competent performance with inherent safe working practices is expected in the Industry to which this unit applies. This requires assessment in a structured environment which is intended primarily for learning/assessment and incorporates all necessary equip</w:t>
            </w:r>
            <w:r w:rsidRPr="00054342">
              <w:t>ment and facilities for learners to develop and demonstrate the essential knowledge and skills described in this unit.</w:t>
            </w:r>
          </w:p>
        </w:tc>
      </w:tr>
      <w:tr w:rsidTr="00005DE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Concurrent assessment and relationship with other units</w:t>
            </w:r>
          </w:p>
        </w:tc>
        <w:tc>
          <w:tcPr>
            <w:tcW w:w="6631" w:type="dxa"/>
            <w:gridSpan w:val="3"/>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9</w:t>
            </w:r>
            <w:r w:rsidRPr="00054342">
              <w:t>.</w:t>
            </w:r>
            <w:r w:rsidRPr="00054342">
              <w:rPr>
                <w:rStyle w:val="SpecialBold"/>
              </w:rPr>
              <w:t>5</w:t>
            </w:r>
            <w:r w:rsidRPr="00054342">
              <w:t>)</w:t>
            </w:r>
          </w:p>
        </w:tc>
      </w:tr>
      <w:tr w:rsidTr="00005DE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1" w:type="dxa"/>
            <w:gridSpan w:val="3"/>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There are no concurrent assessment recommendations for this unit.</w:t>
            </w:r>
          </w:p>
        </w:tc>
      </w:tr>
    </w:tbl>
    <w:p w:rsidR="00005DEE" w:rsidP="00054342">
      <w:pPr>
        <w:pStyle w:val="BodyText"/>
      </w:pPr>
    </w:p>
    <w:p w:rsidR="00005DEE" w:rsidP="00054342">
      <w:pPr>
        <w:pStyle w:val="BodyText"/>
      </w:pPr>
    </w:p>
    <w:p w:rsidR="00000000" w:rsidRPr="00054342" w:rsidP="00054342">
      <w:pPr>
        <w:pStyle w:val="Heading1"/>
      </w:pPr>
      <w:bookmarkStart w:id="11" w:name="O_589967"/>
      <w:bookmarkEnd w:id="11"/>
      <w:r w:rsidRPr="00054342">
        <w:t>Range Statement</w:t>
      </w:r>
    </w:p>
    <w:tbl>
      <w:tblPr>
        <w:tblW w:w="0" w:type="auto"/>
        <w:tblLayout w:type="fixed"/>
        <w:tblCellMar>
          <w:left w:w="62" w:type="dxa"/>
          <w:right w:w="62" w:type="dxa"/>
        </w:tblCellMar>
        <w:tblLook w:val="0000"/>
      </w:tblPr>
      <w:tblGrid>
        <w:gridCol w:w="8791"/>
      </w:tblGrid>
      <w:tr w:rsidTr="00005DEE">
        <w:tblPrEx>
          <w:tblW w:w="0" w:type="auto"/>
          <w:tblLayout w:type="fixed"/>
          <w:tblCellMar>
            <w:left w:w="62" w:type="dxa"/>
            <w:right w:w="62" w:type="dxa"/>
          </w:tblCellMar>
          <w:tblLook w:val="0000"/>
        </w:tblPrEx>
        <w:trPr>
          <w:tblHeader/>
        </w:trPr>
        <w:tc>
          <w:tcPr>
            <w:tcW w:w="879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RANGE STATEMENT</w:t>
            </w:r>
          </w:p>
        </w:tc>
      </w:tr>
      <w:tr w:rsidTr="00005DE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8</w:t>
            </w:r>
            <w:r w:rsidRPr="00054342">
              <w:t>) This relates to the unit as a whole providing the range of contexts and conditions to which the performance criteria apply. It allows for different work environments and situations that will affect p</w:t>
            </w:r>
            <w:r w:rsidRPr="00054342">
              <w:t>erformance.</w:t>
            </w:r>
          </w:p>
        </w:tc>
      </w:tr>
      <w:tr w:rsidTr="00005DE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This unit must be demonstrated in relation to designing a complex air conditioning system incorporating multiple major components (i.e. air hand</w:t>
            </w:r>
            <w:r w:rsidRPr="00054342">
              <w:t>ling plant, compressors, condenser or evaporators) circuits or systems and associated components and controls.</w:t>
            </w:r>
          </w:p>
        </w:tc>
      </w:tr>
      <w:tr w:rsidTr="00005DEE">
        <w:tblPrEx>
          <w:tblW w:w="0" w:type="auto"/>
          <w:tblLayout w:type="fixed"/>
          <w:tblCellMar>
            <w:left w:w="62" w:type="dxa"/>
            <w:right w:w="62" w:type="dxa"/>
          </w:tblCellMar>
          <w:tblLook w:val="0000"/>
        </w:tblPrEx>
        <w:tc>
          <w:tcPr>
            <w:tcW w:w="8791"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Generic terms used throughout this Vocational Standard shall be regarded as part of the Range Statement in which competency is demonstrated. The</w:t>
            </w:r>
            <w:r w:rsidRPr="00054342">
              <w:t xml:space="preserve"> definition of these and other terms that apply are given in Volume 2, Part 2.1.</w:t>
            </w:r>
          </w:p>
        </w:tc>
      </w:tr>
    </w:tbl>
    <w:p w:rsidR="00005DEE" w:rsidP="00054342">
      <w:pPr>
        <w:pStyle w:val="BodyText"/>
      </w:pPr>
    </w:p>
    <w:p w:rsidR="00005DEE" w:rsidP="00054342">
      <w:pPr>
        <w:pStyle w:val="BodyText"/>
      </w:pPr>
    </w:p>
    <w:p w:rsidR="00000000" w:rsidRPr="00054342" w:rsidP="00054342">
      <w:pPr>
        <w:pStyle w:val="Heading1"/>
      </w:pPr>
      <w:bookmarkStart w:id="12" w:name="O_589966"/>
      <w:bookmarkEnd w:id="12"/>
      <w:r w:rsidRPr="00054342">
        <w:t>Unit Sector(s)</w:t>
      </w:r>
    </w:p>
    <w:p w:rsidR="00000000" w:rsidRPr="00054342" w:rsidP="00054342">
      <w:pPr>
        <w:pStyle w:val="BodyText"/>
      </w:pPr>
      <w:r w:rsidRPr="00054342">
        <w:t>Not Applicable</w:t>
      </w:r>
    </w:p>
    <w:p w:rsidR="00000000" w:rsidRPr="00054342" w:rsidP="00054342">
      <w:pPr>
        <w:pStyle w:val="AllowPageBreak"/>
      </w:pPr>
    </w:p>
    <w:p w:rsidR="00000000" w:rsidRPr="00054342" w:rsidP="00054342">
      <w:pPr>
        <w:pStyle w:val="Heading1"/>
      </w:pPr>
      <w:bookmarkStart w:id="13" w:name="O_589965"/>
      <w:bookmarkEnd w:id="13"/>
      <w:r w:rsidRPr="0005434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5DE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2</w:t>
            </w:r>
            <w:r w:rsidRPr="00054342">
              <w:t>.</w:t>
            </w:r>
            <w:r w:rsidRPr="00054342">
              <w:rPr>
                <w:rStyle w:val="SpecialBold"/>
              </w:rPr>
              <w:t>2</w:t>
            </w:r>
            <w:r w:rsidRPr="00054342">
              <w:t xml:space="preserve">) </w:t>
            </w:r>
            <w:r w:rsidRPr="00054342">
              <w:rPr>
                <w:rStyle w:val="SpecialBold"/>
              </w:rPr>
              <w:t>Literacy and numeracy skills</w:t>
            </w:r>
          </w:p>
          <w:p w:rsidR="00000000" w:rsidP="00054342">
            <w:pPr>
              <w:pStyle w:val="BodyText"/>
              <w:rPr>
                <w:lang w:val="en-NZ"/>
              </w:rPr>
            </w:pPr>
            <w:r w:rsidRPr="00054342">
              <w:t>Participants are best equipped to achieve competency in t</w:t>
            </w:r>
            <w:r w:rsidRPr="00054342">
              <w:t>his unit if they have reading, writing and numeracy skills indicated by the following scales. Description of each scale is given in Volume 2, Part 3 'Literacy and Numeracy'</w:t>
            </w:r>
          </w:p>
        </w:tc>
      </w:tr>
      <w:tr w:rsidTr="00005DE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Reading</w:t>
            </w:r>
          </w:p>
        </w:tc>
        <w:tc>
          <w:tcPr>
            <w:tcW w:w="1182"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5</w:t>
            </w:r>
          </w:p>
        </w:tc>
        <w:tc>
          <w:tcPr>
            <w:tcW w:w="1739"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Writing</w:t>
            </w:r>
          </w:p>
        </w:tc>
        <w:tc>
          <w:tcPr>
            <w:tcW w:w="1182"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5</w:t>
            </w:r>
          </w:p>
        </w:tc>
        <w:tc>
          <w:tcPr>
            <w:tcW w:w="1721"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t>Numeracy</w:t>
            </w:r>
          </w:p>
        </w:tc>
        <w:tc>
          <w:tcPr>
            <w:tcW w:w="1182"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5</w:t>
            </w:r>
          </w:p>
        </w:tc>
      </w:tr>
    </w:tbl>
    <w:p w:rsidR="00005DEE" w:rsidP="00054342">
      <w:pPr>
        <w:pStyle w:val="BodyText"/>
      </w:pPr>
    </w:p>
    <w:p w:rsidR="00005DEE" w:rsidP="00054342">
      <w:pPr>
        <w:pStyle w:val="BodyText"/>
      </w:pPr>
    </w:p>
    <w:p w:rsidR="00000000" w:rsidRPr="00054342" w:rsidP="00054342">
      <w:pPr>
        <w:pStyle w:val="Heading1"/>
      </w:pPr>
      <w:bookmarkStart w:id="14" w:name="O_589964"/>
      <w:bookmarkEnd w:id="14"/>
      <w:r w:rsidRPr="00054342">
        <w:t>Custom Content Section</w:t>
      </w:r>
    </w:p>
    <w:tbl>
      <w:tblPr>
        <w:tblW w:w="0" w:type="auto"/>
        <w:tblLayout w:type="fixed"/>
        <w:tblCellMar>
          <w:left w:w="62" w:type="dxa"/>
          <w:right w:w="62" w:type="dxa"/>
        </w:tblCellMar>
        <w:tblLook w:val="0000"/>
      </w:tblPr>
      <w:tblGrid>
        <w:gridCol w:w="2700"/>
        <w:gridCol w:w="5760"/>
      </w:tblGrid>
      <w:tr w:rsidTr="00005DE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54342">
            <w:pPr>
              <w:pStyle w:val="BodyText"/>
              <w:rPr>
                <w:lang w:val="en-NZ"/>
              </w:rPr>
            </w:pPr>
            <w:r w:rsidRPr="00054342">
              <w:rPr>
                <w:rStyle w:val="SpecialBold"/>
              </w:rPr>
              <w:t>5</w:t>
            </w:r>
            <w:r w:rsidRPr="00054342">
              <w:t>)</w:t>
            </w:r>
          </w:p>
        </w:tc>
      </w:tr>
      <w:tr w:rsidTr="00005DE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54342" w:rsidP="00054342">
            <w:pPr>
              <w:pStyle w:val="BodyText"/>
            </w:pPr>
            <w:r w:rsidRPr="00054342">
              <w:t>Refrigeration and Air Conditioning</w:t>
            </w:r>
          </w:p>
        </w:tc>
      </w:tr>
    </w:tbl>
    <w:p w:rsidR="00005DEE" w:rsidP="00054342">
      <w:pPr>
        <w:pStyle w:val="BodyText"/>
      </w:pPr>
    </w:p>
    <w:p w:rsidR="00005DEE" w:rsidP="00054342">
      <w:pPr>
        <w:pStyle w:val="BodyText"/>
      </w:pPr>
    </w:p>
    <w:p w:rsidR="00000000" w:rsidRPr="00054342" w:rsidP="00054342"/>
    <w:sectPr w:rsidSect="00054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42" w:rsidRPr="00005DEE" w:rsidP="00005D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EE" w:rsidP="00054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05DEE" w:rsidP="000543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05DEE" w:rsidP="00054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42" w:rsidRPr="00005DEE" w:rsidP="00005D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EE" w:rsidRPr="002D2AF8" w:rsidP="00054342">
    <w:pPr>
      <w:pStyle w:val="Header"/>
      <w:framePr w:wrap="around"/>
    </w:pPr>
    <w:r>
      <w:fldChar w:fldCharType="begin"/>
    </w:r>
    <w:r>
      <w:instrText xml:space="preserve"> TITLE   \* MERGEFORMAT </w:instrText>
    </w:r>
    <w:r>
      <w:fldChar w:fldCharType="separate"/>
    </w:r>
    <w:r>
      <w:t>UEENEEJ143A Design complex air conditioning systems and select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05DEE" w:rsidP="00054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6D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69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0A80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342"/>
    <w:pPr>
      <w:spacing w:before="360" w:after="60"/>
      <w:outlineLvl w:val="0"/>
    </w:pPr>
    <w:rPr>
      <w:sz w:val="32"/>
    </w:rPr>
  </w:style>
  <w:style w:type="paragraph" w:styleId="Heading2">
    <w:name w:val="heading 2"/>
    <w:basedOn w:val="HeadingBase"/>
    <w:next w:val="BodyText"/>
    <w:link w:val="Heading2Char"/>
    <w:qFormat/>
    <w:rsid w:val="00054342"/>
    <w:pPr>
      <w:keepLines/>
      <w:spacing w:before="240" w:after="120"/>
      <w:outlineLvl w:val="1"/>
    </w:pPr>
    <w:rPr>
      <w:sz w:val="28"/>
      <w:szCs w:val="40"/>
    </w:rPr>
  </w:style>
  <w:style w:type="paragraph" w:styleId="Heading3">
    <w:name w:val="heading 3"/>
    <w:basedOn w:val="HeadingBase"/>
    <w:next w:val="BodyText"/>
    <w:link w:val="Heading3Char"/>
    <w:qFormat/>
    <w:rsid w:val="00054342"/>
    <w:pPr>
      <w:spacing w:before="180" w:after="120"/>
      <w:outlineLvl w:val="2"/>
    </w:pPr>
    <w:rPr>
      <w:spacing w:val="-10"/>
      <w:kern w:val="32"/>
    </w:rPr>
  </w:style>
  <w:style w:type="paragraph" w:styleId="Heading4">
    <w:name w:val="heading 4"/>
    <w:basedOn w:val="HeadingBase"/>
    <w:next w:val="BodyText"/>
    <w:link w:val="Heading4Char"/>
    <w:qFormat/>
    <w:rsid w:val="00054342"/>
    <w:pPr>
      <w:spacing w:before="160" w:after="120"/>
      <w:outlineLvl w:val="3"/>
    </w:pPr>
    <w:rPr>
      <w:sz w:val="22"/>
    </w:rPr>
  </w:style>
  <w:style w:type="paragraph" w:styleId="Heading5">
    <w:name w:val="heading 5"/>
    <w:basedOn w:val="HeadingBase"/>
    <w:next w:val="Normal"/>
    <w:link w:val="Heading5Char"/>
    <w:qFormat/>
    <w:rsid w:val="00054342"/>
    <w:pPr>
      <w:spacing w:before="80"/>
      <w:outlineLvl w:val="4"/>
    </w:pPr>
    <w:rPr>
      <w:color w:val="918585"/>
      <w:sz w:val="20"/>
    </w:rPr>
  </w:style>
  <w:style w:type="paragraph" w:styleId="Heading6">
    <w:name w:val="heading 6"/>
    <w:basedOn w:val="HeadingBase"/>
    <w:next w:val="Normal"/>
    <w:link w:val="Heading6Char"/>
    <w:qFormat/>
    <w:rsid w:val="00054342"/>
    <w:pPr>
      <w:spacing w:before="60"/>
      <w:outlineLvl w:val="5"/>
    </w:pPr>
    <w:rPr>
      <w:color w:val="918585"/>
      <w:sz w:val="20"/>
    </w:rPr>
  </w:style>
  <w:style w:type="paragraph" w:styleId="Heading7">
    <w:name w:val="heading 7"/>
    <w:basedOn w:val="Normal"/>
    <w:next w:val="Normal"/>
    <w:link w:val="Heading7Char"/>
    <w:qFormat/>
    <w:rsid w:val="00054342"/>
    <w:pPr>
      <w:ind w:left="720"/>
      <w:outlineLvl w:val="6"/>
    </w:pPr>
    <w:rPr>
      <w:i/>
    </w:rPr>
  </w:style>
  <w:style w:type="paragraph" w:styleId="Heading8">
    <w:name w:val="heading 8"/>
    <w:basedOn w:val="Normal"/>
    <w:next w:val="Normal"/>
    <w:link w:val="Heading8Char"/>
    <w:qFormat/>
    <w:rsid w:val="00054342"/>
    <w:pPr>
      <w:ind w:left="720"/>
      <w:outlineLvl w:val="7"/>
    </w:pPr>
    <w:rPr>
      <w:i/>
    </w:rPr>
  </w:style>
  <w:style w:type="paragraph" w:styleId="Heading9">
    <w:name w:val="heading 9"/>
    <w:basedOn w:val="Normal"/>
    <w:next w:val="Normal"/>
    <w:link w:val="Heading9Char"/>
    <w:qFormat/>
    <w:rsid w:val="00054342"/>
    <w:pPr>
      <w:ind w:left="720"/>
      <w:outlineLvl w:val="8"/>
    </w:pPr>
    <w:rPr>
      <w:i/>
    </w:rPr>
  </w:style>
  <w:style w:type="character" w:default="1" w:styleId="DefaultParagraphFont">
    <w:name w:val="Default Paragraph Font"/>
    <w:uiPriority w:val="1"/>
    <w:unhideWhenUsed/>
    <w:rsid w:val="00054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342"/>
  </w:style>
  <w:style w:type="character" w:customStyle="1" w:styleId="Heading1Char">
    <w:name w:val="Heading 1 Char"/>
    <w:basedOn w:val="DefaultParagraphFont"/>
    <w:link w:val="Heading1"/>
    <w:rsid w:val="00054342"/>
    <w:rPr>
      <w:rFonts w:ascii="Times New Roman" w:eastAsia="Times New Roman" w:hAnsi="Times New Roman" w:cs="Times New Roman"/>
      <w:b/>
      <w:sz w:val="32"/>
      <w:szCs w:val="20"/>
      <w:lang w:eastAsia="en-US"/>
    </w:rPr>
  </w:style>
  <w:style w:type="paragraph" w:styleId="BodyText">
    <w:name w:val="Body Text"/>
    <w:basedOn w:val="Normal"/>
    <w:link w:val="BodyTextChar"/>
    <w:rsid w:val="00054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342"/>
    <w:rPr>
      <w:rFonts w:ascii="Times New Roman" w:eastAsia="Times New Roman" w:hAnsi="Times New Roman" w:cs="Times New Roman"/>
      <w:sz w:val="24"/>
      <w:lang w:eastAsia="en-US"/>
    </w:rPr>
  </w:style>
  <w:style w:type="paragraph" w:styleId="ListBullet">
    <w:name w:val="List Bullet"/>
    <w:basedOn w:val="List"/>
    <w:rsid w:val="00054342"/>
    <w:pPr>
      <w:numPr>
        <w:numId w:val="13"/>
      </w:numPr>
      <w:tabs>
        <w:tab w:val="clear" w:pos="340"/>
      </w:tabs>
      <w:spacing w:before="40" w:after="40"/>
    </w:pPr>
  </w:style>
  <w:style w:type="character" w:customStyle="1" w:styleId="SpecialBold">
    <w:name w:val="Special Bold"/>
    <w:basedOn w:val="DefaultParagraphFont"/>
    <w:rsid w:val="00054342"/>
    <w:rPr>
      <w:b/>
      <w:spacing w:val="0"/>
    </w:rPr>
  </w:style>
  <w:style w:type="paragraph" w:styleId="ListBullet2">
    <w:name w:val="List Bullet 2"/>
    <w:basedOn w:val="List2"/>
    <w:rsid w:val="00054342"/>
    <w:pPr>
      <w:numPr>
        <w:numId w:val="14"/>
      </w:numPr>
      <w:tabs>
        <w:tab w:val="clear" w:pos="680"/>
      </w:tabs>
    </w:pPr>
  </w:style>
  <w:style w:type="paragraph" w:customStyle="1" w:styleId="SuperHeading">
    <w:name w:val="SuperHeading"/>
    <w:basedOn w:val="Normal"/>
    <w:rsid w:val="00054342"/>
    <w:pPr>
      <w:spacing w:before="240" w:after="120"/>
      <w:outlineLvl w:val="0"/>
    </w:pPr>
    <w:rPr>
      <w:rFonts w:ascii="Times New Roman" w:hAnsi="Times New Roman"/>
      <w:b/>
      <w:sz w:val="32"/>
    </w:rPr>
  </w:style>
  <w:style w:type="paragraph" w:customStyle="1" w:styleId="AllowPageBreak">
    <w:name w:val="AllowPageBreak"/>
    <w:rsid w:val="00054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4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342"/>
    <w:rPr>
      <w:rFonts w:ascii="Courier New" w:eastAsia="Times New Roman" w:hAnsi="Courier New" w:cs="Times New Roman"/>
      <w:i/>
      <w:szCs w:val="20"/>
      <w:lang w:eastAsia="en-US"/>
    </w:rPr>
  </w:style>
  <w:style w:type="paragraph" w:customStyle="1" w:styleId="HeadingBase">
    <w:name w:val="Heading Base"/>
    <w:rsid w:val="00054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342"/>
    <w:pPr>
      <w:tabs>
        <w:tab w:val="right" w:leader="dot" w:pos="9072"/>
      </w:tabs>
      <w:ind w:left="567"/>
    </w:pPr>
    <w:rPr>
      <w:szCs w:val="22"/>
    </w:rPr>
  </w:style>
  <w:style w:type="paragraph" w:customStyle="1" w:styleId="TOCBase">
    <w:name w:val="TOC Base"/>
    <w:rsid w:val="00054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342"/>
    <w:pPr>
      <w:tabs>
        <w:tab w:val="right" w:leader="dot" w:pos="9072"/>
      </w:tabs>
      <w:spacing w:before="40" w:after="40"/>
      <w:ind w:left="284"/>
    </w:pPr>
    <w:rPr>
      <w:rFonts w:ascii="Times New Roman" w:hAnsi="Times New Roman"/>
    </w:rPr>
  </w:style>
  <w:style w:type="paragraph" w:styleId="TOC1">
    <w:name w:val="toc 1"/>
    <w:basedOn w:val="TOCBase"/>
    <w:next w:val="Normal"/>
    <w:rsid w:val="00054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342"/>
    <w:rPr>
      <w:rFonts w:ascii="Times New Roman" w:eastAsia="Times New Roman" w:hAnsi="Times New Roman" w:cs="Times New Roman"/>
      <w:sz w:val="16"/>
      <w:lang w:eastAsia="en-US"/>
    </w:rPr>
  </w:style>
  <w:style w:type="paragraph" w:styleId="Title">
    <w:name w:val="Title"/>
    <w:basedOn w:val="HeadingBase"/>
    <w:link w:val="TitleChar"/>
    <w:qFormat/>
    <w:rsid w:val="00054342"/>
    <w:pPr>
      <w:spacing w:before="5040"/>
      <w:jc w:val="center"/>
    </w:pPr>
    <w:rPr>
      <w:sz w:val="48"/>
      <w:szCs w:val="72"/>
      <w:lang w:val="en-US"/>
    </w:rPr>
  </w:style>
  <w:style w:type="character" w:customStyle="1" w:styleId="TitleChar">
    <w:name w:val="Title Char"/>
    <w:basedOn w:val="DefaultParagraphFont"/>
    <w:link w:val="Title"/>
    <w:rsid w:val="00054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342"/>
    <w:pPr>
      <w:tabs>
        <w:tab w:val="left" w:pos="3600"/>
        <w:tab w:val="left" w:pos="3958"/>
      </w:tabs>
    </w:pPr>
  </w:style>
  <w:style w:type="paragraph" w:styleId="List">
    <w:name w:val="List"/>
    <w:basedOn w:val="BodyText"/>
    <w:next w:val="BodyText"/>
    <w:rsid w:val="00054342"/>
    <w:pPr>
      <w:tabs>
        <w:tab w:val="left" w:pos="340"/>
      </w:tabs>
      <w:spacing w:before="60" w:after="60"/>
      <w:ind w:left="340" w:hanging="340"/>
    </w:pPr>
  </w:style>
  <w:style w:type="paragraph" w:customStyle="1" w:styleId="Note">
    <w:name w:val="Note"/>
    <w:basedOn w:val="BodyText"/>
    <w:rsid w:val="00054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342"/>
    <w:pPr>
      <w:framePr w:wrap="auto" w:hAnchor="text" w:y="6049"/>
    </w:pPr>
    <w:rPr>
      <w:color w:val="000000"/>
      <w:sz w:val="40"/>
    </w:rPr>
  </w:style>
  <w:style w:type="paragraph" w:customStyle="1" w:styleId="TOCTitle">
    <w:name w:val="TOCTitle"/>
    <w:basedOn w:val="Heading1"/>
    <w:rsid w:val="00054342"/>
    <w:pPr>
      <w:spacing w:after="240"/>
      <w:jc w:val="center"/>
      <w:outlineLvl w:val="9"/>
    </w:pPr>
    <w:rPr>
      <w:caps/>
    </w:rPr>
  </w:style>
  <w:style w:type="paragraph" w:customStyle="1" w:styleId="Version">
    <w:name w:val="Version"/>
    <w:rsid w:val="00054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342"/>
    <w:pPr>
      <w:keepNext w:val="0"/>
      <w:tabs>
        <w:tab w:val="right" w:pos="4176"/>
      </w:tabs>
      <w:ind w:left="198" w:hanging="198"/>
    </w:pPr>
    <w:rPr>
      <w:rFonts w:ascii="Garamond" w:hAnsi="Garamond"/>
    </w:rPr>
  </w:style>
  <w:style w:type="paragraph" w:styleId="IndexHeading">
    <w:name w:val="index heading"/>
    <w:basedOn w:val="Normal"/>
    <w:next w:val="Index1"/>
    <w:semiHidden/>
    <w:rsid w:val="00054342"/>
    <w:pPr>
      <w:spacing w:before="120" w:after="120"/>
    </w:pPr>
    <w:rPr>
      <w:rFonts w:ascii="Arial" w:hAnsi="Arial"/>
      <w:b/>
      <w:color w:val="918585"/>
      <w:sz w:val="24"/>
    </w:rPr>
  </w:style>
  <w:style w:type="paragraph" w:styleId="Header">
    <w:name w:val="header"/>
    <w:basedOn w:val="Normal"/>
    <w:link w:val="HeaderChar"/>
    <w:rsid w:val="00054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342"/>
    <w:rPr>
      <w:rFonts w:ascii="Times New Roman" w:eastAsia="Times New Roman" w:hAnsi="Times New Roman" w:cs="Times New Roman"/>
      <w:sz w:val="16"/>
      <w:szCs w:val="20"/>
      <w:lang w:val="en-GB" w:eastAsia="en-US"/>
    </w:rPr>
  </w:style>
  <w:style w:type="paragraph" w:customStyle="1" w:styleId="Chapter">
    <w:name w:val="Chapter"/>
    <w:basedOn w:val="Normal"/>
    <w:rsid w:val="00054342"/>
    <w:pPr>
      <w:spacing w:before="240"/>
    </w:pPr>
    <w:rPr>
      <w:rFonts w:ascii="Times New Roman" w:hAnsi="Times New Roman"/>
      <w:smallCaps/>
      <w:spacing w:val="80"/>
      <w:sz w:val="28"/>
    </w:rPr>
  </w:style>
  <w:style w:type="paragraph" w:customStyle="1" w:styleId="InChapter">
    <w:name w:val="InChapter"/>
    <w:basedOn w:val="Heading3"/>
    <w:rsid w:val="00054342"/>
    <w:pPr>
      <w:spacing w:after="240"/>
      <w:outlineLvl w:val="9"/>
    </w:pPr>
    <w:rPr>
      <w:noProof/>
    </w:rPr>
  </w:style>
  <w:style w:type="paragraph" w:styleId="Index2">
    <w:name w:val="index 2"/>
    <w:basedOn w:val="Normal"/>
    <w:next w:val="Normal"/>
    <w:semiHidden/>
    <w:rsid w:val="00054342"/>
    <w:pPr>
      <w:tabs>
        <w:tab w:val="right" w:pos="4176"/>
      </w:tabs>
      <w:ind w:left="568" w:hanging="284"/>
    </w:pPr>
    <w:rPr>
      <w:rFonts w:ascii="Garamond" w:hAnsi="Garamond"/>
    </w:rPr>
  </w:style>
  <w:style w:type="paragraph" w:customStyle="1" w:styleId="Byline">
    <w:name w:val="Byline"/>
    <w:rsid w:val="00054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342"/>
    <w:pPr>
      <w:tabs>
        <w:tab w:val="clear" w:pos="3600"/>
        <w:tab w:val="clear" w:pos="3958"/>
      </w:tabs>
      <w:jc w:val="right"/>
    </w:pPr>
  </w:style>
  <w:style w:type="character" w:styleId="Emphasis">
    <w:name w:val="Emphasis"/>
    <w:basedOn w:val="DefaultParagraphFont"/>
    <w:qFormat/>
    <w:rsid w:val="00054342"/>
    <w:rPr>
      <w:i/>
    </w:rPr>
  </w:style>
  <w:style w:type="paragraph" w:styleId="Caption">
    <w:name w:val="caption"/>
    <w:basedOn w:val="BodyText"/>
    <w:next w:val="Normal"/>
    <w:qFormat/>
    <w:rsid w:val="00054342"/>
    <w:pPr>
      <w:framePr w:w="2268" w:hSpace="181" w:vSpace="181" w:wrap="around" w:vAnchor="text" w:hAnchor="page" w:x="1135" w:y="285" w:anchorLock="1"/>
    </w:pPr>
    <w:rPr>
      <w:i/>
    </w:rPr>
  </w:style>
  <w:style w:type="paragraph" w:customStyle="1" w:styleId="MiniTOCTitle">
    <w:name w:val="MiniTOCTitle"/>
    <w:basedOn w:val="Heading4"/>
    <w:rsid w:val="00054342"/>
    <w:pPr>
      <w:spacing w:before="240"/>
      <w:outlineLvl w:val="9"/>
    </w:pPr>
    <w:rPr>
      <w:noProof/>
      <w:sz w:val="24"/>
    </w:rPr>
  </w:style>
  <w:style w:type="paragraph" w:customStyle="1" w:styleId="MiniTOCItem">
    <w:name w:val="MiniTOCItem"/>
    <w:basedOn w:val="ListBullet"/>
    <w:rsid w:val="00054342"/>
    <w:pPr>
      <w:numPr>
        <w:numId w:val="0"/>
      </w:numPr>
      <w:tabs>
        <w:tab w:val="right" w:leader="dot" w:pos="6521"/>
      </w:tabs>
      <w:spacing w:before="0" w:after="0"/>
    </w:pPr>
  </w:style>
  <w:style w:type="paragraph" w:customStyle="1" w:styleId="TOFTitle">
    <w:name w:val="TOFTitle"/>
    <w:basedOn w:val="TOCTitle"/>
    <w:rsid w:val="00054342"/>
  </w:style>
  <w:style w:type="paragraph" w:styleId="TableofFigures">
    <w:name w:val="table of figures"/>
    <w:basedOn w:val="Normal"/>
    <w:next w:val="Normal"/>
    <w:semiHidden/>
    <w:rsid w:val="00054342"/>
    <w:pPr>
      <w:tabs>
        <w:tab w:val="right" w:leader="dot" w:pos="9072"/>
      </w:tabs>
      <w:ind w:left="970" w:hanging="403"/>
    </w:pPr>
    <w:rPr>
      <w:rFonts w:ascii="Times New Roman" w:hAnsi="Times New Roman"/>
      <w:b/>
    </w:rPr>
  </w:style>
  <w:style w:type="paragraph" w:styleId="ListNumber">
    <w:name w:val="List Number"/>
    <w:basedOn w:val="List"/>
    <w:rsid w:val="00054342"/>
    <w:pPr>
      <w:numPr>
        <w:numId w:val="11"/>
      </w:numPr>
    </w:pPr>
  </w:style>
  <w:style w:type="character" w:customStyle="1" w:styleId="WingdingSymbols">
    <w:name w:val="Wingding Symbols"/>
    <w:rsid w:val="00054342"/>
    <w:rPr>
      <w:rFonts w:ascii="Wingdings" w:hAnsi="Wingdings"/>
    </w:rPr>
  </w:style>
  <w:style w:type="paragraph" w:customStyle="1" w:styleId="TableHeading">
    <w:name w:val="Table Heading"/>
    <w:basedOn w:val="HeadingBase"/>
    <w:rsid w:val="00054342"/>
    <w:pPr>
      <w:keepLines/>
      <w:pBdr>
        <w:bottom w:val="single" w:sz="6" w:space="1" w:color="918585"/>
      </w:pBdr>
      <w:spacing w:before="240"/>
    </w:pPr>
  </w:style>
  <w:style w:type="character" w:customStyle="1" w:styleId="HotSpot">
    <w:name w:val="HotSpot"/>
    <w:rsid w:val="00054342"/>
    <w:rPr>
      <w:color w:val="0033CC"/>
      <w:u w:val="none"/>
    </w:rPr>
  </w:style>
  <w:style w:type="paragraph" w:customStyle="1" w:styleId="BodyTextRight">
    <w:name w:val="Body Text Right"/>
    <w:basedOn w:val="BodyText"/>
    <w:rsid w:val="00054342"/>
    <w:pPr>
      <w:spacing w:before="0" w:after="0"/>
      <w:jc w:val="right"/>
    </w:pPr>
  </w:style>
  <w:style w:type="paragraph" w:styleId="Index3">
    <w:name w:val="index 3"/>
    <w:basedOn w:val="ListNumber2"/>
    <w:next w:val="Normal"/>
    <w:semiHidden/>
    <w:rsid w:val="00054342"/>
    <w:pPr>
      <w:numPr>
        <w:numId w:val="0"/>
      </w:numPr>
      <w:tabs>
        <w:tab w:val="right" w:leader="dot" w:pos="4176"/>
      </w:tabs>
    </w:pPr>
  </w:style>
  <w:style w:type="paragraph" w:styleId="ListNumber2">
    <w:name w:val="List Number 2"/>
    <w:basedOn w:val="List2"/>
    <w:rsid w:val="00054342"/>
    <w:pPr>
      <w:numPr>
        <w:numId w:val="10"/>
      </w:numPr>
      <w:tabs>
        <w:tab w:val="clear" w:pos="1060"/>
      </w:tabs>
    </w:pPr>
  </w:style>
  <w:style w:type="paragraph" w:customStyle="1" w:styleId="MarginNote">
    <w:name w:val="Margin Note"/>
    <w:basedOn w:val="BodyText"/>
    <w:rsid w:val="00054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342"/>
    <w:rPr>
      <w:sz w:val="32"/>
    </w:rPr>
  </w:style>
  <w:style w:type="paragraph" w:customStyle="1" w:styleId="HeadingProcedure">
    <w:name w:val="Heading Procedure"/>
    <w:basedOn w:val="HeadingBase"/>
    <w:next w:val="Normal"/>
    <w:rsid w:val="00054342"/>
    <w:pPr>
      <w:tabs>
        <w:tab w:val="left" w:pos="0"/>
      </w:tabs>
      <w:spacing w:before="120" w:after="60"/>
    </w:pPr>
    <w:rPr>
      <w:i/>
      <w:color w:val="918585"/>
      <w:sz w:val="22"/>
    </w:rPr>
  </w:style>
  <w:style w:type="paragraph" w:customStyle="1" w:styleId="TableBodyText">
    <w:name w:val="Table Body Text"/>
    <w:basedOn w:val="BodyText"/>
    <w:rsid w:val="00054342"/>
    <w:pPr>
      <w:spacing w:before="60" w:after="60"/>
    </w:pPr>
  </w:style>
  <w:style w:type="paragraph" w:styleId="ListContinue">
    <w:name w:val="List Continue"/>
    <w:basedOn w:val="List"/>
    <w:rsid w:val="00054342"/>
    <w:pPr>
      <w:ind w:firstLine="0"/>
    </w:pPr>
  </w:style>
  <w:style w:type="paragraph" w:customStyle="1" w:styleId="ListNote">
    <w:name w:val="List Note"/>
    <w:basedOn w:val="List"/>
    <w:rsid w:val="00054342"/>
    <w:pPr>
      <w:pBdr>
        <w:top w:val="single" w:sz="6" w:space="2" w:color="918585"/>
        <w:bottom w:val="single" w:sz="6" w:space="2" w:color="918585"/>
      </w:pBdr>
      <w:tabs>
        <w:tab w:val="left" w:pos="1021"/>
      </w:tabs>
      <w:ind w:firstLine="0"/>
    </w:pPr>
  </w:style>
  <w:style w:type="paragraph" w:customStyle="1" w:styleId="Warning">
    <w:name w:val="Warning"/>
    <w:basedOn w:val="BodyText"/>
    <w:rsid w:val="00054342"/>
    <w:pPr>
      <w:shd w:val="clear" w:color="auto" w:fill="D9D9D9"/>
      <w:tabs>
        <w:tab w:val="left" w:pos="992"/>
      </w:tabs>
      <w:ind w:left="119" w:right="119"/>
    </w:pPr>
    <w:rPr>
      <w:sz w:val="20"/>
    </w:rPr>
  </w:style>
  <w:style w:type="paragraph" w:customStyle="1" w:styleId="MarginIcons">
    <w:name w:val="Margin Icons"/>
    <w:basedOn w:val="BodyText"/>
    <w:rsid w:val="00054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342"/>
    <w:rPr>
      <w:rFonts w:ascii="Courier New" w:hAnsi="Courier New"/>
    </w:rPr>
  </w:style>
  <w:style w:type="paragraph" w:customStyle="1" w:styleId="NoteBullet">
    <w:name w:val="Note Bullet"/>
    <w:basedOn w:val="Note"/>
    <w:rsid w:val="00054342"/>
    <w:pPr>
      <w:tabs>
        <w:tab w:val="clear" w:pos="680"/>
      </w:tabs>
      <w:spacing w:before="60" w:after="60"/>
    </w:pPr>
  </w:style>
  <w:style w:type="paragraph" w:customStyle="1" w:styleId="SubHeading2">
    <w:name w:val="SubHeading2"/>
    <w:basedOn w:val="HeadingBase"/>
    <w:rsid w:val="00054342"/>
    <w:pPr>
      <w:spacing w:before="240" w:after="60"/>
    </w:pPr>
    <w:rPr>
      <w:sz w:val="20"/>
    </w:rPr>
  </w:style>
  <w:style w:type="paragraph" w:customStyle="1" w:styleId="SubHeading1">
    <w:name w:val="SubHeading1"/>
    <w:basedOn w:val="HeadingBase"/>
    <w:rsid w:val="00054342"/>
    <w:pPr>
      <w:spacing w:before="240" w:after="60"/>
    </w:pPr>
    <w:rPr>
      <w:color w:val="918585"/>
      <w:sz w:val="22"/>
    </w:rPr>
  </w:style>
  <w:style w:type="paragraph" w:customStyle="1" w:styleId="SideHeading">
    <w:name w:val="Side Heading"/>
    <w:basedOn w:val="HeadingBase"/>
    <w:rsid w:val="00054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342"/>
    <w:pPr>
      <w:numPr>
        <w:numId w:val="12"/>
      </w:numPr>
    </w:pPr>
  </w:style>
  <w:style w:type="paragraph" w:styleId="PlainText">
    <w:name w:val="Plain Text"/>
    <w:basedOn w:val="Normal"/>
    <w:link w:val="PlainTextChar"/>
    <w:rsid w:val="00054342"/>
    <w:rPr>
      <w:sz w:val="20"/>
    </w:rPr>
  </w:style>
  <w:style w:type="character" w:customStyle="1" w:styleId="PlainTextChar">
    <w:name w:val="Plain Text Char"/>
    <w:basedOn w:val="DefaultParagraphFont"/>
    <w:link w:val="PlainText"/>
    <w:rsid w:val="00054342"/>
    <w:rPr>
      <w:rFonts w:ascii="Courier New" w:eastAsia="Times New Roman" w:hAnsi="Courier New" w:cs="Times New Roman"/>
      <w:sz w:val="20"/>
      <w:szCs w:val="20"/>
      <w:lang w:eastAsia="en-US"/>
    </w:rPr>
  </w:style>
  <w:style w:type="character" w:customStyle="1" w:styleId="MenuOption">
    <w:name w:val="Menu Option"/>
    <w:basedOn w:val="DefaultParagraphFont"/>
    <w:rsid w:val="00054342"/>
    <w:rPr>
      <w:b/>
      <w:smallCaps/>
    </w:rPr>
  </w:style>
  <w:style w:type="paragraph" w:customStyle="1" w:styleId="TableListNumber">
    <w:name w:val="Table List Number"/>
    <w:basedOn w:val="ListNumber"/>
    <w:rsid w:val="00054342"/>
    <w:pPr>
      <w:numPr>
        <w:numId w:val="0"/>
      </w:numPr>
    </w:pPr>
  </w:style>
  <w:style w:type="paragraph" w:styleId="TOC4">
    <w:name w:val="toc 4"/>
    <w:basedOn w:val="TOCBase"/>
    <w:next w:val="Normal"/>
    <w:semiHidden/>
    <w:rsid w:val="00054342"/>
    <w:pPr>
      <w:tabs>
        <w:tab w:val="right" w:leader="dot" w:pos="9071"/>
      </w:tabs>
      <w:ind w:left="1701"/>
    </w:pPr>
  </w:style>
  <w:style w:type="paragraph" w:customStyle="1" w:styleId="ListAlpha">
    <w:name w:val="List Alpha"/>
    <w:basedOn w:val="List"/>
    <w:rsid w:val="00054342"/>
    <w:pPr>
      <w:numPr>
        <w:numId w:val="9"/>
      </w:numPr>
    </w:pPr>
  </w:style>
  <w:style w:type="paragraph" w:customStyle="1" w:styleId="ListAlpha2">
    <w:name w:val="List Alpha 2"/>
    <w:basedOn w:val="List2"/>
    <w:rsid w:val="00054342"/>
    <w:pPr>
      <w:numPr>
        <w:numId w:val="8"/>
      </w:numPr>
    </w:pPr>
  </w:style>
  <w:style w:type="paragraph" w:styleId="List2">
    <w:name w:val="List 2"/>
    <w:basedOn w:val="BodyText"/>
    <w:rsid w:val="00054342"/>
    <w:pPr>
      <w:tabs>
        <w:tab w:val="left" w:pos="680"/>
      </w:tabs>
      <w:spacing w:before="60" w:after="60"/>
      <w:ind w:left="680" w:hanging="340"/>
    </w:pPr>
  </w:style>
  <w:style w:type="paragraph" w:styleId="List3">
    <w:name w:val="List 3"/>
    <w:basedOn w:val="BodyText"/>
    <w:rsid w:val="00054342"/>
    <w:pPr>
      <w:tabs>
        <w:tab w:val="left" w:pos="1021"/>
      </w:tabs>
      <w:spacing w:before="60" w:after="60"/>
      <w:ind w:left="1020" w:hanging="340"/>
    </w:pPr>
  </w:style>
  <w:style w:type="paragraph" w:styleId="List4">
    <w:name w:val="List 4"/>
    <w:basedOn w:val="BodyText"/>
    <w:rsid w:val="00054342"/>
    <w:pPr>
      <w:tabs>
        <w:tab w:val="left" w:pos="1361"/>
      </w:tabs>
      <w:spacing w:before="60" w:after="60"/>
      <w:ind w:left="1361" w:hanging="340"/>
    </w:pPr>
  </w:style>
  <w:style w:type="paragraph" w:styleId="List5">
    <w:name w:val="List 5"/>
    <w:basedOn w:val="BodyText"/>
    <w:rsid w:val="00054342"/>
    <w:pPr>
      <w:tabs>
        <w:tab w:val="left" w:pos="1701"/>
      </w:tabs>
      <w:spacing w:before="60" w:after="60"/>
      <w:ind w:left="1701" w:hanging="340"/>
    </w:pPr>
  </w:style>
  <w:style w:type="paragraph" w:styleId="ListBullet3">
    <w:name w:val="List Bullet 3"/>
    <w:basedOn w:val="List3"/>
    <w:rsid w:val="00054342"/>
    <w:pPr>
      <w:numPr>
        <w:numId w:val="15"/>
      </w:numPr>
      <w:tabs>
        <w:tab w:val="clear" w:pos="1021"/>
      </w:tabs>
      <w:ind w:left="1037" w:hanging="357"/>
    </w:pPr>
  </w:style>
  <w:style w:type="paragraph" w:styleId="ListBullet4">
    <w:name w:val="List Bullet 4"/>
    <w:basedOn w:val="List4"/>
    <w:rsid w:val="00054342"/>
    <w:pPr>
      <w:numPr>
        <w:numId w:val="3"/>
      </w:numPr>
    </w:pPr>
  </w:style>
  <w:style w:type="paragraph" w:styleId="ListBullet5">
    <w:name w:val="List Bullet 5"/>
    <w:basedOn w:val="List5"/>
    <w:rsid w:val="00054342"/>
    <w:pPr>
      <w:numPr>
        <w:numId w:val="4"/>
      </w:numPr>
    </w:pPr>
  </w:style>
  <w:style w:type="paragraph" w:styleId="ListContinue2">
    <w:name w:val="List Continue 2"/>
    <w:basedOn w:val="List2"/>
    <w:rsid w:val="00054342"/>
    <w:pPr>
      <w:ind w:firstLine="0"/>
    </w:pPr>
  </w:style>
  <w:style w:type="paragraph" w:styleId="ListContinue3">
    <w:name w:val="List Continue 3"/>
    <w:basedOn w:val="List3"/>
    <w:rsid w:val="00054342"/>
    <w:pPr>
      <w:ind w:left="1021" w:firstLine="0"/>
    </w:pPr>
  </w:style>
  <w:style w:type="paragraph" w:styleId="ListContinue4">
    <w:name w:val="List Continue 4"/>
    <w:basedOn w:val="List4"/>
    <w:rsid w:val="00054342"/>
    <w:pPr>
      <w:ind w:firstLine="0"/>
    </w:pPr>
  </w:style>
  <w:style w:type="paragraph" w:styleId="ListContinue5">
    <w:name w:val="List Continue 5"/>
    <w:basedOn w:val="List5"/>
    <w:rsid w:val="00054342"/>
    <w:pPr>
      <w:ind w:firstLine="0"/>
    </w:pPr>
  </w:style>
  <w:style w:type="paragraph" w:styleId="ListNumber3">
    <w:name w:val="List Number 3"/>
    <w:basedOn w:val="List3"/>
    <w:rsid w:val="00054342"/>
    <w:pPr>
      <w:numPr>
        <w:numId w:val="5"/>
      </w:numPr>
    </w:pPr>
  </w:style>
  <w:style w:type="paragraph" w:styleId="ListNumber4">
    <w:name w:val="List Number 4"/>
    <w:basedOn w:val="List4"/>
    <w:rsid w:val="00054342"/>
    <w:pPr>
      <w:numPr>
        <w:numId w:val="6"/>
      </w:numPr>
    </w:pPr>
  </w:style>
  <w:style w:type="paragraph" w:styleId="ListNumber5">
    <w:name w:val="List Number 5"/>
    <w:basedOn w:val="List5"/>
    <w:rsid w:val="00054342"/>
    <w:pPr>
      <w:numPr>
        <w:numId w:val="7"/>
      </w:numPr>
    </w:pPr>
  </w:style>
  <w:style w:type="paragraph" w:styleId="BlockText">
    <w:name w:val="Block Text"/>
    <w:basedOn w:val="Normal"/>
    <w:rsid w:val="00054342"/>
    <w:pPr>
      <w:spacing w:after="120"/>
      <w:ind w:left="1440" w:right="1440"/>
    </w:pPr>
  </w:style>
  <w:style w:type="character" w:customStyle="1" w:styleId="Subscript">
    <w:name w:val="Subscript"/>
    <w:basedOn w:val="DefaultParagraphFont"/>
    <w:rsid w:val="00054342"/>
    <w:rPr>
      <w:sz w:val="16"/>
      <w:vertAlign w:val="subscript"/>
    </w:rPr>
  </w:style>
  <w:style w:type="character" w:customStyle="1" w:styleId="Superscript">
    <w:name w:val="Superscript"/>
    <w:basedOn w:val="DefaultParagraphFont"/>
    <w:rsid w:val="00054342"/>
    <w:rPr>
      <w:sz w:val="16"/>
      <w:vertAlign w:val="superscript"/>
    </w:rPr>
  </w:style>
  <w:style w:type="character" w:customStyle="1" w:styleId="Symbols">
    <w:name w:val="Symbols"/>
    <w:basedOn w:val="DefaultParagraphFont"/>
    <w:rsid w:val="00054342"/>
    <w:rPr>
      <w:rFonts w:ascii="Symbol" w:hAnsi="Symbol"/>
    </w:rPr>
  </w:style>
  <w:style w:type="character" w:customStyle="1" w:styleId="MenuOptions">
    <w:name w:val="Menu Options"/>
    <w:basedOn w:val="DefaultParagraphFont"/>
    <w:rsid w:val="00054342"/>
    <w:rPr>
      <w:rFonts w:ascii="Arial Narrow" w:hAnsi="Arial Narrow"/>
      <w:smallCaps/>
    </w:rPr>
  </w:style>
  <w:style w:type="character" w:customStyle="1" w:styleId="Buttons">
    <w:name w:val="Buttons"/>
    <w:basedOn w:val="DefaultParagraphFont"/>
    <w:rsid w:val="00054342"/>
    <w:rPr>
      <w:b/>
    </w:rPr>
  </w:style>
  <w:style w:type="character" w:customStyle="1" w:styleId="Underlined">
    <w:name w:val="Underlined"/>
    <w:basedOn w:val="DefaultParagraphFont"/>
    <w:rsid w:val="00054342"/>
    <w:rPr>
      <w:u w:val="single"/>
    </w:rPr>
  </w:style>
  <w:style w:type="paragraph" w:customStyle="1" w:styleId="TableBodyTextRight">
    <w:name w:val="Table Body Text Right"/>
    <w:basedOn w:val="TableBodyText"/>
    <w:rsid w:val="00054342"/>
    <w:pPr>
      <w:widowControl w:val="0"/>
      <w:autoSpaceDE w:val="0"/>
      <w:autoSpaceDN w:val="0"/>
      <w:adjustRightInd w:val="0"/>
      <w:jc w:val="right"/>
    </w:pPr>
    <w:rPr>
      <w:rFonts w:cs="Arial"/>
      <w:szCs w:val="18"/>
    </w:rPr>
  </w:style>
  <w:style w:type="paragraph" w:customStyle="1" w:styleId="CopyrightText">
    <w:name w:val="Copyright Text"/>
    <w:basedOn w:val="BodyText"/>
    <w:rsid w:val="00054342"/>
    <w:rPr>
      <w:sz w:val="18"/>
    </w:rPr>
  </w:style>
  <w:style w:type="paragraph" w:customStyle="1" w:styleId="BodySmallRight">
    <w:name w:val="Body Small Right"/>
    <w:basedOn w:val="BodyTextRight"/>
    <w:rsid w:val="00054342"/>
    <w:rPr>
      <w:sz w:val="18"/>
      <w:szCs w:val="18"/>
    </w:rPr>
  </w:style>
  <w:style w:type="paragraph" w:customStyle="1" w:styleId="MarginEdition">
    <w:name w:val="Margin Edition"/>
    <w:basedOn w:val="MarginNote"/>
    <w:rsid w:val="00054342"/>
    <w:pPr>
      <w:spacing w:before="0" w:after="0"/>
    </w:pPr>
    <w:rPr>
      <w:rFonts w:ascii="Times New Roman" w:hAnsi="Times New Roman"/>
      <w:color w:val="999999"/>
    </w:rPr>
  </w:style>
  <w:style w:type="paragraph" w:customStyle="1" w:styleId="Spacer">
    <w:name w:val="Spacer"/>
    <w:basedOn w:val="Normal"/>
    <w:rsid w:val="00054342"/>
    <w:rPr>
      <w:sz w:val="2"/>
      <w:szCs w:val="2"/>
    </w:rPr>
  </w:style>
  <w:style w:type="character" w:customStyle="1" w:styleId="Small">
    <w:name w:val="Small"/>
    <w:basedOn w:val="DefaultParagraphFont"/>
    <w:rsid w:val="00054342"/>
    <w:rPr>
      <w:sz w:val="16"/>
    </w:rPr>
  </w:style>
  <w:style w:type="paragraph" w:customStyle="1" w:styleId="WideTable">
    <w:name w:val="Wide Table"/>
    <w:basedOn w:val="Normal"/>
    <w:rsid w:val="00054342"/>
    <w:pPr>
      <w:ind w:left="-1418"/>
    </w:pPr>
    <w:rPr>
      <w:sz w:val="2"/>
      <w:szCs w:val="2"/>
    </w:rPr>
  </w:style>
  <w:style w:type="character" w:styleId="PageNumber">
    <w:name w:val="page number"/>
    <w:basedOn w:val="DefaultParagraphFont"/>
    <w:rsid w:val="00054342"/>
  </w:style>
  <w:style w:type="paragraph" w:styleId="Quote">
    <w:name w:val="Quote"/>
    <w:basedOn w:val="Heading1"/>
    <w:link w:val="QuoteChar"/>
    <w:qFormat/>
    <w:rsid w:val="00054342"/>
    <w:rPr>
      <w:b w:val="0"/>
      <w:sz w:val="72"/>
      <w:szCs w:val="72"/>
      <w:lang w:val="en-NZ"/>
    </w:rPr>
  </w:style>
  <w:style w:type="character" w:customStyle="1" w:styleId="QuoteChar">
    <w:name w:val="Quote Char"/>
    <w:basedOn w:val="DefaultParagraphFont"/>
    <w:link w:val="Quote"/>
    <w:rsid w:val="00054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342"/>
    <w:pPr>
      <w:pageBreakBefore/>
    </w:pPr>
  </w:style>
  <w:style w:type="paragraph" w:customStyle="1" w:styleId="Border">
    <w:name w:val="Border"/>
    <w:basedOn w:val="Normal"/>
    <w:qFormat/>
    <w:rsid w:val="00054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342"/>
    <w:rPr>
      <w:b/>
      <w:bCs/>
      <w:i/>
      <w:iCs/>
      <w:color w:val="auto"/>
    </w:rPr>
  </w:style>
  <w:style w:type="paragraph" w:styleId="IntenseQuote">
    <w:name w:val="Intense Quote"/>
    <w:basedOn w:val="Normal"/>
    <w:next w:val="Normal"/>
    <w:link w:val="IntenseQuoteChar"/>
    <w:uiPriority w:val="30"/>
    <w:qFormat/>
    <w:rsid w:val="00054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342"/>
    <w:rPr>
      <w:smallCaps/>
      <w:color w:val="auto"/>
      <w:u w:val="single"/>
    </w:rPr>
  </w:style>
  <w:style w:type="character" w:styleId="IntenseReference">
    <w:name w:val="Intense Reference"/>
    <w:basedOn w:val="DefaultParagraphFont"/>
    <w:uiPriority w:val="32"/>
    <w:qFormat/>
    <w:rsid w:val="00054342"/>
    <w:rPr>
      <w:b/>
      <w:bCs/>
      <w:smallCaps/>
      <w:color w:val="auto"/>
      <w:spacing w:val="5"/>
      <w:u w:val="single"/>
    </w:rPr>
  </w:style>
  <w:style w:type="paragraph" w:customStyle="1" w:styleId="2ColumnHeading">
    <w:name w:val="2Column Heading"/>
    <w:basedOn w:val="BodyText"/>
    <w:qFormat/>
    <w:rsid w:val="00054342"/>
    <w:pPr>
      <w:spacing w:after="60"/>
      <w:ind w:left="-2268"/>
    </w:pPr>
    <w:rPr>
      <w:b/>
    </w:rPr>
  </w:style>
  <w:style w:type="paragraph" w:customStyle="1" w:styleId="Heading1TOC">
    <w:name w:val="Heading1 TOC"/>
    <w:basedOn w:val="Normal"/>
    <w:qFormat/>
    <w:rsid w:val="00054342"/>
    <w:pPr>
      <w:spacing w:before="240" w:after="120"/>
    </w:pPr>
    <w:rPr>
      <w:rFonts w:ascii="Times New Roman" w:hAnsi="Times New Roman"/>
      <w:b/>
      <w:sz w:val="32"/>
    </w:rPr>
  </w:style>
  <w:style w:type="paragraph" w:customStyle="1" w:styleId="Heading2TOC">
    <w:name w:val="Heading2 TOC"/>
    <w:basedOn w:val="Normal"/>
    <w:qFormat/>
    <w:rsid w:val="00054342"/>
    <w:pPr>
      <w:spacing w:before="240" w:after="60"/>
    </w:pPr>
    <w:rPr>
      <w:rFonts w:ascii="Times New Roman" w:hAnsi="Times New Roman"/>
      <w:b/>
      <w:sz w:val="28"/>
    </w:rPr>
  </w:style>
  <w:style w:type="character" w:customStyle="1" w:styleId="Underline">
    <w:name w:val="Underline"/>
    <w:basedOn w:val="DefaultParagraphFont"/>
    <w:qFormat/>
    <w:rsid w:val="00054342"/>
    <w:rPr>
      <w:u w:val="single"/>
    </w:rPr>
  </w:style>
  <w:style w:type="character" w:customStyle="1" w:styleId="BoldandItalics">
    <w:name w:val="Bold and Italics"/>
    <w:qFormat/>
    <w:rsid w:val="00054342"/>
    <w:rPr>
      <w:b/>
      <w:i/>
      <w:u w:val="none"/>
    </w:rPr>
  </w:style>
  <w:style w:type="paragraph" w:styleId="BalloonText">
    <w:name w:val="Balloon Text"/>
    <w:basedOn w:val="Normal"/>
    <w:link w:val="BalloonTextChar"/>
    <w:rsid w:val="00054342"/>
    <w:rPr>
      <w:rFonts w:ascii="Tahoma" w:hAnsi="Tahoma" w:cs="Tahoma"/>
      <w:sz w:val="16"/>
      <w:szCs w:val="16"/>
    </w:rPr>
  </w:style>
  <w:style w:type="character" w:customStyle="1" w:styleId="BalloonTextChar">
    <w:name w:val="Balloon Text Char"/>
    <w:basedOn w:val="DefaultParagraphFont"/>
    <w:link w:val="BalloonText"/>
    <w:rsid w:val="00054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342"/>
    <w:rPr>
      <w:b/>
      <w:color w:val="660033"/>
      <w:spacing w:val="0"/>
    </w:rPr>
  </w:style>
  <w:style w:type="paragraph" w:customStyle="1" w:styleId="Nameditemlist">
    <w:name w:val="Named item list"/>
    <w:basedOn w:val="BodyText"/>
    <w:qFormat/>
    <w:rsid w:val="00054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2457</Words>
  <Characters>15414</Characters>
  <Application>Microsoft Office Word</Application>
  <DocSecurity>0</DocSecurity>
  <Lines>543</Lines>
  <Paragraphs>278</Paragraphs>
  <ScaleCrop>false</ScaleCrop>
  <Company>Author-it Software Corporation Ltd.</Company>
  <LinksUpToDate>false</LinksUpToDate>
  <CharactersWithSpaces>17756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UEENEEJ143A Design complex air conditioning systems and select equipment</dc:title>
  <dc:subject>Approved</dc:subject>
  <dc:creator>E-OZ Training Standards</dc:creator>
  <cp:keywords>Release: 3</cp:keywords>
  <dc:description>Review Date: 12 April 2008</dc:description>
  <cp:lastModifiedBy>TPCMS</cp:lastModifiedBy>
  <cp:revision>3</cp:revision>
  <dcterms:created xsi:type="dcterms:W3CDTF">2013-08-14T07:51:00Z</dcterms:created>
  <dcterms:modified xsi:type="dcterms:W3CDTF">2013-08-14T07:51:00Z</dcterms:modified>
</cp:coreProperties>
</file>