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B45" w:rsidP="006F1B45">
      <w:pPr>
        <w:pStyle w:val="Title"/>
      </w:pPr>
      <w:r>
        <w:fldChar w:fldCharType="begin"/>
      </w:r>
      <w:r>
        <w:instrText xml:space="preserve"> TITLE   \* MERGEFORMAT </w:instrText>
      </w:r>
      <w:r>
        <w:fldChar w:fldCharType="separate"/>
      </w:r>
      <w:r>
        <w:t>UEENEEJ141A Design complex commercial refrigeration systems and select equipment</w:t>
      </w:r>
      <w:r>
        <w:fldChar w:fldCharType="end"/>
      </w:r>
    </w:p>
    <w:p w:rsidR="006F1B45" w:rsidP="006F1B45">
      <w:pPr>
        <w:pStyle w:val="Version"/>
        <w:sectPr w:rsidSect="001215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215C2" w:rsidP="001215C2">
      <w:pPr>
        <w:pStyle w:val="SuperHeading"/>
      </w:pPr>
      <w:r w:rsidRPr="001215C2">
        <w:t>UEENEEJ141A Design complex commercial refrigeration systems and select equipment</w:t>
      </w:r>
    </w:p>
    <w:p w:rsidR="00000000" w:rsidRPr="001215C2" w:rsidP="001215C2">
      <w:pPr>
        <w:pStyle w:val="Heading1"/>
      </w:pPr>
      <w:bookmarkStart w:id="1" w:name="O_589947"/>
      <w:bookmarkEnd w:id="1"/>
      <w:r w:rsidRPr="001215C2">
        <w:t>Modification History</w:t>
      </w:r>
    </w:p>
    <w:p w:rsidR="00000000" w:rsidRPr="001215C2" w:rsidP="001215C2">
      <w:pPr>
        <w:pStyle w:val="BodyText"/>
      </w:pPr>
      <w:r w:rsidRPr="001215C2">
        <w:t>Not Applicable</w:t>
      </w:r>
    </w:p>
    <w:p w:rsidR="00000000" w:rsidRPr="001215C2" w:rsidP="001215C2">
      <w:pPr>
        <w:pStyle w:val="AllowPageBreak"/>
      </w:pPr>
    </w:p>
    <w:p w:rsidR="00000000" w:rsidRPr="001215C2" w:rsidP="001215C2">
      <w:pPr>
        <w:pStyle w:val="Heading1"/>
      </w:pPr>
      <w:bookmarkStart w:id="2" w:name="O_589946"/>
      <w:bookmarkEnd w:id="2"/>
      <w:r w:rsidRPr="001215C2">
        <w:t>Unit Descriptor</w:t>
      </w:r>
    </w:p>
    <w:tbl>
      <w:tblPr>
        <w:tblW w:w="0" w:type="auto"/>
        <w:tblLayout w:type="fixed"/>
        <w:tblCellMar>
          <w:left w:w="62" w:type="dxa"/>
          <w:right w:w="62" w:type="dxa"/>
        </w:tblCellMar>
        <w:tblLook w:val="0000"/>
      </w:tblPr>
      <w:tblGrid>
        <w:gridCol w:w="2700"/>
        <w:gridCol w:w="5760"/>
      </w:tblGrid>
      <w:tr w:rsidTr="006F1B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rPr>
                <w:rStyle w:val="SpecialBold"/>
              </w:rPr>
              <w:t>1</w:t>
            </w:r>
            <w:r w:rsidRPr="001215C2">
              <w:t xml:space="preserve">) </w:t>
            </w:r>
          </w:p>
          <w:p w:rsidR="00000000" w:rsidP="001215C2">
            <w:pPr>
              <w:pStyle w:val="BodyText"/>
              <w:rPr>
                <w:lang w:val="en-NZ"/>
              </w:rPr>
            </w:pPr>
            <w:r w:rsidRPr="001215C2">
              <w:rPr>
                <w:rStyle w:val="SpecialBold"/>
              </w:rPr>
              <w:t>1</w:t>
            </w:r>
            <w:r w:rsidRPr="001215C2">
              <w:t>.</w:t>
            </w:r>
            <w:r w:rsidRPr="001215C2">
              <w:rPr>
                <w:rStyle w:val="SpecialBold"/>
              </w:rPr>
              <w:t>1</w:t>
            </w:r>
            <w:r w:rsidRPr="001215C2">
              <w:t xml:space="preserve">) </w:t>
            </w:r>
            <w:r w:rsidRPr="001215C2">
              <w:rPr>
                <w:rStyle w:val="SpecialBold"/>
              </w:rPr>
              <w:t>Descriptor</w:t>
            </w:r>
          </w:p>
        </w:tc>
      </w:tr>
      <w:tr w:rsidTr="006F1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t>This unit covers the design of complex commercial refrigeration systems. It encompasses applying knowledge of complex commercial refrigeration systems, safety and regulatory requirements, developing alternative design schemes based on a design brief and cu</w:t>
            </w:r>
            <w:r w:rsidRPr="001215C2">
              <w:t>stomer requirements and documenting system designs.</w:t>
            </w:r>
          </w:p>
        </w:tc>
      </w:tr>
    </w:tbl>
    <w:p w:rsidR="006F1B45" w:rsidP="001215C2">
      <w:pPr>
        <w:pStyle w:val="BodyText"/>
      </w:pPr>
    </w:p>
    <w:p w:rsidR="006F1B45" w:rsidP="001215C2">
      <w:pPr>
        <w:pStyle w:val="BodyText"/>
      </w:pPr>
    </w:p>
    <w:p w:rsidR="00000000" w:rsidRPr="001215C2" w:rsidP="001215C2">
      <w:pPr>
        <w:pStyle w:val="Heading1"/>
      </w:pPr>
      <w:bookmarkStart w:id="3" w:name="O_589945"/>
      <w:bookmarkEnd w:id="3"/>
      <w:r w:rsidRPr="001215C2">
        <w:t>Application of the Unit</w:t>
      </w:r>
    </w:p>
    <w:tbl>
      <w:tblPr>
        <w:tblW w:w="0" w:type="auto"/>
        <w:tblLayout w:type="fixed"/>
        <w:tblCellMar>
          <w:left w:w="62" w:type="dxa"/>
          <w:right w:w="62" w:type="dxa"/>
        </w:tblCellMar>
        <w:tblLook w:val="0000"/>
      </w:tblPr>
      <w:tblGrid>
        <w:gridCol w:w="2700"/>
        <w:gridCol w:w="5760"/>
      </w:tblGrid>
      <w:tr w:rsidTr="006F1B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rPr>
                <w:rStyle w:val="SpecialBold"/>
              </w:rPr>
              <w:t>4</w:t>
            </w:r>
            <w:r w:rsidRPr="001215C2">
              <w:t>)</w:t>
            </w:r>
          </w:p>
        </w:tc>
      </w:tr>
      <w:tr w:rsidTr="006F1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t xml:space="preserve">This unit is intended to augment formally acquired competencies. It is suitable for employment-based programs under an approved contract of training or institutional based delivery. It applies to any formal recognition for this standard at the aligned AQF </w:t>
            </w:r>
            <w:r w:rsidRPr="001215C2">
              <w:t>6 level.</w:t>
            </w:r>
          </w:p>
        </w:tc>
      </w:tr>
    </w:tbl>
    <w:p w:rsidR="006F1B45" w:rsidP="001215C2">
      <w:pPr>
        <w:pStyle w:val="BodyText"/>
      </w:pPr>
    </w:p>
    <w:p w:rsidR="006F1B45" w:rsidP="001215C2">
      <w:pPr>
        <w:pStyle w:val="BodyText"/>
      </w:pPr>
    </w:p>
    <w:p w:rsidR="00000000" w:rsidRPr="001215C2" w:rsidP="001215C2">
      <w:pPr>
        <w:pStyle w:val="Heading1"/>
      </w:pPr>
      <w:bookmarkStart w:id="4" w:name="O_589944"/>
      <w:bookmarkEnd w:id="4"/>
      <w:r w:rsidRPr="001215C2">
        <w:t>Licensing/Regulatory Information</w:t>
      </w:r>
    </w:p>
    <w:tbl>
      <w:tblPr>
        <w:tblW w:w="0" w:type="auto"/>
        <w:tblLayout w:type="fixed"/>
        <w:tblCellMar>
          <w:left w:w="62" w:type="dxa"/>
          <w:right w:w="62" w:type="dxa"/>
        </w:tblCellMar>
        <w:tblLook w:val="0000"/>
      </w:tblPr>
      <w:tblGrid>
        <w:gridCol w:w="2700"/>
        <w:gridCol w:w="5760"/>
      </w:tblGrid>
      <w:tr w:rsidTr="006F1B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15C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rPr>
                <w:rStyle w:val="SpecialBold"/>
              </w:rPr>
              <w:t>1</w:t>
            </w:r>
            <w:r w:rsidRPr="001215C2">
              <w:t>.</w:t>
            </w:r>
            <w:r w:rsidRPr="001215C2">
              <w:rPr>
                <w:rStyle w:val="SpecialBold"/>
              </w:rPr>
              <w:t>2</w:t>
            </w:r>
            <w:r w:rsidRPr="001215C2">
              <w:t xml:space="preserve">) </w:t>
            </w:r>
            <w:r w:rsidRPr="001215C2">
              <w:rPr>
                <w:rStyle w:val="SpecialBold"/>
              </w:rPr>
              <w:t>License to practice</w:t>
            </w:r>
          </w:p>
        </w:tc>
      </w:tr>
      <w:tr w:rsidTr="006F1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t>The skills and knowledge described in this unit do not require a license to practice in the workplace. However, practice in this unit is subject to regulations direct</w:t>
            </w:r>
            <w:r w:rsidRPr="001215C2">
              <w:t>ly related to occupational health and safety and where applicable contracts of training such as apprenticeships.3. Prerequisites.</w:t>
            </w:r>
          </w:p>
        </w:tc>
      </w:tr>
    </w:tbl>
    <w:p w:rsidR="00000000" w:rsidRPr="001215C2" w:rsidP="001215C2">
      <w:pPr>
        <w:pStyle w:val="BodyText"/>
      </w:pPr>
    </w:p>
    <w:p w:rsidR="00000000" w:rsidRPr="001215C2" w:rsidP="001215C2">
      <w:pPr>
        <w:pStyle w:val="AllowPageBreak"/>
      </w:pPr>
    </w:p>
    <w:p w:rsidR="00000000" w:rsidRPr="001215C2" w:rsidP="001215C2">
      <w:pPr>
        <w:pStyle w:val="Heading1"/>
      </w:pPr>
      <w:bookmarkStart w:id="5" w:name="O_589943"/>
      <w:bookmarkEnd w:id="5"/>
      <w:r w:rsidRPr="001215C2">
        <w:t>Pre-Requisites</w:t>
      </w:r>
    </w:p>
    <w:tbl>
      <w:tblPr>
        <w:tblW w:w="0" w:type="auto"/>
        <w:tblLayout w:type="fixed"/>
        <w:tblCellMar>
          <w:left w:w="62" w:type="dxa"/>
          <w:right w:w="62" w:type="dxa"/>
        </w:tblCellMar>
        <w:tblLook w:val="0000"/>
      </w:tblPr>
      <w:tblGrid>
        <w:gridCol w:w="2700"/>
        <w:gridCol w:w="5760"/>
      </w:tblGrid>
      <w:tr w:rsidTr="006F1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rPr>
                <w:rStyle w:val="SpecialBold"/>
              </w:rPr>
              <w:t>Prerequisite Unit</w:t>
            </w:r>
            <w:r w:rsidRPr="001215C2">
              <w:t>(</w:t>
            </w:r>
            <w:r w:rsidRPr="001215C2">
              <w:rPr>
                <w:rStyle w:val="SpecialBold"/>
              </w:rPr>
              <w:t>s</w:t>
            </w:r>
            <w:r w:rsidRPr="001215C2">
              <w:t>)</w:t>
            </w:r>
          </w:p>
        </w:tc>
        <w:tc>
          <w:tcPr>
            <w:tcW w:w="576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rPr>
                <w:rStyle w:val="SpecialBold"/>
              </w:rPr>
              <w:t>2</w:t>
            </w:r>
            <w:r w:rsidRPr="001215C2">
              <w:t xml:space="preserve">) </w:t>
            </w:r>
          </w:p>
        </w:tc>
      </w:tr>
      <w:tr w:rsidTr="006F1B45">
        <w:tblPrEx>
          <w:tblW w:w="0" w:type="auto"/>
          <w:tblLayout w:type="fixed"/>
          <w:tblCellMar>
            <w:left w:w="62" w:type="dxa"/>
            <w:right w:w="62" w:type="dxa"/>
          </w:tblCellMar>
          <w:tblLook w:val="0000"/>
        </w:tblPrEx>
        <w:trPr>
          <w:trHeight w:val="483"/>
        </w:trPr>
        <w:tc>
          <w:tcPr>
            <w:tcW w:w="2700" w:type="dxa"/>
            <w:tcBorders>
              <w:top w:val="nil"/>
              <w:left w:val="nil"/>
              <w:bottom w:val="nil"/>
              <w:right w:val="nil"/>
            </w:tcBorders>
            <w:tcMar>
              <w:top w:w="0" w:type="dxa"/>
              <w:left w:w="62" w:type="dxa"/>
              <w:bottom w:w="0" w:type="dxa"/>
              <w:right w:w="62" w:type="dxa"/>
            </w:tcMar>
          </w:tcPr>
          <w:p w:rsidR="00000000" w:rsidRPr="001215C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rPr>
                <w:rStyle w:val="SpecialBold"/>
              </w:rPr>
              <w:t>2</w:t>
            </w:r>
            <w:r w:rsidRPr="001215C2">
              <w:t>.</w:t>
            </w:r>
            <w:r w:rsidRPr="001215C2">
              <w:rPr>
                <w:rStyle w:val="SpecialBold"/>
              </w:rPr>
              <w:t>1</w:t>
            </w:r>
            <w:r w:rsidRPr="001215C2">
              <w:t xml:space="preserve">) </w:t>
            </w:r>
            <w:r w:rsidRPr="001215C2">
              <w:rPr>
                <w:rStyle w:val="SpecialBold"/>
              </w:rPr>
              <w:t>Competencies</w:t>
            </w:r>
          </w:p>
        </w:tc>
      </w:tr>
      <w:tr w:rsidTr="006F1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t>Granting competency in this unit shall be made only after competency in the following unit(s) has/have been confirmed.</w:t>
            </w:r>
          </w:p>
          <w:p w:rsidR="00000000" w:rsidRPr="001215C2" w:rsidP="001215C2">
            <w:pPr>
              <w:pStyle w:val="BodyText"/>
            </w:pPr>
            <w:r w:rsidRPr="001215C2">
              <w:t>UEENEEJ132A Design commercial refrigeration systems and select components</w:t>
            </w:r>
          </w:p>
          <w:p w:rsidR="00000000" w:rsidRPr="001215C2" w:rsidP="001215C2">
            <w:pPr>
              <w:pStyle w:val="BodyText"/>
            </w:pPr>
            <w:r w:rsidRPr="001215C2">
              <w:t>UEENEEJ138A Analyse vibration and noise in refrigeration and ai</w:t>
            </w:r>
            <w:r w:rsidRPr="001215C2">
              <w:t>r conditioning systems</w:t>
            </w:r>
          </w:p>
          <w:p w:rsidR="00000000" w:rsidRPr="001215C2" w:rsidP="001215C2">
            <w:pPr>
              <w:pStyle w:val="BodyText"/>
            </w:pPr>
            <w:r w:rsidRPr="001215C2">
              <w:t>UEENEEJ127A Establish the thermodynamic parameters of refrigeration and air conditioning systems</w:t>
            </w:r>
          </w:p>
          <w:p w:rsidR="00000000" w:rsidRPr="001215C2" w:rsidP="001215C2">
            <w:pPr>
              <w:pStyle w:val="BodyText"/>
            </w:pPr>
            <w:r w:rsidRPr="001215C2">
              <w:t>UEENEEJ129A Establish heat loads for commercial refrigeration and/or air conditioning applications</w:t>
            </w:r>
          </w:p>
          <w:p w:rsidR="00000000" w:rsidRPr="001215C2" w:rsidP="001215C2">
            <w:pPr>
              <w:pStyle w:val="BodyText"/>
            </w:pPr>
            <w:r w:rsidRPr="001215C2">
              <w:t>UEENEEJ165A Evaluate thermodynamic and fluid parameters of refrigeration systems</w:t>
            </w:r>
          </w:p>
          <w:p w:rsidR="00000000" w:rsidRPr="001215C2" w:rsidP="001215C2">
            <w:pPr>
              <w:pStyle w:val="BodyText"/>
            </w:pPr>
            <w:r w:rsidRPr="001215C2">
              <w:t>UEENEEJ164A Analyse the operation of HVAC air and hydronic systems</w:t>
            </w:r>
          </w:p>
          <w:p w:rsidR="00000000" w:rsidRPr="001215C2" w:rsidP="001215C2">
            <w:pPr>
              <w:pStyle w:val="BodyText"/>
            </w:pPr>
            <w:r w:rsidRPr="001215C2">
              <w:t>UEENEEJ192A Analyse the psychrometric performance of HVAC/R systems</w:t>
            </w:r>
          </w:p>
          <w:p w:rsidR="00000000" w:rsidRPr="001215C2" w:rsidP="001215C2">
            <w:pPr>
              <w:pStyle w:val="BodyText"/>
            </w:pPr>
            <w:r w:rsidRPr="001215C2">
              <w:t xml:space="preserve">and </w:t>
            </w:r>
          </w:p>
          <w:p w:rsidR="00000000" w:rsidRPr="001215C2" w:rsidP="001215C2">
            <w:pPr>
              <w:pStyle w:val="BodyText"/>
            </w:pPr>
            <w:r w:rsidRPr="001215C2">
              <w:t>UEENEEJ193A  Analyse the thermodyna</w:t>
            </w:r>
            <w:r w:rsidRPr="001215C2">
              <w:t>mic performance of HVAC/R systems</w:t>
            </w:r>
          </w:p>
          <w:p w:rsidR="00000000" w:rsidRPr="001215C2" w:rsidP="001215C2">
            <w:pPr>
              <w:pStyle w:val="BodyText"/>
            </w:pPr>
            <w:r w:rsidRPr="001215C2">
              <w:t xml:space="preserve">or </w:t>
            </w:r>
          </w:p>
          <w:p w:rsidR="00000000" w:rsidRPr="001215C2" w:rsidP="001215C2">
            <w:pPr>
              <w:pStyle w:val="BodyText"/>
            </w:pPr>
            <w:r w:rsidRPr="001215C2">
              <w:t>UEENEEJ109A Verify functionality and compliance of refrigeration and air conditioning installations</w:t>
            </w:r>
          </w:p>
          <w:p w:rsidR="00000000" w:rsidRPr="001215C2" w:rsidP="001215C2">
            <w:pPr>
              <w:pStyle w:val="BodyText"/>
            </w:pPr>
            <w:r w:rsidRPr="001215C2">
              <w:t>UEENEEE101A Apply Occupational Health and Safety regulations, codes and practices in the workplace</w:t>
            </w:r>
          </w:p>
          <w:p w:rsidR="00000000" w:rsidRPr="001215C2" w:rsidP="001215C2">
            <w:pPr>
              <w:pStyle w:val="BodyText"/>
            </w:pPr>
            <w:r w:rsidRPr="001215C2">
              <w:t>UEENEEE102A Fabrica</w:t>
            </w:r>
            <w:r w:rsidRPr="001215C2">
              <w:t>te, assemble and dismantle utilities industry components</w:t>
            </w:r>
          </w:p>
          <w:p w:rsidR="00000000" w:rsidRPr="001215C2" w:rsidP="001215C2">
            <w:pPr>
              <w:pStyle w:val="BodyText"/>
            </w:pPr>
            <w:r w:rsidRPr="001215C2">
              <w:t>UEENEEE003B Solve problems in extra-low voltage single path circuits</w:t>
            </w:r>
          </w:p>
          <w:p w:rsidR="00000000" w:rsidRPr="001215C2" w:rsidP="001215C2">
            <w:pPr>
              <w:pStyle w:val="BodyText"/>
            </w:pPr>
            <w:r w:rsidRPr="001215C2">
              <w:t>UEENEEE105A Fix and secure electrotechnology equipment</w:t>
            </w:r>
          </w:p>
          <w:p w:rsidR="00000000" w:rsidRPr="001215C2" w:rsidP="001215C2">
            <w:pPr>
              <w:pStyle w:val="BodyText"/>
            </w:pPr>
            <w:r w:rsidRPr="001215C2">
              <w:t xml:space="preserve">UEENEEE107A Use drawings, diagrams, schedules, </w:t>
            </w:r>
            <w:r w:rsidRPr="001215C2">
              <w:t>standards, codes and specifi</w:t>
            </w:r>
            <w:r w:rsidRPr="001215C2">
              <w:t>cations</w:t>
            </w:r>
          </w:p>
          <w:p w:rsidR="00000000" w:rsidRPr="001215C2" w:rsidP="001215C2">
            <w:pPr>
              <w:pStyle w:val="BodyText"/>
            </w:pPr>
            <w:r w:rsidRPr="001215C2">
              <w:t>UEENEEE137A Document and apply measures to control OHS risks associated with electrotechnology work</w:t>
            </w:r>
          </w:p>
          <w:p w:rsidR="00000000" w:rsidRPr="001215C2" w:rsidP="001215C2">
            <w:pPr>
              <w:pStyle w:val="BodyText"/>
            </w:pPr>
            <w:r w:rsidRPr="001215C2">
              <w:t>UEENEEJ102A Prepare and connect refrigerant tubing and fittings</w:t>
            </w:r>
          </w:p>
          <w:p w:rsidR="00000000" w:rsidRPr="001215C2" w:rsidP="001215C2">
            <w:pPr>
              <w:pStyle w:val="BodyText"/>
            </w:pPr>
            <w:r w:rsidRPr="001215C2">
              <w:t>UEENEEJ103A Establish the basic operating conditions of vapour compression systems</w:t>
            </w:r>
          </w:p>
          <w:p w:rsidR="00000000" w:rsidRPr="001215C2" w:rsidP="001215C2">
            <w:pPr>
              <w:pStyle w:val="BodyText"/>
            </w:pPr>
            <w:r w:rsidRPr="001215C2">
              <w:t>U</w:t>
            </w:r>
            <w:r w:rsidRPr="001215C2">
              <w:t>EENEEJ104A Establish the basic operating conditions of air conditioning systems</w:t>
            </w:r>
          </w:p>
          <w:p w:rsidR="00000000" w:rsidRPr="001215C2" w:rsidP="001215C2">
            <w:pPr>
              <w:pStyle w:val="BodyText"/>
            </w:pPr>
            <w:r w:rsidRPr="001215C2">
              <w:t>UEENEEJ106A Install refrigerant pipe work, flow controls and accessories</w:t>
            </w:r>
          </w:p>
          <w:p w:rsidR="00000000" w:rsidRPr="001215C2" w:rsidP="001215C2">
            <w:pPr>
              <w:pStyle w:val="BodyText"/>
            </w:pPr>
            <w:r w:rsidRPr="001215C2">
              <w:t>UEENEEJ107A Install air conditioning and refrigeration systems, major components and associated equipme</w:t>
            </w:r>
            <w:r w:rsidRPr="001215C2">
              <w:t>nt</w:t>
            </w:r>
          </w:p>
          <w:p w:rsidR="00000000" w:rsidRPr="001215C2" w:rsidP="001215C2">
            <w:pPr>
              <w:pStyle w:val="BodyText"/>
            </w:pPr>
            <w:r w:rsidRPr="001215C2">
              <w:t>UEENEEJ108A Recover, pressure test, evacuate, charge and leak test refrigerants</w:t>
            </w:r>
          </w:p>
          <w:p w:rsidR="00000000" w:rsidRPr="001215C2" w:rsidP="001215C2">
            <w:pPr>
              <w:pStyle w:val="BodyText"/>
            </w:pPr>
            <w:r w:rsidRPr="001215C2">
              <w:t>UEENEEJ110A Select refrigerant piping, accessories and associated controls</w:t>
            </w:r>
          </w:p>
          <w:p w:rsidR="00000000" w:rsidRPr="001215C2" w:rsidP="001215C2">
            <w:pPr>
              <w:pStyle w:val="BodyText"/>
            </w:pPr>
            <w:r w:rsidRPr="001215C2">
              <w:t>UEENEEJ111A Diagnose and rectify faults in air conditioning and refrigeration systems and componen</w:t>
            </w:r>
            <w:r w:rsidRPr="001215C2">
              <w:t>ts</w:t>
            </w:r>
          </w:p>
          <w:p w:rsidR="00000000" w:rsidRPr="001215C2" w:rsidP="001215C2">
            <w:pPr>
              <w:pStyle w:val="BodyText"/>
            </w:pPr>
            <w:r w:rsidRPr="001215C2">
              <w:t>UEENEEJ113A Commission air conditioning and refrigeration systems</w:t>
            </w:r>
          </w:p>
          <w:p w:rsidR="00000000" w:rsidRPr="001215C2" w:rsidP="001215C2">
            <w:pPr>
              <w:pStyle w:val="BodyText"/>
            </w:pPr>
            <w:r w:rsidRPr="001215C2">
              <w:t>UEENEEJ153A Find and rectify faults motors and associated controls in refrigeration and air conditioning systems</w:t>
            </w:r>
          </w:p>
          <w:p w:rsidR="00000000" w:rsidRPr="001215C2" w:rsidP="001215C2">
            <w:pPr>
              <w:pStyle w:val="BodyText"/>
            </w:pPr>
            <w:r w:rsidRPr="001215C2">
              <w:t>UEENEEJ170A Diagnose and rectify faults in air conditioning and refrigerat</w:t>
            </w:r>
            <w:r w:rsidRPr="001215C2">
              <w:t>ion control systems</w:t>
            </w:r>
          </w:p>
          <w:p w:rsidR="00000000" w:rsidRPr="001215C2" w:rsidP="001215C2">
            <w:pPr>
              <w:pStyle w:val="BodyText"/>
            </w:pPr>
            <w:r w:rsidRPr="001215C2">
              <w:t>UEENEEJ194A Solve problems in low voltage refrigeration circuits</w:t>
            </w:r>
          </w:p>
          <w:p w:rsidR="00000000" w:rsidRPr="001215C2" w:rsidP="001215C2">
            <w:pPr>
              <w:pStyle w:val="BodyText"/>
            </w:pPr>
            <w:r w:rsidRPr="001215C2">
              <w:t>UEENEEP012A Disconnect / reconnect composite appliances connected to low voltage installation wiring</w:t>
            </w:r>
          </w:p>
          <w:p w:rsidR="00000000" w:rsidRPr="001215C2" w:rsidP="001215C2">
            <w:pPr>
              <w:pStyle w:val="BodyText"/>
            </w:pPr>
            <w:r w:rsidRPr="001215C2">
              <w:t>UEENEEP017A Locate and rectify faults in low voltage composite applian</w:t>
            </w:r>
            <w:r w:rsidRPr="001215C2">
              <w:t>ces using set procedures</w:t>
            </w:r>
          </w:p>
          <w:p w:rsidR="00000000" w:rsidRPr="001215C2" w:rsidP="001215C2">
            <w:pPr>
              <w:pStyle w:val="BodyText"/>
            </w:pPr>
            <w:r w:rsidRPr="001215C2">
              <w:t>UEENEEP024A Attach cords and plugs to electrical equipment for connection to a single phase 230 Volt supply</w:t>
            </w:r>
          </w:p>
          <w:p w:rsidR="00000000" w:rsidRPr="001215C2" w:rsidP="001215C2">
            <w:pPr>
              <w:pStyle w:val="BodyText"/>
            </w:pPr>
            <w:r w:rsidRPr="001215C2">
              <w:t>UEENEEP025A Attach cords, cables and plugs to electrical equipment for connection to 1000 Va.c. or 1500 Vd.c. supply</w:t>
            </w:r>
          </w:p>
        </w:tc>
      </w:tr>
    </w:tbl>
    <w:p w:rsidR="00000000" w:rsidRPr="001215C2" w:rsidP="001215C2">
      <w:pPr>
        <w:pStyle w:val="BodyText"/>
      </w:pPr>
    </w:p>
    <w:tbl>
      <w:tblPr>
        <w:tblW w:w="0" w:type="auto"/>
        <w:tblLayout w:type="fixed"/>
        <w:tblCellMar>
          <w:left w:w="62" w:type="dxa"/>
          <w:right w:w="62" w:type="dxa"/>
        </w:tblCellMar>
        <w:tblLook w:val="0000"/>
      </w:tblPr>
      <w:tblGrid>
        <w:gridCol w:w="2700"/>
        <w:gridCol w:w="5760"/>
      </w:tblGrid>
      <w:tr w:rsidTr="006F1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215C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rPr>
                <w:rStyle w:val="SpecialBold"/>
              </w:rPr>
              <w:t>2</w:t>
            </w:r>
            <w:r w:rsidRPr="001215C2">
              <w:t>.</w:t>
            </w:r>
            <w:r w:rsidRPr="001215C2">
              <w:rPr>
                <w:rStyle w:val="SpecialBold"/>
              </w:rPr>
              <w:t>2</w:t>
            </w:r>
            <w:r w:rsidRPr="001215C2">
              <w:t xml:space="preserve">) </w:t>
            </w:r>
            <w:r w:rsidRPr="001215C2">
              <w:rPr>
                <w:rStyle w:val="SpecialBold"/>
              </w:rPr>
              <w:t>Literacy and numeracy skills</w:t>
            </w:r>
          </w:p>
          <w:p w:rsidR="00000000" w:rsidRPr="001215C2" w:rsidP="001215C2">
            <w:pPr>
              <w:pStyle w:val="BodyText"/>
            </w:pPr>
            <w:r w:rsidRPr="001215C2">
              <w:t>Participants are best equipped to achieve competency in this unit if they have reading, writing and numeracy skills indicated by the following scales. Description of each scale is given in Volume 2, Part 3 'Literacy and Numer</w:t>
            </w:r>
            <w:r w:rsidRPr="001215C2">
              <w:t>acy'</w:t>
            </w:r>
          </w:p>
        </w:tc>
      </w:tr>
    </w:tbl>
    <w:p w:rsidR="006F1B45" w:rsidP="001215C2">
      <w:pPr>
        <w:pStyle w:val="BodyText"/>
      </w:pPr>
    </w:p>
    <w:p w:rsidR="006F1B45" w:rsidP="001215C2">
      <w:pPr>
        <w:pStyle w:val="BodyText"/>
      </w:pPr>
    </w:p>
    <w:p w:rsidR="00000000" w:rsidRPr="001215C2" w:rsidP="001215C2">
      <w:pPr>
        <w:pStyle w:val="Heading1"/>
      </w:pPr>
      <w:bookmarkStart w:id="6" w:name="O_589942"/>
      <w:bookmarkEnd w:id="6"/>
      <w:r w:rsidRPr="001215C2">
        <w:t>Employability Skills Information</w:t>
      </w:r>
    </w:p>
    <w:tbl>
      <w:tblPr>
        <w:tblW w:w="0" w:type="auto"/>
        <w:tblLayout w:type="fixed"/>
        <w:tblCellMar>
          <w:left w:w="62" w:type="dxa"/>
          <w:right w:w="62" w:type="dxa"/>
        </w:tblCellMar>
        <w:tblLook w:val="0000"/>
      </w:tblPr>
      <w:tblGrid>
        <w:gridCol w:w="2700"/>
        <w:gridCol w:w="5760"/>
      </w:tblGrid>
      <w:tr w:rsidTr="006F1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rPr>
                <w:rStyle w:val="SpecialBold"/>
              </w:rPr>
              <w:t>3</w:t>
            </w:r>
            <w:r w:rsidRPr="001215C2">
              <w:t>)</w:t>
            </w:r>
          </w:p>
          <w:p w:rsidR="00000000" w:rsidRPr="001215C2" w:rsidP="001215C2">
            <w:pPr>
              <w:pStyle w:val="BodyText"/>
            </w:pPr>
            <w:r w:rsidRPr="001215C2">
              <w:t>This unit contains Employability Skills</w:t>
            </w:r>
          </w:p>
          <w:p w:rsidR="00000000" w:rsidRPr="001215C2" w:rsidP="001215C2">
            <w:pPr>
              <w:pStyle w:val="BodyText"/>
            </w:pPr>
            <w:r w:rsidRPr="001215C2">
              <w:t>The required outcomes described in this unit of competency contain applicable facets of Employability Skills. The Employability Skills</w:t>
            </w:r>
            <w:r w:rsidRPr="001215C2">
              <w:t xml:space="preserve"> Summary of the qualification in which this unit of competency is packaged will assist in identifying Employability Skill requirements.</w:t>
            </w:r>
          </w:p>
        </w:tc>
      </w:tr>
    </w:tbl>
    <w:p w:rsidR="006F1B45" w:rsidP="001215C2">
      <w:pPr>
        <w:pStyle w:val="BodyText"/>
      </w:pPr>
    </w:p>
    <w:p w:rsidR="006F1B45" w:rsidP="001215C2">
      <w:pPr>
        <w:pStyle w:val="BodyText"/>
      </w:pPr>
    </w:p>
    <w:p w:rsidR="00000000" w:rsidRPr="001215C2" w:rsidP="001215C2">
      <w:pPr>
        <w:pStyle w:val="Heading1"/>
      </w:pPr>
      <w:bookmarkStart w:id="7" w:name="O_589941"/>
      <w:bookmarkEnd w:id="7"/>
      <w:r w:rsidRPr="001215C2">
        <w:t>Elements and Performance Criteria Pre-Content</w:t>
      </w:r>
    </w:p>
    <w:tbl>
      <w:tblPr>
        <w:tblW w:w="0" w:type="auto"/>
        <w:tblLayout w:type="fixed"/>
        <w:tblCellMar>
          <w:left w:w="62" w:type="dxa"/>
          <w:right w:w="62" w:type="dxa"/>
        </w:tblCellMar>
        <w:tblLook w:val="0000"/>
      </w:tblPr>
      <w:tblGrid>
        <w:gridCol w:w="2268"/>
        <w:gridCol w:w="6240"/>
      </w:tblGrid>
      <w:tr w:rsidTr="006F1B4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rPr>
                <w:rStyle w:val="SpecialBold"/>
              </w:rPr>
              <w:t>6</w:t>
            </w:r>
            <w:r w:rsidRPr="001215C2">
              <w:t>) Elements describe the essential outcomes of a unit</w:t>
            </w:r>
          </w:p>
        </w:tc>
        <w:tc>
          <w:tcPr>
            <w:tcW w:w="6240" w:type="dxa"/>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t>Performance criteria describe the required performance needed to demonstrate achievement of the element. Assessment of performance is to be consistent with the evidence guide.</w:t>
            </w:r>
          </w:p>
        </w:tc>
      </w:tr>
    </w:tbl>
    <w:p w:rsidR="00000000" w:rsidRPr="001215C2" w:rsidP="001215C2">
      <w:pPr>
        <w:pStyle w:val="BodyText"/>
      </w:pPr>
    </w:p>
    <w:p w:rsidR="00000000" w:rsidRPr="001215C2" w:rsidP="001215C2">
      <w:pPr>
        <w:pStyle w:val="AllowPageBreak"/>
      </w:pPr>
    </w:p>
    <w:p w:rsidR="00000000" w:rsidRPr="001215C2" w:rsidP="001215C2">
      <w:pPr>
        <w:pStyle w:val="Heading1"/>
      </w:pPr>
      <w:bookmarkStart w:id="8" w:name="O_589940"/>
      <w:bookmarkEnd w:id="8"/>
      <w:r w:rsidRPr="001215C2">
        <w:t>Elements and Performance Criteria</w:t>
      </w:r>
    </w:p>
    <w:tbl>
      <w:tblPr>
        <w:tblW w:w="0" w:type="auto"/>
        <w:tblLayout w:type="fixed"/>
        <w:tblCellMar>
          <w:left w:w="62" w:type="dxa"/>
          <w:right w:w="62" w:type="dxa"/>
        </w:tblCellMar>
        <w:tblLook w:val="0000"/>
      </w:tblPr>
      <w:tblGrid>
        <w:gridCol w:w="540"/>
        <w:gridCol w:w="1728"/>
        <w:gridCol w:w="900"/>
        <w:gridCol w:w="5340"/>
      </w:tblGrid>
      <w:tr w:rsidTr="006F1B45">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rPr>
                <w:rStyle w:val="SpecialBold"/>
              </w:rPr>
              <w:t>ELEMENT</w:t>
            </w:r>
          </w:p>
        </w:tc>
        <w:tc>
          <w:tcPr>
            <w:tcW w:w="6240" w:type="dxa"/>
            <w:gridSpan w:val="2"/>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rPr>
                <w:rStyle w:val="SpecialBold"/>
              </w:rPr>
              <w:t>PERFORMANCE CRITER</w:t>
            </w:r>
            <w:r w:rsidRPr="001215C2">
              <w:rPr>
                <w:rStyle w:val="SpecialBold"/>
              </w:rPr>
              <w:t>IA</w:t>
            </w:r>
          </w:p>
        </w:tc>
      </w:tr>
      <w:tr w:rsidTr="006F1B4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1</w:t>
            </w:r>
          </w:p>
        </w:tc>
        <w:tc>
          <w:tcPr>
            <w:tcW w:w="1728" w:type="dxa"/>
            <w:vMerge w:val="restart"/>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Prepare to design complex commercial refrigeration system</w:t>
            </w:r>
          </w:p>
        </w:tc>
        <w:tc>
          <w:tcPr>
            <w:tcW w:w="90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1.1</w:t>
            </w:r>
          </w:p>
        </w:tc>
        <w:tc>
          <w:tcPr>
            <w:tcW w:w="534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 xml:space="preserve">OHS processes and procedures for a given work area are identified, identified, obtained and understood </w:t>
            </w:r>
          </w:p>
        </w:tc>
      </w:tr>
      <w:tr w:rsidTr="006F1B4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1.2</w:t>
            </w:r>
          </w:p>
        </w:tc>
        <w:tc>
          <w:tcPr>
            <w:tcW w:w="534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Established OHS risk control measures and procedures are followed in preparation for the work.</w:t>
            </w:r>
          </w:p>
        </w:tc>
      </w:tr>
      <w:tr w:rsidTr="006F1B4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1.3</w:t>
            </w:r>
          </w:p>
        </w:tc>
        <w:tc>
          <w:tcPr>
            <w:tcW w:w="534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The extent of the proposed refrigeration system is determined from the design brief or in consultations with appropriate person(s).</w:t>
            </w:r>
          </w:p>
        </w:tc>
      </w:tr>
      <w:tr w:rsidTr="006F1B4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1.4</w:t>
            </w:r>
          </w:p>
        </w:tc>
        <w:tc>
          <w:tcPr>
            <w:tcW w:w="534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Design development work is planned to meet scheduled timelines in consultation with others involved on the work site.</w:t>
            </w:r>
          </w:p>
        </w:tc>
      </w:tr>
      <w:tr w:rsidTr="006F1B4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2</w:t>
            </w:r>
          </w:p>
        </w:tc>
        <w:tc>
          <w:tcPr>
            <w:tcW w:w="1728" w:type="dxa"/>
            <w:vMerge w:val="restart"/>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 xml:space="preserve">Design complex commercial </w:t>
            </w:r>
            <w:r w:rsidRPr="001215C2">
              <w:t>refrigeration system</w:t>
            </w:r>
          </w:p>
        </w:tc>
        <w:tc>
          <w:tcPr>
            <w:tcW w:w="90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2.1</w:t>
            </w:r>
          </w:p>
        </w:tc>
        <w:tc>
          <w:tcPr>
            <w:tcW w:w="534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Knowledge of commercial refrigeration processes and methods are applied to the desig</w:t>
            </w:r>
            <w:r w:rsidRPr="001215C2">
              <w:t>n.</w:t>
            </w:r>
          </w:p>
        </w:tc>
      </w:tr>
      <w:tr w:rsidTr="006F1B4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2.2</w:t>
            </w:r>
          </w:p>
        </w:tc>
        <w:tc>
          <w:tcPr>
            <w:tcW w:w="534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Alternative concepts for the design are evaluated based on the requirements outlined in the design brief. (See Note)</w:t>
            </w:r>
          </w:p>
        </w:tc>
      </w:tr>
      <w:tr w:rsidTr="006F1B4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2.3</w:t>
            </w:r>
          </w:p>
        </w:tc>
        <w:tc>
          <w:tcPr>
            <w:tcW w:w="534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Safety, functional and budget considerations are incorporated in the design.</w:t>
            </w:r>
          </w:p>
        </w:tc>
      </w:tr>
      <w:tr w:rsidTr="006F1B4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2.4</w:t>
            </w:r>
          </w:p>
        </w:tc>
        <w:tc>
          <w:tcPr>
            <w:tcW w:w="534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System de</w:t>
            </w:r>
            <w:r w:rsidRPr="001215C2">
              <w:t xml:space="preserve">sign draft is checked for compliance with the design brief and regulatory requirements. </w:t>
            </w:r>
          </w:p>
        </w:tc>
      </w:tr>
      <w:tr w:rsidTr="006F1B4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2.5</w:t>
            </w:r>
          </w:p>
        </w:tc>
        <w:tc>
          <w:tcPr>
            <w:tcW w:w="534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System design is documented for submission to appropriate person(s) for approval.</w:t>
            </w:r>
          </w:p>
        </w:tc>
      </w:tr>
      <w:tr w:rsidTr="006F1B4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2.6</w:t>
            </w:r>
          </w:p>
        </w:tc>
        <w:tc>
          <w:tcPr>
            <w:tcW w:w="534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 xml:space="preserve">Solutions to unplanned situation are provided consistent with organisation's policy. </w:t>
            </w:r>
          </w:p>
        </w:tc>
      </w:tr>
      <w:tr w:rsidTr="006F1B4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3</w:t>
            </w:r>
          </w:p>
        </w:tc>
        <w:tc>
          <w:tcPr>
            <w:tcW w:w="1728" w:type="dxa"/>
            <w:vMerge w:val="restart"/>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Obtain approval for complex commercial refrigeration system design</w:t>
            </w:r>
          </w:p>
        </w:tc>
        <w:tc>
          <w:tcPr>
            <w:tcW w:w="90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3.1</w:t>
            </w:r>
          </w:p>
        </w:tc>
        <w:tc>
          <w:tcPr>
            <w:tcW w:w="534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System design is presented and explained to client representative and/or other relevant person(s</w:t>
            </w:r>
            <w:r w:rsidRPr="001215C2">
              <w:t>).</w:t>
            </w:r>
          </w:p>
        </w:tc>
      </w:tr>
      <w:tr w:rsidTr="006F1B4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3.2</w:t>
            </w:r>
          </w:p>
        </w:tc>
        <w:tc>
          <w:tcPr>
            <w:tcW w:w="534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 xml:space="preserve">Requests for alterations to the design are negotiated with relevant person(s) within the constraints of organisation's policy. </w:t>
            </w:r>
          </w:p>
        </w:tc>
      </w:tr>
      <w:tr w:rsidTr="006F1B4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3.3</w:t>
            </w:r>
          </w:p>
        </w:tc>
        <w:tc>
          <w:tcPr>
            <w:tcW w:w="534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Final design is documented and approval obtained from appropriate person(s).</w:t>
            </w:r>
          </w:p>
        </w:tc>
      </w:tr>
      <w:tr w:rsidTr="006F1B4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3.4</w:t>
            </w:r>
          </w:p>
        </w:tc>
        <w:tc>
          <w:tcPr>
            <w:tcW w:w="534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Quality of work is monitored against personal performance agreement and/or established organizational or professional standards.</w:t>
            </w:r>
          </w:p>
        </w:tc>
      </w:tr>
      <w:tr w:rsidTr="006F1B45">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t>Note.</w:t>
            </w:r>
            <w:r w:rsidRPr="001215C2">
              <w:br/>
              <w:t>Design concepts should be evaluated by real or virtual prototyping where it cannot be shown easily by other means that p</w:t>
            </w:r>
            <w:r w:rsidRPr="001215C2">
              <w:t>articular aspects of the design met specified requirements.</w:t>
            </w:r>
          </w:p>
        </w:tc>
      </w:tr>
    </w:tbl>
    <w:p w:rsidR="006F1B45" w:rsidP="001215C2">
      <w:pPr>
        <w:pStyle w:val="BodyText"/>
      </w:pPr>
    </w:p>
    <w:p w:rsidR="006F1B45" w:rsidP="001215C2">
      <w:pPr>
        <w:pStyle w:val="BodyText"/>
      </w:pPr>
    </w:p>
    <w:p w:rsidR="00000000" w:rsidRPr="001215C2" w:rsidP="001215C2">
      <w:pPr>
        <w:pStyle w:val="Heading1"/>
      </w:pPr>
      <w:bookmarkStart w:id="9" w:name="O_589939"/>
      <w:bookmarkEnd w:id="9"/>
      <w:r w:rsidRPr="001215C2">
        <w:t>Required Skills and Knowledge</w:t>
      </w:r>
    </w:p>
    <w:tbl>
      <w:tblPr>
        <w:tblW w:w="0" w:type="auto"/>
        <w:tblLayout w:type="fixed"/>
        <w:tblCellMar>
          <w:left w:w="62" w:type="dxa"/>
          <w:right w:w="62" w:type="dxa"/>
        </w:tblCellMar>
        <w:tblLook w:val="0000"/>
      </w:tblPr>
      <w:tblGrid>
        <w:gridCol w:w="8508"/>
      </w:tblGrid>
      <w:tr w:rsidTr="006F1B45">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rPr>
                <w:rStyle w:val="SpecialBold"/>
              </w:rPr>
              <w:t>REQUIRED SKILLS AND KNOWLEDGE</w:t>
            </w:r>
          </w:p>
        </w:tc>
      </w:tr>
      <w:tr w:rsidTr="006F1B45">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rPr>
                <w:rStyle w:val="SpecialBold"/>
              </w:rPr>
              <w:t>7)</w:t>
            </w:r>
            <w:r w:rsidRPr="001215C2">
              <w:t xml:space="preserve"> This describes the essential skills and knowledge and their level, required for this unit.</w:t>
            </w:r>
          </w:p>
        </w:tc>
      </w:tr>
      <w:tr w:rsidTr="006F1B45">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t xml:space="preserve">Evidence shall show that knowledge has been acquired of safe working practices and designing a complex commercial refrigeration system. </w:t>
            </w:r>
          </w:p>
          <w:p w:rsidR="00000000" w:rsidRPr="001215C2" w:rsidP="001215C2">
            <w:pPr>
              <w:pStyle w:val="BodyText"/>
            </w:pPr>
            <w:r w:rsidRPr="001215C2">
              <w:t>All knowledge and skills detailed in this unit should be contextualised to current industry practices and technologies.</w:t>
            </w:r>
          </w:p>
          <w:p w:rsidR="00000000" w:rsidRPr="001215C2" w:rsidP="001215C2">
            <w:pPr>
              <w:pStyle w:val="BodyText"/>
            </w:pPr>
            <w:r w:rsidRPr="001215C2">
              <w:rPr>
                <w:rStyle w:val="SpecialBold"/>
              </w:rPr>
              <w:t xml:space="preserve">KS01-EJ141A </w:t>
            </w:r>
            <w:r w:rsidRPr="001215C2">
              <w:rPr>
                <w:rStyle w:val="SpecialBold"/>
              </w:rPr>
              <w:tab/>
              <w:t xml:space="preserve">              Complex commercial refrigeration system design</w:t>
            </w:r>
          </w:p>
          <w:p w:rsidR="00000000" w:rsidRPr="001215C2" w:rsidP="001215C2">
            <w:pPr>
              <w:pStyle w:val="BodyText"/>
            </w:pPr>
            <w:r w:rsidRPr="001215C2">
              <w:t>Evidence shall show an understanding of complex commercial refrigeration system des</w:t>
            </w:r>
            <w:r w:rsidRPr="001215C2">
              <w:t>ign, applying safe working practices and relevant Standards, Codes and Regulations to an extent indicated by the following aspects:</w:t>
            </w:r>
          </w:p>
          <w:p w:rsidR="00000000" w:rsidRPr="001215C2" w:rsidP="001215C2">
            <w:pPr>
              <w:pStyle w:val="BodyText"/>
            </w:pPr>
            <w:r w:rsidRPr="001215C2">
              <w:t>T1          Commercial refrigeration system types</w:t>
            </w:r>
          </w:p>
          <w:p w:rsidR="00000000" w:rsidRPr="001215C2" w:rsidP="001215C2">
            <w:pPr>
              <w:pStyle w:val="ListBullet"/>
            </w:pPr>
            <w:r w:rsidRPr="001215C2">
              <w:t>medium and low temperature applications</w:t>
            </w:r>
          </w:p>
          <w:p w:rsidR="00000000" w:rsidRPr="001215C2" w:rsidP="001215C2">
            <w:pPr>
              <w:pStyle w:val="ListBullet"/>
            </w:pPr>
            <w:r w:rsidRPr="001215C2">
              <w:t>operating conditions</w:t>
            </w:r>
          </w:p>
          <w:p w:rsidR="00000000" w:rsidRPr="001215C2" w:rsidP="001215C2">
            <w:pPr>
              <w:pStyle w:val="ListBullet"/>
            </w:pPr>
            <w:r w:rsidRPr="001215C2">
              <w:t>system opera</w:t>
            </w:r>
            <w:r w:rsidRPr="001215C2">
              <w:t>ting and service requirements</w:t>
            </w:r>
          </w:p>
          <w:p w:rsidR="00000000" w:rsidRPr="001215C2" w:rsidP="001215C2">
            <w:pPr>
              <w:pStyle w:val="ListBullet"/>
            </w:pPr>
            <w:r w:rsidRPr="001215C2">
              <w:t>refrigerant types</w:t>
            </w:r>
          </w:p>
          <w:p w:rsidR="00000000" w:rsidRPr="001215C2" w:rsidP="001215C2">
            <w:pPr>
              <w:pStyle w:val="ListBullet"/>
            </w:pPr>
            <w:r w:rsidRPr="001215C2">
              <w:t>components</w:t>
            </w:r>
          </w:p>
          <w:p w:rsidR="00000000" w:rsidRPr="001215C2" w:rsidP="001215C2">
            <w:pPr>
              <w:pStyle w:val="ListBullet"/>
            </w:pPr>
            <w:r w:rsidRPr="001215C2">
              <w:t>multiple evaporator systems</w:t>
            </w:r>
          </w:p>
          <w:p w:rsidR="00000000" w:rsidRPr="001215C2" w:rsidP="001215C2">
            <w:pPr>
              <w:pStyle w:val="ListBullet"/>
            </w:pPr>
            <w:r w:rsidRPr="001215C2">
              <w:t>multiple temperature systems</w:t>
            </w:r>
          </w:p>
          <w:p w:rsidR="00000000" w:rsidRPr="001215C2" w:rsidP="001215C2">
            <w:pPr>
              <w:pStyle w:val="ListBullet"/>
            </w:pPr>
            <w:r w:rsidRPr="001215C2">
              <w:t>multiple compressor (rack) systems</w:t>
            </w:r>
          </w:p>
          <w:p w:rsidR="00000000" w:rsidRPr="001215C2" w:rsidP="001215C2">
            <w:pPr>
              <w:pStyle w:val="ListBullet"/>
            </w:pPr>
            <w:r w:rsidRPr="001215C2">
              <w:t>two stage compressors</w:t>
            </w:r>
          </w:p>
          <w:p w:rsidR="00000000" w:rsidRPr="001215C2" w:rsidP="001215C2">
            <w:pPr>
              <w:pStyle w:val="ListBullet"/>
            </w:pPr>
            <w:r w:rsidRPr="001215C2">
              <w:t>multiplex systems</w:t>
            </w:r>
          </w:p>
          <w:p w:rsidR="00000000" w:rsidRPr="001215C2" w:rsidP="001215C2">
            <w:pPr>
              <w:pStyle w:val="ListBullet"/>
            </w:pPr>
            <w:r w:rsidRPr="001215C2">
              <w:t>defrost requirements and methods</w:t>
            </w:r>
          </w:p>
          <w:p w:rsidR="00000000" w:rsidRPr="001215C2" w:rsidP="001215C2">
            <w:pPr>
              <w:pStyle w:val="ListBullet"/>
            </w:pPr>
            <w:r w:rsidRPr="001215C2">
              <w:t>electric defrost systems</w:t>
            </w:r>
          </w:p>
          <w:p w:rsidR="00000000" w:rsidRPr="001215C2" w:rsidP="001215C2">
            <w:pPr>
              <w:pStyle w:val="ListBullet"/>
            </w:pPr>
            <w:r w:rsidRPr="001215C2">
              <w:t>hot gas</w:t>
            </w:r>
            <w:r w:rsidRPr="001215C2">
              <w:t xml:space="preserve"> defrost systems</w:t>
            </w:r>
          </w:p>
          <w:p w:rsidR="00000000" w:rsidRPr="001215C2" w:rsidP="001215C2">
            <w:pPr>
              <w:pStyle w:val="ListBullet"/>
            </w:pPr>
            <w:r w:rsidRPr="001215C2">
              <w:t>cool gas defrost systems</w:t>
            </w:r>
          </w:p>
          <w:p w:rsidR="00000000" w:rsidRPr="001215C2" w:rsidP="001215C2">
            <w:pPr>
              <w:pStyle w:val="BodyText"/>
            </w:pPr>
            <w:r w:rsidRPr="001215C2">
              <w:t>T2          Manufacturer's data</w:t>
            </w:r>
          </w:p>
          <w:p w:rsidR="00000000" w:rsidRPr="001215C2" w:rsidP="001215C2">
            <w:pPr>
              <w:pStyle w:val="ListBullet"/>
            </w:pPr>
            <w:r w:rsidRPr="001215C2">
              <w:t>rating tables</w:t>
            </w:r>
          </w:p>
          <w:p w:rsidR="00000000" w:rsidRPr="001215C2" w:rsidP="001215C2">
            <w:pPr>
              <w:pStyle w:val="ListBullet"/>
            </w:pPr>
            <w:r w:rsidRPr="001215C2">
              <w:t>selection tables</w:t>
            </w:r>
          </w:p>
          <w:p w:rsidR="00000000" w:rsidRPr="001215C2" w:rsidP="001215C2">
            <w:pPr>
              <w:pStyle w:val="ListBullet"/>
            </w:pPr>
            <w:r w:rsidRPr="001215C2">
              <w:t>catalogues.</w:t>
            </w:r>
          </w:p>
          <w:p w:rsidR="00000000" w:rsidRPr="001215C2" w:rsidP="001215C2">
            <w:pPr>
              <w:pStyle w:val="BodyText"/>
            </w:pPr>
            <w:r w:rsidRPr="001215C2">
              <w:t>T3          Operating characteristics</w:t>
            </w:r>
          </w:p>
          <w:p w:rsidR="00000000" w:rsidRPr="001215C2" w:rsidP="001215C2">
            <w:pPr>
              <w:pStyle w:val="ListBullet"/>
            </w:pPr>
            <w:r w:rsidRPr="001215C2">
              <w:t>Effects of temperature glide with blended refrigerants,</w:t>
            </w:r>
          </w:p>
          <w:p w:rsidR="00000000" w:rsidRPr="001215C2" w:rsidP="001215C2">
            <w:pPr>
              <w:pStyle w:val="ListBullet"/>
            </w:pPr>
            <w:r w:rsidRPr="001215C2">
              <w:t>Ph Charts,</w:t>
            </w:r>
          </w:p>
          <w:p w:rsidR="00000000" w:rsidRPr="001215C2" w:rsidP="001215C2">
            <w:pPr>
              <w:pStyle w:val="ListBullet"/>
            </w:pPr>
            <w:r w:rsidRPr="001215C2">
              <w:t>Refrigerating Effect,</w:t>
            </w:r>
          </w:p>
          <w:p w:rsidR="00000000" w:rsidRPr="001215C2" w:rsidP="001215C2">
            <w:pPr>
              <w:pStyle w:val="ListBullet"/>
            </w:pPr>
            <w:r w:rsidRPr="001215C2">
              <w:t>Heat of compression,</w:t>
            </w:r>
          </w:p>
          <w:p w:rsidR="00000000" w:rsidRPr="001215C2" w:rsidP="001215C2">
            <w:pPr>
              <w:pStyle w:val="ListBullet"/>
            </w:pPr>
            <w:r w:rsidRPr="001215C2">
              <w:t>Heat Rejected on High Side of the System,</w:t>
            </w:r>
          </w:p>
          <w:p w:rsidR="00000000" w:rsidRPr="001215C2" w:rsidP="001215C2">
            <w:pPr>
              <w:pStyle w:val="ListBullet"/>
            </w:pPr>
            <w:r w:rsidRPr="001215C2">
              <w:t>required mass flow rate of refrigerant,</w:t>
            </w:r>
          </w:p>
          <w:p w:rsidR="00000000" w:rsidRPr="001215C2" w:rsidP="001215C2">
            <w:pPr>
              <w:pStyle w:val="ListBullet"/>
            </w:pPr>
            <w:r w:rsidRPr="001215C2">
              <w:t>Volume flow rate at various points in system,</w:t>
            </w:r>
          </w:p>
          <w:p w:rsidR="00000000" w:rsidRPr="001215C2" w:rsidP="001215C2">
            <w:pPr>
              <w:pStyle w:val="ListBullet"/>
            </w:pPr>
            <w:r w:rsidRPr="001215C2">
              <w:t>Theoretical compressor power,</w:t>
            </w:r>
          </w:p>
          <w:p w:rsidR="00000000" w:rsidRPr="001215C2" w:rsidP="001215C2">
            <w:pPr>
              <w:pStyle w:val="ListBullet"/>
            </w:pPr>
            <w:r w:rsidRPr="001215C2">
              <w:t>required condenser capacity.</w:t>
            </w:r>
          </w:p>
          <w:p w:rsidR="00000000" w:rsidRPr="001215C2" w:rsidP="001215C2">
            <w:pPr>
              <w:pStyle w:val="BodyText"/>
            </w:pPr>
            <w:r w:rsidRPr="001215C2">
              <w:t>T4          Review refrigerant flow controls</w:t>
            </w:r>
          </w:p>
          <w:p w:rsidR="00000000" w:rsidRPr="001215C2" w:rsidP="001215C2">
            <w:pPr>
              <w:pStyle w:val="ListBullet"/>
            </w:pPr>
            <w:r w:rsidRPr="001215C2">
              <w:t>re</w:t>
            </w:r>
            <w:r w:rsidRPr="001215C2">
              <w:t>frigerant regulating valves</w:t>
            </w:r>
          </w:p>
          <w:p w:rsidR="00000000" w:rsidRPr="001215C2" w:rsidP="001215C2">
            <w:pPr>
              <w:pStyle w:val="ListBullet"/>
            </w:pPr>
            <w:r w:rsidRPr="001215C2">
              <w:t>solenoid valves</w:t>
            </w:r>
          </w:p>
          <w:p w:rsidR="00000000" w:rsidRPr="001215C2" w:rsidP="001215C2">
            <w:pPr>
              <w:pStyle w:val="ListBullet"/>
            </w:pPr>
            <w:r w:rsidRPr="001215C2">
              <w:t>expansion valves</w:t>
            </w:r>
          </w:p>
          <w:p w:rsidR="00000000" w:rsidRPr="001215C2" w:rsidP="001215C2">
            <w:pPr>
              <w:pStyle w:val="ListBullet"/>
            </w:pPr>
            <w:r w:rsidRPr="001215C2">
              <w:t>pressure regulating valves</w:t>
            </w:r>
          </w:p>
          <w:p w:rsidR="00000000" w:rsidRPr="001215C2" w:rsidP="001215C2">
            <w:pPr>
              <w:pStyle w:val="BodyText"/>
            </w:pPr>
            <w:r w:rsidRPr="001215C2">
              <w:t>T5          Review automatic systems controls</w:t>
            </w:r>
          </w:p>
          <w:p w:rsidR="00000000" w:rsidRPr="001215C2" w:rsidP="001215C2">
            <w:pPr>
              <w:pStyle w:val="ListBullet"/>
            </w:pPr>
            <w:r w:rsidRPr="001215C2">
              <w:t>cycling controls</w:t>
            </w:r>
          </w:p>
          <w:p w:rsidR="00000000" w:rsidRPr="001215C2" w:rsidP="001215C2">
            <w:pPr>
              <w:pStyle w:val="ListBullet"/>
            </w:pPr>
            <w:r w:rsidRPr="001215C2">
              <w:t>pressure-stats</w:t>
            </w:r>
          </w:p>
          <w:p w:rsidR="00000000" w:rsidRPr="001215C2" w:rsidP="001215C2">
            <w:pPr>
              <w:pStyle w:val="ListBullet"/>
            </w:pPr>
            <w:r w:rsidRPr="001215C2">
              <w:t>thermo-stats</w:t>
            </w:r>
          </w:p>
          <w:p w:rsidR="00000000" w:rsidRPr="001215C2" w:rsidP="001215C2">
            <w:pPr>
              <w:pStyle w:val="ListBullet"/>
            </w:pPr>
            <w:r w:rsidRPr="001215C2">
              <w:t>defrost controls</w:t>
            </w:r>
          </w:p>
          <w:p w:rsidR="00000000" w:rsidRPr="001215C2" w:rsidP="001215C2">
            <w:pPr>
              <w:pStyle w:val="ListBullet"/>
            </w:pPr>
            <w:r w:rsidRPr="001215C2">
              <w:t>monitoring and alarm controls</w:t>
            </w:r>
          </w:p>
          <w:p w:rsidR="00000000" w:rsidRPr="001215C2" w:rsidP="001215C2">
            <w:pPr>
              <w:pStyle w:val="ListBullet"/>
            </w:pPr>
            <w:r w:rsidRPr="001215C2">
              <w:t>energy management systems</w:t>
            </w:r>
          </w:p>
          <w:p w:rsidR="00000000" w:rsidRPr="001215C2" w:rsidP="001215C2">
            <w:pPr>
              <w:pStyle w:val="ListBullet"/>
            </w:pPr>
            <w:r w:rsidRPr="001215C2">
              <w:t>refrigeration automation system</w:t>
            </w:r>
          </w:p>
          <w:p w:rsidR="00000000" w:rsidRPr="001215C2" w:rsidP="001215C2">
            <w:pPr>
              <w:pStyle w:val="ListBullet"/>
            </w:pPr>
            <w:r w:rsidRPr="001215C2">
              <w:t>control strategies</w:t>
            </w:r>
          </w:p>
          <w:p w:rsidR="00000000" w:rsidRPr="001215C2" w:rsidP="001215C2">
            <w:pPr>
              <w:pStyle w:val="ListBullet"/>
            </w:pPr>
            <w:r w:rsidRPr="001215C2">
              <w:t>control modes</w:t>
            </w:r>
          </w:p>
          <w:p w:rsidR="00000000" w:rsidRPr="001215C2" w:rsidP="001215C2">
            <w:pPr>
              <w:pStyle w:val="BodyText"/>
            </w:pPr>
            <w:r w:rsidRPr="001215C2">
              <w:t>T6          System design</w:t>
            </w:r>
          </w:p>
          <w:p w:rsidR="00000000" w:rsidRPr="001215C2" w:rsidP="001215C2">
            <w:pPr>
              <w:pStyle w:val="ListBullet"/>
            </w:pPr>
            <w:r w:rsidRPr="001215C2">
              <w:t>Required cooling capacity per day</w:t>
            </w:r>
          </w:p>
          <w:p w:rsidR="00000000" w:rsidRPr="001215C2" w:rsidP="001215C2">
            <w:pPr>
              <w:pStyle w:val="ListBullet"/>
            </w:pPr>
            <w:r w:rsidRPr="001215C2">
              <w:t>Running time and required system cooling capacity</w:t>
            </w:r>
          </w:p>
          <w:p w:rsidR="00000000" w:rsidRPr="001215C2" w:rsidP="001215C2">
            <w:pPr>
              <w:pStyle w:val="ListBullet"/>
            </w:pPr>
            <w:r w:rsidRPr="001215C2">
              <w:t>System capacity control for peak and low load</w:t>
            </w:r>
          </w:p>
          <w:p w:rsidR="00000000" w:rsidRPr="001215C2" w:rsidP="001215C2">
            <w:pPr>
              <w:pStyle w:val="ListBullet"/>
            </w:pPr>
            <w:r w:rsidRPr="001215C2">
              <w:t>Refrigeration system diagrams</w:t>
            </w:r>
          </w:p>
          <w:p w:rsidR="00000000" w:rsidRPr="001215C2" w:rsidP="001215C2">
            <w:pPr>
              <w:pStyle w:val="ListBullet"/>
            </w:pPr>
            <w:r w:rsidRPr="001215C2">
              <w:t>Refr</w:t>
            </w:r>
            <w:r w:rsidRPr="001215C2">
              <w:t>igerant, equipment, major component, controls, piping and accessory selection</w:t>
            </w:r>
          </w:p>
        </w:tc>
      </w:tr>
    </w:tbl>
    <w:p w:rsidR="006F1B45" w:rsidP="001215C2">
      <w:pPr>
        <w:pStyle w:val="BodyText"/>
      </w:pPr>
    </w:p>
    <w:p w:rsidR="006F1B45" w:rsidP="001215C2">
      <w:pPr>
        <w:pStyle w:val="BodyText"/>
      </w:pPr>
    </w:p>
    <w:p w:rsidR="00000000" w:rsidRPr="001215C2" w:rsidP="001215C2">
      <w:pPr>
        <w:pStyle w:val="Heading1"/>
      </w:pPr>
      <w:bookmarkStart w:id="10" w:name="O_589938"/>
      <w:bookmarkEnd w:id="10"/>
      <w:r w:rsidRPr="001215C2">
        <w:t>Evidence Guide</w:t>
      </w:r>
    </w:p>
    <w:tbl>
      <w:tblPr>
        <w:tblW w:w="0" w:type="auto"/>
        <w:tblLayout w:type="fixed"/>
        <w:tblCellMar>
          <w:left w:w="62" w:type="dxa"/>
          <w:right w:w="62" w:type="dxa"/>
        </w:tblCellMar>
        <w:tblLook w:val="0000"/>
      </w:tblPr>
      <w:tblGrid>
        <w:gridCol w:w="2160"/>
        <w:gridCol w:w="288"/>
        <w:gridCol w:w="540"/>
        <w:gridCol w:w="1200"/>
        <w:gridCol w:w="4320"/>
      </w:tblGrid>
      <w:tr w:rsidTr="006F1B45">
        <w:tblPrEx>
          <w:tblW w:w="0" w:type="auto"/>
          <w:tblLayout w:type="fixed"/>
          <w:tblCellMar>
            <w:left w:w="62" w:type="dxa"/>
            <w:right w:w="62" w:type="dxa"/>
          </w:tblCellMar>
          <w:tblLook w:val="0000"/>
        </w:tblPrEx>
        <w:trPr>
          <w:tblHeader/>
        </w:trPr>
        <w:tc>
          <w:tcPr>
            <w:tcW w:w="8508" w:type="dxa"/>
            <w:gridSpan w:val="5"/>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rPr>
                <w:rStyle w:val="SpecialBold"/>
              </w:rPr>
              <w:t>EVIDENCE GUIDE</w:t>
            </w:r>
          </w:p>
        </w:tc>
      </w:tr>
      <w:tr w:rsidTr="006F1B45">
        <w:tblPrEx>
          <w:tblW w:w="0" w:type="auto"/>
          <w:tblLayout w:type="fixed"/>
          <w:tblCellMar>
            <w:left w:w="62" w:type="dxa"/>
            <w:right w:w="62" w:type="dxa"/>
          </w:tblCellMar>
          <w:tblLook w:val="0000"/>
        </w:tblPrEx>
        <w:tc>
          <w:tcPr>
            <w:tcW w:w="8508" w:type="dxa"/>
            <w:gridSpan w:val="5"/>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rPr>
                <w:rStyle w:val="SpecialBold"/>
              </w:rPr>
              <w:t>9</w:t>
            </w:r>
            <w:r w:rsidRPr="001215C2">
              <w:t xml:space="preserve">) The evidence guide provides advice on assessment and must be read in conjunction with the Performance </w:t>
            </w:r>
            <w:r w:rsidRPr="001215C2">
              <w:t>Criteria, Required Skills and Knowledge, the Range Statement and the Assessment Guidelines for this Training Package. .</w:t>
            </w:r>
          </w:p>
          <w:p w:rsidR="00000000" w:rsidP="001215C2">
            <w:pPr>
              <w:pStyle w:val="BodyText"/>
              <w:rPr>
                <w:lang w:val="en-NZ"/>
              </w:rPr>
            </w:pPr>
            <w:r w:rsidRPr="001215C2">
              <w:t>The Evidence Guide forms an integral part of this Unit. It must be used in conjunction with all parts of this unit and performed in acco</w:t>
            </w:r>
            <w:r w:rsidRPr="001215C2">
              <w:t>rdance with the Assessment Guidelines of this Training Package.</w:t>
            </w:r>
          </w:p>
        </w:tc>
      </w:tr>
      <w:tr w:rsidTr="006F1B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rPr>
                <w:rStyle w:val="SpecialBold"/>
              </w:rPr>
              <w:t>Overview of Assessment</w:t>
            </w:r>
          </w:p>
        </w:tc>
        <w:tc>
          <w:tcPr>
            <w:tcW w:w="6348" w:type="dxa"/>
            <w:gridSpan w:val="4"/>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rPr>
                <w:rStyle w:val="SpecialBold"/>
              </w:rPr>
              <w:t>9</w:t>
            </w:r>
            <w:r w:rsidRPr="001215C2">
              <w:t>.</w:t>
            </w:r>
            <w:r w:rsidRPr="001215C2">
              <w:rPr>
                <w:rStyle w:val="SpecialBold"/>
              </w:rPr>
              <w:t>1</w:t>
            </w:r>
            <w:r w:rsidRPr="001215C2">
              <w:t xml:space="preserve">) </w:t>
            </w:r>
          </w:p>
          <w:p w:rsidR="00000000" w:rsidRPr="001215C2" w:rsidP="001215C2">
            <w:pPr>
              <w:pStyle w:val="BodyText"/>
            </w:pPr>
            <w:r w:rsidRPr="001215C2">
              <w:t>Longitudinal competency development approaches to assessment, such as Profiling, require data to be reliably gathered i</w:t>
            </w:r>
            <w:r w:rsidRPr="001215C2">
              <w:t>n a form that can be consistently interpreted over time. This approach is best utilised in Apprenticeship programs and reduces assessment intervention. It is the industry-preferred model for apprenticeships. However, where summative (or final) assessment i</w:t>
            </w:r>
            <w:r w:rsidRPr="001215C2">
              <w:t xml:space="preserve">s used it is to include the application of the competency in the normal work environment or, at a minimum, the application of the competency in a realistically simulated work environment. In some circumstances, assessment in part or full can occur outside </w:t>
            </w:r>
            <w:r w:rsidRPr="001215C2">
              <w:t>the workplace. However, it must be in accordance with industry and regulatory policy.</w:t>
            </w:r>
          </w:p>
          <w:p w:rsidR="00000000" w:rsidRPr="001215C2" w:rsidP="001215C2">
            <w:pPr>
              <w:pStyle w:val="BodyText"/>
            </w:pPr>
            <w:r w:rsidRPr="001215C2">
              <w:t>Methods chosen for a particular assessment will be influenced by various factors. These include the extent of the assessment, the most effective locations for the assessm</w:t>
            </w:r>
            <w:r w:rsidRPr="001215C2">
              <w:t>ent activities to take place, access to physical resources, additional safety measures that may be required and the critical nature of the competencies being assessed.</w:t>
            </w:r>
          </w:p>
          <w:p w:rsidR="00000000" w:rsidRPr="001215C2" w:rsidP="001215C2">
            <w:pPr>
              <w:pStyle w:val="BodyText"/>
            </w:pPr>
            <w:r w:rsidRPr="001215C2">
              <w:t>The critical safety nature of working with electricity, electrical equipment, gas or any</w:t>
            </w:r>
            <w:r w:rsidRPr="001215C2">
              <w:t xml:space="preserve"> other hazardous substance/material carries risk in deeming a person competent. Sources of evidence need to be 'rich' in nature to minimise error in judgment.</w:t>
            </w:r>
          </w:p>
          <w:p w:rsidR="00000000" w:rsidP="001215C2">
            <w:pPr>
              <w:pStyle w:val="BodyText"/>
              <w:rPr>
                <w:lang w:val="en-NZ"/>
              </w:rPr>
            </w:pPr>
            <w:r w:rsidRPr="001215C2">
              <w:t>Activities associated with normal everyday work influence decisions about how/how much the data g</w:t>
            </w:r>
            <w:r w:rsidRPr="001215C2">
              <w:t>athered will contribute to its 'richness'. Some skills are more critical to safety and operational requirements while the same skills may be more or less frequently practised. These points are raised for the assessors to consider when choosing an assessmen</w:t>
            </w:r>
            <w:r w:rsidRPr="001215C2">
              <w:t>t method and developing assessment instruments. Sample assessment instruments are included for Assessors in the Assessment Guidelines of this Training Package.</w:t>
            </w:r>
          </w:p>
        </w:tc>
      </w:tr>
      <w:tr w:rsidTr="006F1B4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rPr>
                <w:rStyle w:val="SpecialBold"/>
              </w:rPr>
              <w:t xml:space="preserve">Critical aspects of evidence required to demonstrate competency </w:t>
            </w:r>
            <w:r w:rsidRPr="001215C2">
              <w:rPr>
                <w:rStyle w:val="SpecialBold"/>
              </w:rPr>
              <w:t>in this unit</w:t>
            </w:r>
          </w:p>
        </w:tc>
        <w:tc>
          <w:tcPr>
            <w:tcW w:w="6348" w:type="dxa"/>
            <w:gridSpan w:val="4"/>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rPr>
                <w:rStyle w:val="SpecialBold"/>
              </w:rPr>
              <w:t>9</w:t>
            </w:r>
            <w:r w:rsidRPr="001215C2">
              <w:t>.</w:t>
            </w:r>
            <w:r w:rsidRPr="001215C2">
              <w:rPr>
                <w:rStyle w:val="SpecialBold"/>
              </w:rPr>
              <w:t>2</w:t>
            </w:r>
            <w:r w:rsidRPr="001215C2">
              <w:t xml:space="preserve">) </w:t>
            </w:r>
          </w:p>
          <w:p w:rsidR="00000000" w:rsidP="001215C2">
            <w:pPr>
              <w:pStyle w:val="BodyText"/>
              <w:rPr>
                <w:lang w:val="en-NZ"/>
              </w:rPr>
            </w:pPr>
            <w:r w:rsidRPr="001215C2">
              <w:t>Before th</w:t>
            </w:r>
            <w:r w:rsidRPr="001215C2">
              <w:t>e critical aspects of evidence are considered all prerequisites must be met.</w:t>
            </w:r>
          </w:p>
        </w:tc>
      </w:tr>
      <w:tr w:rsidTr="006F1B4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t xml:space="preserve">Evidence for competence in this unit shall be considered holistically.  Each Element and associated performance criteria shall be demonstrated </w:t>
            </w:r>
            <w:r w:rsidRPr="001215C2">
              <w:t>on at least two occasions in accordance with the 'Assessment Guidelines - UEE07'.  Evidence shall also comprise:</w:t>
            </w:r>
          </w:p>
          <w:p w:rsidR="00000000" w:rsidP="001215C2">
            <w:pPr>
              <w:pStyle w:val="ListBullet"/>
              <w:rPr>
                <w:lang w:val="en-NZ"/>
              </w:rPr>
            </w:pPr>
            <w:r w:rsidRPr="001215C2">
              <w:t>A representative body of work performance demonstrated within the timeframes typically expected of the discipline, work function and industria</w:t>
            </w:r>
            <w:r w:rsidRPr="001215C2">
              <w:t>l environment. In particular this shall incorporate evidence that shows a candidate is able to:</w:t>
            </w:r>
          </w:p>
        </w:tc>
      </w:tr>
      <w:tr w:rsidTr="006F1B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RPr="001215C2" w:rsidP="001215C2">
            <w:pPr>
              <w:pStyle w:val="ListBullet2"/>
            </w:pPr>
            <w:r w:rsidRPr="001215C2">
              <w:t xml:space="preserve">Implement Occupational Health and Safety workplace procedures and practices including </w:t>
            </w:r>
            <w:r w:rsidRPr="001215C2">
              <w:t>the use of risk control measures as specified in the performance criteria and range statement</w:t>
            </w:r>
          </w:p>
          <w:p w:rsidR="00000000" w:rsidRPr="001215C2" w:rsidP="001215C2">
            <w:pPr>
              <w:pStyle w:val="ListBullet2"/>
            </w:pPr>
            <w:r w:rsidRPr="001215C2">
              <w:t>Apply sustainable energy principles and practices as specified in the performance criteria and range statement</w:t>
            </w:r>
          </w:p>
          <w:p w:rsidR="00000000" w:rsidRPr="001215C2" w:rsidP="001215C2">
            <w:pPr>
              <w:pStyle w:val="ListBullet2"/>
            </w:pPr>
            <w:r w:rsidRPr="001215C2">
              <w:t>Demonstrate an understanding of the essential knowl</w:t>
            </w:r>
            <w:r w:rsidRPr="001215C2">
              <w:t>edge and associated skills as described in this unit.  It may be required by some jurisdictions that RTOs provide a percentile graded result for the purpose of regulatory or licensing requirements.</w:t>
            </w:r>
          </w:p>
          <w:p w:rsidR="00000000" w:rsidRPr="001215C2" w:rsidP="001215C2">
            <w:pPr>
              <w:pStyle w:val="ListBullet2"/>
            </w:pPr>
            <w:r w:rsidRPr="001215C2">
              <w:t>Demonstrate an appropriate level of skills enabling employ</w:t>
            </w:r>
            <w:r w:rsidRPr="001215C2">
              <w:t>ment</w:t>
            </w:r>
          </w:p>
          <w:p w:rsidR="00000000" w:rsidP="001215C2">
            <w:pPr>
              <w:pStyle w:val="ListBullet2"/>
              <w:rPr>
                <w:lang w:val="en-NZ"/>
              </w:rPr>
            </w:pPr>
            <w:r w:rsidRPr="001215C2">
              <w:t>Conduct work observing the relevant Anti Discrimination legislation, regulations, polices and workplace procedures</w:t>
            </w:r>
          </w:p>
        </w:tc>
      </w:tr>
      <w:tr w:rsidTr="006F1B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P="001215C2">
            <w:pPr>
              <w:pStyle w:val="ListBullet"/>
              <w:rPr>
                <w:lang w:val="en-NZ"/>
              </w:rPr>
            </w:pPr>
            <w:r w:rsidRPr="001215C2">
              <w:t>Demonstrated consistent performance across a representative range of contexts from the prescribed items below:</w:t>
            </w:r>
          </w:p>
        </w:tc>
      </w:tr>
      <w:tr w:rsidTr="006F1B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P="001215C2">
            <w:pPr>
              <w:pStyle w:val="ListBullet2"/>
              <w:rPr>
                <w:lang w:val="en-NZ"/>
              </w:rPr>
            </w:pPr>
            <w:r w:rsidRPr="001215C2">
              <w:t>Design a complex commercial refrigeration system as described in 8) and including:</w:t>
            </w:r>
          </w:p>
        </w:tc>
      </w:tr>
      <w:tr w:rsidTr="006F1B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A</w:t>
            </w:r>
          </w:p>
        </w:tc>
        <w:tc>
          <w:tcPr>
            <w:tcW w:w="5520" w:type="dxa"/>
            <w:gridSpan w:val="2"/>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Developing outlines of alternative designs</w:t>
            </w:r>
          </w:p>
        </w:tc>
      </w:tr>
      <w:tr w:rsidTr="006F1B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B</w:t>
            </w:r>
          </w:p>
        </w:tc>
        <w:tc>
          <w:tcPr>
            <w:tcW w:w="5520" w:type="dxa"/>
            <w:gridSpan w:val="2"/>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Developing the design within the safety, regulatory, functional requirements and budget limitations</w:t>
            </w:r>
          </w:p>
        </w:tc>
      </w:tr>
      <w:tr w:rsidTr="006F1B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C</w:t>
            </w:r>
          </w:p>
        </w:tc>
        <w:tc>
          <w:tcPr>
            <w:tcW w:w="5520" w:type="dxa"/>
            <w:gridSpan w:val="2"/>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Documenting and presenting design effectively</w:t>
            </w:r>
          </w:p>
        </w:tc>
      </w:tr>
      <w:tr w:rsidTr="006F1B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D</w:t>
            </w:r>
          </w:p>
        </w:tc>
        <w:tc>
          <w:tcPr>
            <w:tcW w:w="5520" w:type="dxa"/>
            <w:gridSpan w:val="2"/>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Successfully negotiating design alteration requests</w:t>
            </w:r>
          </w:p>
        </w:tc>
      </w:tr>
      <w:tr w:rsidTr="006F1B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E</w:t>
            </w:r>
          </w:p>
        </w:tc>
        <w:tc>
          <w:tcPr>
            <w:tcW w:w="5520" w:type="dxa"/>
            <w:gridSpan w:val="2"/>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Obtaining approval for final design</w:t>
            </w:r>
          </w:p>
        </w:tc>
      </w:tr>
      <w:tr w:rsidTr="006F1B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F</w:t>
            </w:r>
          </w:p>
        </w:tc>
        <w:tc>
          <w:tcPr>
            <w:tcW w:w="5520" w:type="dxa"/>
            <w:gridSpan w:val="2"/>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Dealing with unplanned events by drawing on essential knowledge and skills to provide appropriate solutions incorporated in the holistic assessment with the above listed items</w:t>
            </w:r>
          </w:p>
        </w:tc>
      </w:tr>
      <w:tr w:rsidTr="006F1B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 xml:space="preserve">Note: </w:t>
            </w:r>
            <w:r w:rsidRPr="001215C2">
              <w:br/>
              <w:t>Successful completion of relevant vendor training may be used to contr</w:t>
            </w:r>
            <w:r w:rsidRPr="001215C2">
              <w:t>ibute to evidence on which competency is deemed. In these cases the alignment of outcomes of vendor training with performance criteria and critical aspects of evidence shall be clearly identified.</w:t>
            </w:r>
          </w:p>
        </w:tc>
      </w:tr>
      <w:tr w:rsidTr="006F1B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rPr>
                <w:rStyle w:val="SpecialBold"/>
              </w:rPr>
              <w:t>Context of and specific resources for assessment</w:t>
            </w:r>
          </w:p>
        </w:tc>
        <w:tc>
          <w:tcPr>
            <w:tcW w:w="6348" w:type="dxa"/>
            <w:gridSpan w:val="4"/>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rPr>
                <w:rStyle w:val="SpecialBold"/>
              </w:rPr>
              <w:t>9</w:t>
            </w:r>
            <w:r w:rsidRPr="001215C2">
              <w:t>.</w:t>
            </w:r>
            <w:r w:rsidRPr="001215C2">
              <w:rPr>
                <w:rStyle w:val="SpecialBold"/>
              </w:rPr>
              <w:t>3</w:t>
            </w:r>
            <w:r w:rsidRPr="001215C2">
              <w:t xml:space="preserve">) </w:t>
            </w:r>
          </w:p>
          <w:p w:rsidR="00000000" w:rsidRPr="001215C2" w:rsidP="001215C2">
            <w:pPr>
              <w:pStyle w:val="BodyText"/>
            </w:pPr>
            <w:r w:rsidRPr="001215C2">
              <w:t>This unit should be assessed as it relates to normal work practice using procedures, information and resources typical of a workplace. This should include:</w:t>
            </w:r>
          </w:p>
          <w:p w:rsidR="00000000" w:rsidRPr="001215C2" w:rsidP="001215C2">
            <w:pPr>
              <w:pStyle w:val="ListBullet"/>
            </w:pPr>
            <w:r w:rsidRPr="001215C2">
              <w:t>OHS policy and work procedures and instructions.</w:t>
            </w:r>
          </w:p>
          <w:p w:rsidR="00000000" w:rsidRPr="001215C2" w:rsidP="001215C2">
            <w:pPr>
              <w:pStyle w:val="ListBullet"/>
            </w:pPr>
            <w:r w:rsidRPr="001215C2">
              <w:t>Suitable work environment, facilities, equipment a</w:t>
            </w:r>
            <w:r w:rsidRPr="001215C2">
              <w:t>nd materials to undertake actual work as prescribed by this unit.</w:t>
            </w:r>
          </w:p>
          <w:p w:rsidR="00000000" w:rsidRPr="001215C2" w:rsidP="001215C2">
            <w:pPr>
              <w:pStyle w:val="BodyText"/>
            </w:pPr>
            <w:r w:rsidRPr="001215C2">
              <w:t>These should be part of the formal learning/assessment environment.</w:t>
            </w:r>
          </w:p>
          <w:p w:rsidR="00000000" w:rsidRPr="001215C2" w:rsidP="001215C2">
            <w:pPr>
              <w:pStyle w:val="BodyText"/>
            </w:pPr>
            <w:r w:rsidRPr="001215C2">
              <w:t>Note:</w:t>
            </w:r>
          </w:p>
          <w:p w:rsidR="00000000" w:rsidP="001215C2">
            <w:pPr>
              <w:pStyle w:val="BodyText"/>
              <w:rPr>
                <w:lang w:val="en-NZ"/>
              </w:rPr>
            </w:pPr>
            <w:r w:rsidRPr="001215C2">
              <w:t>Where simulation is considered a suitable strategy for assessment, conditions must be authentic and as far as possib</w:t>
            </w:r>
            <w:r w:rsidRPr="001215C2">
              <w:t>le reproduce and replicate the workplace and be consistent with the approved industry simulation policy.</w:t>
            </w:r>
          </w:p>
        </w:tc>
      </w:tr>
      <w:tr w:rsidTr="006F1B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Evidence should show demonstrated competency in designing a complex commercial refrigeration system.</w:t>
            </w:r>
          </w:p>
        </w:tc>
      </w:tr>
      <w:tr w:rsidTr="006F1B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rPr>
                <w:rStyle w:val="SpecialBold"/>
              </w:rPr>
              <w:t>Method of assessment</w:t>
            </w:r>
          </w:p>
        </w:tc>
        <w:tc>
          <w:tcPr>
            <w:tcW w:w="6348" w:type="dxa"/>
            <w:gridSpan w:val="4"/>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rPr>
                <w:rStyle w:val="SpecialBold"/>
              </w:rPr>
              <w:t>9</w:t>
            </w:r>
            <w:r w:rsidRPr="001215C2">
              <w:t>.</w:t>
            </w:r>
            <w:r w:rsidRPr="001215C2">
              <w:rPr>
                <w:rStyle w:val="SpecialBold"/>
              </w:rPr>
              <w:t>4</w:t>
            </w:r>
            <w:r w:rsidRPr="001215C2">
              <w:t xml:space="preserve">) </w:t>
            </w:r>
          </w:p>
          <w:p w:rsidR="00000000" w:rsidRPr="001215C2" w:rsidP="001215C2">
            <w:pPr>
              <w:pStyle w:val="BodyText"/>
            </w:pPr>
            <w:r w:rsidRPr="001215C2">
              <w:t>This unit shall be assessed by methods given in Volume 1, Part 3 'Assessment Guidelines'.</w:t>
            </w:r>
          </w:p>
          <w:p w:rsidR="00000000" w:rsidP="001215C2">
            <w:pPr>
              <w:pStyle w:val="BodyText"/>
              <w:rPr>
                <w:lang w:val="en-NZ"/>
              </w:rPr>
            </w:pPr>
            <w:r w:rsidRPr="001215C2">
              <w:t xml:space="preserve">Note: </w:t>
            </w:r>
            <w:r w:rsidRPr="001215C2">
              <w:br/>
              <w:t>Competent performance with inherent safe working practices is expected in the Industry to which this unit applies. This requires assessment in a structured env</w:t>
            </w:r>
            <w:r w:rsidRPr="001215C2">
              <w:t>ironment which is intended primarily for learning/assessment and incorporates all necessary equipment and facilities for learners to develop and demonstrate the essential knowledge and skills described in this unit.</w:t>
            </w:r>
          </w:p>
        </w:tc>
      </w:tr>
      <w:tr w:rsidTr="006F1B4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rPr>
                <w:rStyle w:val="SpecialBold"/>
              </w:rPr>
              <w:t>Concurrent assessment and relationsh</w:t>
            </w:r>
            <w:r w:rsidRPr="001215C2">
              <w:rPr>
                <w:rStyle w:val="SpecialBold"/>
              </w:rPr>
              <w:t>ip with other units</w:t>
            </w:r>
          </w:p>
        </w:tc>
        <w:tc>
          <w:tcPr>
            <w:tcW w:w="6348" w:type="dxa"/>
            <w:gridSpan w:val="4"/>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rPr>
                <w:rStyle w:val="SpecialBold"/>
              </w:rPr>
              <w:t>9</w:t>
            </w:r>
            <w:r w:rsidRPr="001215C2">
              <w:t>.</w:t>
            </w:r>
            <w:r w:rsidRPr="001215C2">
              <w:rPr>
                <w:rStyle w:val="SpecialBold"/>
              </w:rPr>
              <w:t>5</w:t>
            </w:r>
            <w:r w:rsidRPr="001215C2">
              <w:t>)</w:t>
            </w:r>
          </w:p>
        </w:tc>
      </w:tr>
      <w:tr w:rsidTr="006F1B4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For optimisation of training and assessment effort, competency development in this unit may be arranged concurrently with unit:</w:t>
            </w:r>
          </w:p>
        </w:tc>
      </w:tr>
      <w:tr w:rsidTr="006F1B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8" w:type="dxa"/>
            <w:gridSpan w:val="3"/>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UEENEEJ040B</w:t>
            </w:r>
          </w:p>
        </w:tc>
        <w:tc>
          <w:tcPr>
            <w:tcW w:w="4320" w:type="dxa"/>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t>Manage refrigeration and air conditioning projects</w:t>
            </w:r>
          </w:p>
        </w:tc>
      </w:tr>
    </w:tbl>
    <w:p w:rsidR="006F1B45" w:rsidP="001215C2">
      <w:pPr>
        <w:pStyle w:val="BodyText"/>
      </w:pPr>
    </w:p>
    <w:p w:rsidR="006F1B45" w:rsidP="001215C2">
      <w:pPr>
        <w:pStyle w:val="BodyText"/>
      </w:pPr>
    </w:p>
    <w:p w:rsidR="00000000" w:rsidRPr="001215C2" w:rsidP="001215C2">
      <w:pPr>
        <w:pStyle w:val="Heading1"/>
      </w:pPr>
      <w:bookmarkStart w:id="11" w:name="O_589937"/>
      <w:bookmarkEnd w:id="11"/>
      <w:r w:rsidRPr="001215C2">
        <w:t>Range Statement</w:t>
      </w:r>
    </w:p>
    <w:tbl>
      <w:tblPr>
        <w:tblW w:w="0" w:type="auto"/>
        <w:tblLayout w:type="fixed"/>
        <w:tblCellMar>
          <w:left w:w="62" w:type="dxa"/>
          <w:right w:w="62" w:type="dxa"/>
        </w:tblCellMar>
        <w:tblLook w:val="0000"/>
      </w:tblPr>
      <w:tblGrid>
        <w:gridCol w:w="8508"/>
      </w:tblGrid>
      <w:tr w:rsidTr="006F1B45">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rPr>
                <w:rStyle w:val="SpecialBold"/>
              </w:rPr>
              <w:t>RANGE STATEMENT</w:t>
            </w:r>
          </w:p>
        </w:tc>
      </w:tr>
      <w:tr w:rsidTr="006F1B45">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rPr>
                <w:rStyle w:val="SpecialBold"/>
              </w:rPr>
              <w:t>8</w:t>
            </w:r>
            <w:r w:rsidRPr="001215C2">
              <w:t>) This relates to the unit as a whole providing the range of contexts and conditions to which the performance criteria apply. It allows for different work environments and situations that will affect performance.</w:t>
            </w:r>
          </w:p>
        </w:tc>
      </w:tr>
      <w:tr w:rsidTr="006F1B45">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This unit must be demonstrated in relation to designing a complex commercial refrigeration system incorporating multiple major components (i.e. compressors, condenser or evaporators) circuits or systems and associated components and controls.</w:t>
            </w:r>
          </w:p>
        </w:tc>
      </w:tr>
      <w:tr w:rsidTr="006F1B45">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t>Generic term</w:t>
            </w:r>
            <w:r w:rsidRPr="001215C2">
              <w:t>s used throughout this Vocational Standard shall be regarded as part of the Range Statement in which competency is demonstrated. The definition of these and other terms that apply are given in Volume 2, Part 2.1.</w:t>
            </w:r>
          </w:p>
        </w:tc>
      </w:tr>
    </w:tbl>
    <w:p w:rsidR="006F1B45" w:rsidP="001215C2">
      <w:pPr>
        <w:pStyle w:val="BodyText"/>
      </w:pPr>
    </w:p>
    <w:p w:rsidR="006F1B45" w:rsidP="001215C2">
      <w:pPr>
        <w:pStyle w:val="BodyText"/>
      </w:pPr>
    </w:p>
    <w:p w:rsidR="00000000" w:rsidRPr="001215C2" w:rsidP="001215C2">
      <w:pPr>
        <w:pStyle w:val="Heading1"/>
      </w:pPr>
      <w:bookmarkStart w:id="12" w:name="O_589936"/>
      <w:bookmarkEnd w:id="12"/>
      <w:r w:rsidRPr="001215C2">
        <w:t>Unit Sector(s)</w:t>
      </w:r>
    </w:p>
    <w:p w:rsidR="00000000" w:rsidRPr="001215C2" w:rsidP="001215C2">
      <w:pPr>
        <w:pStyle w:val="BodyText"/>
      </w:pPr>
      <w:r w:rsidRPr="001215C2">
        <w:t>Not Appl</w:t>
      </w:r>
      <w:r w:rsidRPr="001215C2">
        <w:t>icable</w:t>
      </w:r>
    </w:p>
    <w:p w:rsidR="00000000" w:rsidRPr="001215C2" w:rsidP="001215C2">
      <w:pPr>
        <w:pStyle w:val="AllowPageBreak"/>
      </w:pPr>
    </w:p>
    <w:p w:rsidR="00000000" w:rsidRPr="001215C2" w:rsidP="001215C2">
      <w:pPr>
        <w:pStyle w:val="Heading1"/>
      </w:pPr>
      <w:bookmarkStart w:id="13" w:name="O_589935"/>
      <w:bookmarkEnd w:id="13"/>
      <w:r w:rsidRPr="001215C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F1B4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rPr>
                <w:rStyle w:val="SpecialBold"/>
              </w:rPr>
              <w:t>2</w:t>
            </w:r>
            <w:r w:rsidRPr="001215C2">
              <w:t>.</w:t>
            </w:r>
            <w:r w:rsidRPr="001215C2">
              <w:rPr>
                <w:rStyle w:val="SpecialBold"/>
              </w:rPr>
              <w:t>2</w:t>
            </w:r>
            <w:r w:rsidRPr="001215C2">
              <w:t xml:space="preserve">) </w:t>
            </w:r>
            <w:r w:rsidRPr="001215C2">
              <w:rPr>
                <w:rStyle w:val="SpecialBold"/>
              </w:rPr>
              <w:t>Literacy and numeracy skills</w:t>
            </w:r>
          </w:p>
          <w:p w:rsidR="00000000" w:rsidP="001215C2">
            <w:pPr>
              <w:pStyle w:val="BodyText"/>
              <w:rPr>
                <w:lang w:val="en-NZ"/>
              </w:rPr>
            </w:pPr>
            <w:r w:rsidRPr="001215C2">
              <w:t>Participants are best equipped to achieve competency in this unit if they have reading, writing and numeracy skills indicated by the following scales. Description of each scale is g</w:t>
            </w:r>
            <w:r w:rsidRPr="001215C2">
              <w:t>iven in Volume 2, Part 3 'Literacy and Numeracy'</w:t>
            </w:r>
          </w:p>
        </w:tc>
      </w:tr>
      <w:tr w:rsidTr="006F1B4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Reading</w:t>
            </w:r>
          </w:p>
        </w:tc>
        <w:tc>
          <w:tcPr>
            <w:tcW w:w="1182"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5</w:t>
            </w:r>
          </w:p>
        </w:tc>
        <w:tc>
          <w:tcPr>
            <w:tcW w:w="1739"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Writing</w:t>
            </w:r>
          </w:p>
        </w:tc>
        <w:tc>
          <w:tcPr>
            <w:tcW w:w="1182"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5</w:t>
            </w:r>
          </w:p>
        </w:tc>
        <w:tc>
          <w:tcPr>
            <w:tcW w:w="1721"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t>Numeracy</w:t>
            </w:r>
          </w:p>
        </w:tc>
        <w:tc>
          <w:tcPr>
            <w:tcW w:w="1182" w:type="dxa"/>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t>5</w:t>
            </w:r>
          </w:p>
        </w:tc>
      </w:tr>
    </w:tbl>
    <w:p w:rsidR="006F1B45" w:rsidP="001215C2">
      <w:pPr>
        <w:pStyle w:val="BodyText"/>
      </w:pPr>
    </w:p>
    <w:p w:rsidR="006F1B45" w:rsidP="001215C2">
      <w:pPr>
        <w:pStyle w:val="BodyText"/>
      </w:pPr>
    </w:p>
    <w:p w:rsidR="00000000" w:rsidRPr="001215C2" w:rsidP="001215C2">
      <w:pPr>
        <w:pStyle w:val="Heading1"/>
      </w:pPr>
      <w:bookmarkStart w:id="14" w:name="O_589934"/>
      <w:bookmarkEnd w:id="14"/>
      <w:r w:rsidRPr="001215C2">
        <w:t>2.2) Literacy and numeracy skills</w:t>
      </w:r>
    </w:p>
    <w:tbl>
      <w:tblPr>
        <w:tblW w:w="0" w:type="auto"/>
        <w:tblLayout w:type="fixed"/>
        <w:tblCellMar>
          <w:left w:w="62" w:type="dxa"/>
          <w:right w:w="62" w:type="dxa"/>
        </w:tblCellMar>
        <w:tblLook w:val="0000"/>
      </w:tblPr>
      <w:tblGrid>
        <w:gridCol w:w="2700"/>
        <w:gridCol w:w="5760"/>
      </w:tblGrid>
      <w:tr w:rsidTr="006F1B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215C2">
            <w:pPr>
              <w:pStyle w:val="BodyText"/>
              <w:rPr>
                <w:lang w:val="en-NZ"/>
              </w:rPr>
            </w:pPr>
            <w:r w:rsidRPr="001215C2">
              <w:rPr>
                <w:rStyle w:val="SpecialBold"/>
              </w:rPr>
              <w:t>5</w:t>
            </w:r>
            <w:r w:rsidRPr="001215C2">
              <w:t>)</w:t>
            </w:r>
          </w:p>
        </w:tc>
      </w:tr>
      <w:tr w:rsidTr="006F1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15C2" w:rsidP="001215C2">
            <w:pPr>
              <w:pStyle w:val="BodyText"/>
            </w:pPr>
            <w:r w:rsidRPr="001215C2">
              <w:t>Refrigeration and Air Conditioning</w:t>
            </w:r>
          </w:p>
        </w:tc>
      </w:tr>
    </w:tbl>
    <w:p w:rsidR="006F1B45" w:rsidP="001215C2">
      <w:pPr>
        <w:pStyle w:val="BodyText"/>
      </w:pPr>
    </w:p>
    <w:p w:rsidR="006F1B45" w:rsidP="001215C2">
      <w:pPr>
        <w:pStyle w:val="BodyText"/>
      </w:pPr>
    </w:p>
    <w:p w:rsidR="00000000" w:rsidRPr="001215C2" w:rsidP="001215C2"/>
    <w:sectPr w:rsidSect="001215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C2" w:rsidRPr="006F1B45" w:rsidP="006F1B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B45" w:rsidP="001215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F1B45" w:rsidP="001215C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F1B45" w:rsidP="001215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C2" w:rsidRPr="006F1B45" w:rsidP="006F1B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B45" w:rsidRPr="002D2AF8" w:rsidP="001215C2">
    <w:pPr>
      <w:pStyle w:val="Header"/>
      <w:framePr w:wrap="around"/>
    </w:pPr>
    <w:r>
      <w:fldChar w:fldCharType="begin"/>
    </w:r>
    <w:r>
      <w:instrText xml:space="preserve"> TITLE   \* MERGEFORMAT </w:instrText>
    </w:r>
    <w:r>
      <w:fldChar w:fldCharType="separate"/>
    </w:r>
    <w:r>
      <w:t>UEENEEJ141A Design complex commercial refrigeration systems and select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6F1B45" w:rsidP="001215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14C3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24D6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D619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5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15C2"/>
    <w:pPr>
      <w:spacing w:before="360" w:after="60"/>
      <w:outlineLvl w:val="0"/>
    </w:pPr>
    <w:rPr>
      <w:sz w:val="32"/>
    </w:rPr>
  </w:style>
  <w:style w:type="paragraph" w:styleId="Heading2">
    <w:name w:val="heading 2"/>
    <w:basedOn w:val="HeadingBase"/>
    <w:next w:val="BodyText"/>
    <w:link w:val="Heading2Char"/>
    <w:qFormat/>
    <w:rsid w:val="001215C2"/>
    <w:pPr>
      <w:keepLines/>
      <w:spacing w:before="240" w:after="120"/>
      <w:outlineLvl w:val="1"/>
    </w:pPr>
    <w:rPr>
      <w:sz w:val="28"/>
      <w:szCs w:val="40"/>
    </w:rPr>
  </w:style>
  <w:style w:type="paragraph" w:styleId="Heading3">
    <w:name w:val="heading 3"/>
    <w:basedOn w:val="HeadingBase"/>
    <w:next w:val="BodyText"/>
    <w:link w:val="Heading3Char"/>
    <w:qFormat/>
    <w:rsid w:val="001215C2"/>
    <w:pPr>
      <w:spacing w:before="180" w:after="120"/>
      <w:outlineLvl w:val="2"/>
    </w:pPr>
    <w:rPr>
      <w:spacing w:val="-10"/>
      <w:kern w:val="32"/>
    </w:rPr>
  </w:style>
  <w:style w:type="paragraph" w:styleId="Heading4">
    <w:name w:val="heading 4"/>
    <w:basedOn w:val="HeadingBase"/>
    <w:next w:val="BodyText"/>
    <w:link w:val="Heading4Char"/>
    <w:qFormat/>
    <w:rsid w:val="001215C2"/>
    <w:pPr>
      <w:spacing w:before="160" w:after="120"/>
      <w:outlineLvl w:val="3"/>
    </w:pPr>
    <w:rPr>
      <w:sz w:val="22"/>
    </w:rPr>
  </w:style>
  <w:style w:type="paragraph" w:styleId="Heading5">
    <w:name w:val="heading 5"/>
    <w:basedOn w:val="HeadingBase"/>
    <w:next w:val="Normal"/>
    <w:link w:val="Heading5Char"/>
    <w:qFormat/>
    <w:rsid w:val="001215C2"/>
    <w:pPr>
      <w:spacing w:before="80"/>
      <w:outlineLvl w:val="4"/>
    </w:pPr>
    <w:rPr>
      <w:color w:val="918585"/>
      <w:sz w:val="20"/>
    </w:rPr>
  </w:style>
  <w:style w:type="paragraph" w:styleId="Heading6">
    <w:name w:val="heading 6"/>
    <w:basedOn w:val="HeadingBase"/>
    <w:next w:val="Normal"/>
    <w:link w:val="Heading6Char"/>
    <w:qFormat/>
    <w:rsid w:val="001215C2"/>
    <w:pPr>
      <w:spacing w:before="60"/>
      <w:outlineLvl w:val="5"/>
    </w:pPr>
    <w:rPr>
      <w:color w:val="918585"/>
      <w:sz w:val="20"/>
    </w:rPr>
  </w:style>
  <w:style w:type="paragraph" w:styleId="Heading7">
    <w:name w:val="heading 7"/>
    <w:basedOn w:val="Normal"/>
    <w:next w:val="Normal"/>
    <w:link w:val="Heading7Char"/>
    <w:qFormat/>
    <w:rsid w:val="001215C2"/>
    <w:pPr>
      <w:ind w:left="720"/>
      <w:outlineLvl w:val="6"/>
    </w:pPr>
    <w:rPr>
      <w:i/>
    </w:rPr>
  </w:style>
  <w:style w:type="paragraph" w:styleId="Heading8">
    <w:name w:val="heading 8"/>
    <w:basedOn w:val="Normal"/>
    <w:next w:val="Normal"/>
    <w:link w:val="Heading8Char"/>
    <w:qFormat/>
    <w:rsid w:val="001215C2"/>
    <w:pPr>
      <w:ind w:left="720"/>
      <w:outlineLvl w:val="7"/>
    </w:pPr>
    <w:rPr>
      <w:i/>
    </w:rPr>
  </w:style>
  <w:style w:type="paragraph" w:styleId="Heading9">
    <w:name w:val="heading 9"/>
    <w:basedOn w:val="Normal"/>
    <w:next w:val="Normal"/>
    <w:link w:val="Heading9Char"/>
    <w:qFormat/>
    <w:rsid w:val="001215C2"/>
    <w:pPr>
      <w:ind w:left="720"/>
      <w:outlineLvl w:val="8"/>
    </w:pPr>
    <w:rPr>
      <w:i/>
    </w:rPr>
  </w:style>
  <w:style w:type="character" w:default="1" w:styleId="DefaultParagraphFont">
    <w:name w:val="Default Paragraph Font"/>
    <w:uiPriority w:val="1"/>
    <w:unhideWhenUsed/>
    <w:rsid w:val="001215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5C2"/>
  </w:style>
  <w:style w:type="character" w:customStyle="1" w:styleId="Heading1Char">
    <w:name w:val="Heading 1 Char"/>
    <w:basedOn w:val="DefaultParagraphFont"/>
    <w:link w:val="Heading1"/>
    <w:rsid w:val="001215C2"/>
    <w:rPr>
      <w:rFonts w:ascii="Times New Roman" w:eastAsia="Times New Roman" w:hAnsi="Times New Roman" w:cs="Times New Roman"/>
      <w:b/>
      <w:sz w:val="32"/>
      <w:szCs w:val="20"/>
      <w:lang w:eastAsia="en-US"/>
    </w:rPr>
  </w:style>
  <w:style w:type="paragraph" w:styleId="BodyText">
    <w:name w:val="Body Text"/>
    <w:basedOn w:val="Normal"/>
    <w:link w:val="BodyTextChar"/>
    <w:rsid w:val="001215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15C2"/>
    <w:rPr>
      <w:rFonts w:ascii="Times New Roman" w:eastAsia="Times New Roman" w:hAnsi="Times New Roman" w:cs="Times New Roman"/>
      <w:sz w:val="24"/>
      <w:lang w:eastAsia="en-US"/>
    </w:rPr>
  </w:style>
  <w:style w:type="paragraph" w:styleId="ListBullet">
    <w:name w:val="List Bullet"/>
    <w:basedOn w:val="List"/>
    <w:rsid w:val="001215C2"/>
    <w:pPr>
      <w:numPr>
        <w:numId w:val="13"/>
      </w:numPr>
      <w:tabs>
        <w:tab w:val="clear" w:pos="340"/>
      </w:tabs>
      <w:spacing w:before="40" w:after="40"/>
    </w:pPr>
  </w:style>
  <w:style w:type="character" w:customStyle="1" w:styleId="SpecialBold">
    <w:name w:val="Special Bold"/>
    <w:basedOn w:val="DefaultParagraphFont"/>
    <w:rsid w:val="001215C2"/>
    <w:rPr>
      <w:b/>
      <w:spacing w:val="0"/>
    </w:rPr>
  </w:style>
  <w:style w:type="paragraph" w:styleId="ListBullet2">
    <w:name w:val="List Bullet 2"/>
    <w:basedOn w:val="List2"/>
    <w:rsid w:val="001215C2"/>
    <w:pPr>
      <w:numPr>
        <w:numId w:val="14"/>
      </w:numPr>
      <w:tabs>
        <w:tab w:val="clear" w:pos="680"/>
      </w:tabs>
    </w:pPr>
  </w:style>
  <w:style w:type="paragraph" w:customStyle="1" w:styleId="SuperHeading">
    <w:name w:val="SuperHeading"/>
    <w:basedOn w:val="Normal"/>
    <w:rsid w:val="001215C2"/>
    <w:pPr>
      <w:spacing w:before="240" w:after="120"/>
      <w:outlineLvl w:val="0"/>
    </w:pPr>
    <w:rPr>
      <w:rFonts w:ascii="Times New Roman" w:hAnsi="Times New Roman"/>
      <w:b/>
      <w:sz w:val="32"/>
    </w:rPr>
  </w:style>
  <w:style w:type="paragraph" w:customStyle="1" w:styleId="AllowPageBreak">
    <w:name w:val="AllowPageBreak"/>
    <w:rsid w:val="001215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15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5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5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5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5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5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15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15C2"/>
    <w:rPr>
      <w:rFonts w:ascii="Courier New" w:eastAsia="Times New Roman" w:hAnsi="Courier New" w:cs="Times New Roman"/>
      <w:i/>
      <w:szCs w:val="20"/>
      <w:lang w:eastAsia="en-US"/>
    </w:rPr>
  </w:style>
  <w:style w:type="paragraph" w:customStyle="1" w:styleId="HeadingBase">
    <w:name w:val="Heading Base"/>
    <w:rsid w:val="001215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5C2"/>
    <w:pPr>
      <w:tabs>
        <w:tab w:val="right" w:leader="dot" w:pos="9072"/>
      </w:tabs>
      <w:ind w:left="567"/>
    </w:pPr>
    <w:rPr>
      <w:szCs w:val="22"/>
    </w:rPr>
  </w:style>
  <w:style w:type="paragraph" w:customStyle="1" w:styleId="TOCBase">
    <w:name w:val="TOC Base"/>
    <w:rsid w:val="001215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5C2"/>
    <w:pPr>
      <w:tabs>
        <w:tab w:val="right" w:leader="dot" w:pos="9072"/>
      </w:tabs>
      <w:spacing w:before="40" w:after="40"/>
      <w:ind w:left="284"/>
    </w:pPr>
    <w:rPr>
      <w:rFonts w:ascii="Times New Roman" w:hAnsi="Times New Roman"/>
    </w:rPr>
  </w:style>
  <w:style w:type="paragraph" w:styleId="TOC1">
    <w:name w:val="toc 1"/>
    <w:basedOn w:val="TOCBase"/>
    <w:next w:val="Normal"/>
    <w:rsid w:val="001215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15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5C2"/>
    <w:rPr>
      <w:rFonts w:ascii="Times New Roman" w:eastAsia="Times New Roman" w:hAnsi="Times New Roman" w:cs="Times New Roman"/>
      <w:sz w:val="16"/>
      <w:lang w:eastAsia="en-US"/>
    </w:rPr>
  </w:style>
  <w:style w:type="paragraph" w:styleId="Title">
    <w:name w:val="Title"/>
    <w:basedOn w:val="HeadingBase"/>
    <w:link w:val="TitleChar"/>
    <w:qFormat/>
    <w:rsid w:val="001215C2"/>
    <w:pPr>
      <w:spacing w:before="5040"/>
      <w:jc w:val="center"/>
    </w:pPr>
    <w:rPr>
      <w:sz w:val="48"/>
      <w:szCs w:val="72"/>
      <w:lang w:val="en-US"/>
    </w:rPr>
  </w:style>
  <w:style w:type="character" w:customStyle="1" w:styleId="TitleChar">
    <w:name w:val="Title Char"/>
    <w:basedOn w:val="DefaultParagraphFont"/>
    <w:link w:val="Title"/>
    <w:rsid w:val="001215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5C2"/>
    <w:pPr>
      <w:tabs>
        <w:tab w:val="left" w:pos="3600"/>
        <w:tab w:val="left" w:pos="3958"/>
      </w:tabs>
    </w:pPr>
  </w:style>
  <w:style w:type="paragraph" w:styleId="List">
    <w:name w:val="List"/>
    <w:basedOn w:val="BodyText"/>
    <w:next w:val="BodyText"/>
    <w:rsid w:val="001215C2"/>
    <w:pPr>
      <w:tabs>
        <w:tab w:val="left" w:pos="340"/>
      </w:tabs>
      <w:spacing w:before="60" w:after="60"/>
      <w:ind w:left="340" w:hanging="340"/>
    </w:pPr>
  </w:style>
  <w:style w:type="paragraph" w:customStyle="1" w:styleId="Note">
    <w:name w:val="Note"/>
    <w:basedOn w:val="BodyText"/>
    <w:rsid w:val="001215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5C2"/>
    <w:pPr>
      <w:framePr w:wrap="auto" w:hAnchor="text" w:y="6049"/>
    </w:pPr>
    <w:rPr>
      <w:color w:val="000000"/>
      <w:sz w:val="40"/>
    </w:rPr>
  </w:style>
  <w:style w:type="paragraph" w:customStyle="1" w:styleId="TOCTitle">
    <w:name w:val="TOCTitle"/>
    <w:basedOn w:val="Heading1"/>
    <w:rsid w:val="001215C2"/>
    <w:pPr>
      <w:spacing w:after="240"/>
      <w:jc w:val="center"/>
      <w:outlineLvl w:val="9"/>
    </w:pPr>
    <w:rPr>
      <w:caps/>
    </w:rPr>
  </w:style>
  <w:style w:type="paragraph" w:customStyle="1" w:styleId="Version">
    <w:name w:val="Version"/>
    <w:rsid w:val="001215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15C2"/>
    <w:pPr>
      <w:keepNext w:val="0"/>
      <w:tabs>
        <w:tab w:val="right" w:pos="4176"/>
      </w:tabs>
      <w:ind w:left="198" w:hanging="198"/>
    </w:pPr>
    <w:rPr>
      <w:rFonts w:ascii="Garamond" w:hAnsi="Garamond"/>
    </w:rPr>
  </w:style>
  <w:style w:type="paragraph" w:styleId="IndexHeading">
    <w:name w:val="index heading"/>
    <w:basedOn w:val="Normal"/>
    <w:next w:val="Index1"/>
    <w:semiHidden/>
    <w:rsid w:val="001215C2"/>
    <w:pPr>
      <w:spacing w:before="120" w:after="120"/>
    </w:pPr>
    <w:rPr>
      <w:rFonts w:ascii="Arial" w:hAnsi="Arial"/>
      <w:b/>
      <w:color w:val="918585"/>
      <w:sz w:val="24"/>
    </w:rPr>
  </w:style>
  <w:style w:type="paragraph" w:styleId="Header">
    <w:name w:val="header"/>
    <w:basedOn w:val="Normal"/>
    <w:link w:val="HeaderChar"/>
    <w:rsid w:val="001215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5C2"/>
    <w:rPr>
      <w:rFonts w:ascii="Times New Roman" w:eastAsia="Times New Roman" w:hAnsi="Times New Roman" w:cs="Times New Roman"/>
      <w:sz w:val="16"/>
      <w:szCs w:val="20"/>
      <w:lang w:val="en-GB" w:eastAsia="en-US"/>
    </w:rPr>
  </w:style>
  <w:style w:type="paragraph" w:customStyle="1" w:styleId="Chapter">
    <w:name w:val="Chapter"/>
    <w:basedOn w:val="Normal"/>
    <w:rsid w:val="001215C2"/>
    <w:pPr>
      <w:spacing w:before="240"/>
    </w:pPr>
    <w:rPr>
      <w:rFonts w:ascii="Times New Roman" w:hAnsi="Times New Roman"/>
      <w:smallCaps/>
      <w:spacing w:val="80"/>
      <w:sz w:val="28"/>
    </w:rPr>
  </w:style>
  <w:style w:type="paragraph" w:customStyle="1" w:styleId="InChapter">
    <w:name w:val="InChapter"/>
    <w:basedOn w:val="Heading3"/>
    <w:rsid w:val="001215C2"/>
    <w:pPr>
      <w:spacing w:after="240"/>
      <w:outlineLvl w:val="9"/>
    </w:pPr>
    <w:rPr>
      <w:noProof/>
    </w:rPr>
  </w:style>
  <w:style w:type="paragraph" w:styleId="Index2">
    <w:name w:val="index 2"/>
    <w:basedOn w:val="Normal"/>
    <w:next w:val="Normal"/>
    <w:semiHidden/>
    <w:rsid w:val="001215C2"/>
    <w:pPr>
      <w:tabs>
        <w:tab w:val="right" w:pos="4176"/>
      </w:tabs>
      <w:ind w:left="568" w:hanging="284"/>
    </w:pPr>
    <w:rPr>
      <w:rFonts w:ascii="Garamond" w:hAnsi="Garamond"/>
    </w:rPr>
  </w:style>
  <w:style w:type="paragraph" w:customStyle="1" w:styleId="Byline">
    <w:name w:val="Byline"/>
    <w:rsid w:val="001215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5C2"/>
    <w:pPr>
      <w:tabs>
        <w:tab w:val="clear" w:pos="3600"/>
        <w:tab w:val="clear" w:pos="3958"/>
      </w:tabs>
      <w:jc w:val="right"/>
    </w:pPr>
  </w:style>
  <w:style w:type="character" w:styleId="Emphasis">
    <w:name w:val="Emphasis"/>
    <w:basedOn w:val="DefaultParagraphFont"/>
    <w:qFormat/>
    <w:rsid w:val="001215C2"/>
    <w:rPr>
      <w:i/>
    </w:rPr>
  </w:style>
  <w:style w:type="paragraph" w:styleId="Caption">
    <w:name w:val="caption"/>
    <w:basedOn w:val="BodyText"/>
    <w:next w:val="Normal"/>
    <w:qFormat/>
    <w:rsid w:val="001215C2"/>
    <w:pPr>
      <w:framePr w:w="2268" w:hSpace="181" w:vSpace="181" w:wrap="around" w:vAnchor="text" w:hAnchor="page" w:x="1135" w:y="285" w:anchorLock="1"/>
    </w:pPr>
    <w:rPr>
      <w:i/>
    </w:rPr>
  </w:style>
  <w:style w:type="paragraph" w:customStyle="1" w:styleId="MiniTOCTitle">
    <w:name w:val="MiniTOCTitle"/>
    <w:basedOn w:val="Heading4"/>
    <w:rsid w:val="001215C2"/>
    <w:pPr>
      <w:spacing w:before="240"/>
      <w:outlineLvl w:val="9"/>
    </w:pPr>
    <w:rPr>
      <w:noProof/>
      <w:sz w:val="24"/>
    </w:rPr>
  </w:style>
  <w:style w:type="paragraph" w:customStyle="1" w:styleId="MiniTOCItem">
    <w:name w:val="MiniTOCItem"/>
    <w:basedOn w:val="ListBullet"/>
    <w:rsid w:val="001215C2"/>
    <w:pPr>
      <w:numPr>
        <w:numId w:val="0"/>
      </w:numPr>
      <w:tabs>
        <w:tab w:val="right" w:leader="dot" w:pos="6521"/>
      </w:tabs>
      <w:spacing w:before="0" w:after="0"/>
    </w:pPr>
  </w:style>
  <w:style w:type="paragraph" w:customStyle="1" w:styleId="TOFTitle">
    <w:name w:val="TOFTitle"/>
    <w:basedOn w:val="TOCTitle"/>
    <w:rsid w:val="001215C2"/>
  </w:style>
  <w:style w:type="paragraph" w:styleId="TableofFigures">
    <w:name w:val="table of figures"/>
    <w:basedOn w:val="Normal"/>
    <w:next w:val="Normal"/>
    <w:semiHidden/>
    <w:rsid w:val="001215C2"/>
    <w:pPr>
      <w:tabs>
        <w:tab w:val="right" w:leader="dot" w:pos="9072"/>
      </w:tabs>
      <w:ind w:left="970" w:hanging="403"/>
    </w:pPr>
    <w:rPr>
      <w:rFonts w:ascii="Times New Roman" w:hAnsi="Times New Roman"/>
      <w:b/>
    </w:rPr>
  </w:style>
  <w:style w:type="paragraph" w:styleId="ListNumber">
    <w:name w:val="List Number"/>
    <w:basedOn w:val="List"/>
    <w:rsid w:val="001215C2"/>
    <w:pPr>
      <w:numPr>
        <w:numId w:val="11"/>
      </w:numPr>
    </w:pPr>
  </w:style>
  <w:style w:type="character" w:customStyle="1" w:styleId="WingdingSymbols">
    <w:name w:val="Wingding Symbols"/>
    <w:rsid w:val="001215C2"/>
    <w:rPr>
      <w:rFonts w:ascii="Wingdings" w:hAnsi="Wingdings"/>
    </w:rPr>
  </w:style>
  <w:style w:type="paragraph" w:customStyle="1" w:styleId="TableHeading">
    <w:name w:val="Table Heading"/>
    <w:basedOn w:val="HeadingBase"/>
    <w:rsid w:val="001215C2"/>
    <w:pPr>
      <w:keepLines/>
      <w:pBdr>
        <w:bottom w:val="single" w:sz="6" w:space="1" w:color="918585"/>
      </w:pBdr>
      <w:spacing w:before="240"/>
    </w:pPr>
  </w:style>
  <w:style w:type="character" w:customStyle="1" w:styleId="HotSpot">
    <w:name w:val="HotSpot"/>
    <w:rsid w:val="001215C2"/>
    <w:rPr>
      <w:color w:val="0033CC"/>
      <w:u w:val="none"/>
    </w:rPr>
  </w:style>
  <w:style w:type="paragraph" w:customStyle="1" w:styleId="BodyTextRight">
    <w:name w:val="Body Text Right"/>
    <w:basedOn w:val="BodyText"/>
    <w:rsid w:val="001215C2"/>
    <w:pPr>
      <w:spacing w:before="0" w:after="0"/>
      <w:jc w:val="right"/>
    </w:pPr>
  </w:style>
  <w:style w:type="paragraph" w:styleId="Index3">
    <w:name w:val="index 3"/>
    <w:basedOn w:val="ListNumber2"/>
    <w:next w:val="Normal"/>
    <w:semiHidden/>
    <w:rsid w:val="001215C2"/>
    <w:pPr>
      <w:numPr>
        <w:numId w:val="0"/>
      </w:numPr>
      <w:tabs>
        <w:tab w:val="right" w:leader="dot" w:pos="4176"/>
      </w:tabs>
    </w:pPr>
  </w:style>
  <w:style w:type="paragraph" w:styleId="ListNumber2">
    <w:name w:val="List Number 2"/>
    <w:basedOn w:val="List2"/>
    <w:rsid w:val="001215C2"/>
    <w:pPr>
      <w:numPr>
        <w:numId w:val="10"/>
      </w:numPr>
      <w:tabs>
        <w:tab w:val="clear" w:pos="1060"/>
      </w:tabs>
    </w:pPr>
  </w:style>
  <w:style w:type="paragraph" w:customStyle="1" w:styleId="MarginNote">
    <w:name w:val="Margin Note"/>
    <w:basedOn w:val="BodyText"/>
    <w:rsid w:val="001215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5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5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15C2"/>
    <w:rPr>
      <w:sz w:val="32"/>
    </w:rPr>
  </w:style>
  <w:style w:type="paragraph" w:customStyle="1" w:styleId="HeadingProcedure">
    <w:name w:val="Heading Procedure"/>
    <w:basedOn w:val="HeadingBase"/>
    <w:next w:val="Normal"/>
    <w:rsid w:val="001215C2"/>
    <w:pPr>
      <w:tabs>
        <w:tab w:val="left" w:pos="0"/>
      </w:tabs>
      <w:spacing w:before="120" w:after="60"/>
    </w:pPr>
    <w:rPr>
      <w:i/>
      <w:color w:val="918585"/>
      <w:sz w:val="22"/>
    </w:rPr>
  </w:style>
  <w:style w:type="paragraph" w:customStyle="1" w:styleId="TableBodyText">
    <w:name w:val="Table Body Text"/>
    <w:basedOn w:val="BodyText"/>
    <w:rsid w:val="001215C2"/>
    <w:pPr>
      <w:spacing w:before="60" w:after="60"/>
    </w:pPr>
  </w:style>
  <w:style w:type="paragraph" w:styleId="ListContinue">
    <w:name w:val="List Continue"/>
    <w:basedOn w:val="List"/>
    <w:rsid w:val="001215C2"/>
    <w:pPr>
      <w:ind w:firstLine="0"/>
    </w:pPr>
  </w:style>
  <w:style w:type="paragraph" w:customStyle="1" w:styleId="ListNote">
    <w:name w:val="List Note"/>
    <w:basedOn w:val="List"/>
    <w:rsid w:val="001215C2"/>
    <w:pPr>
      <w:pBdr>
        <w:top w:val="single" w:sz="6" w:space="2" w:color="918585"/>
        <w:bottom w:val="single" w:sz="6" w:space="2" w:color="918585"/>
      </w:pBdr>
      <w:tabs>
        <w:tab w:val="left" w:pos="1021"/>
      </w:tabs>
      <w:ind w:firstLine="0"/>
    </w:pPr>
  </w:style>
  <w:style w:type="paragraph" w:customStyle="1" w:styleId="Warning">
    <w:name w:val="Warning"/>
    <w:basedOn w:val="BodyText"/>
    <w:rsid w:val="001215C2"/>
    <w:pPr>
      <w:shd w:val="clear" w:color="auto" w:fill="D9D9D9"/>
      <w:tabs>
        <w:tab w:val="left" w:pos="992"/>
      </w:tabs>
      <w:ind w:left="119" w:right="119"/>
    </w:pPr>
    <w:rPr>
      <w:sz w:val="20"/>
    </w:rPr>
  </w:style>
  <w:style w:type="paragraph" w:customStyle="1" w:styleId="MarginIcons">
    <w:name w:val="Margin Icons"/>
    <w:basedOn w:val="BodyText"/>
    <w:rsid w:val="001215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5C2"/>
    <w:rPr>
      <w:rFonts w:ascii="Courier New" w:hAnsi="Courier New"/>
    </w:rPr>
  </w:style>
  <w:style w:type="paragraph" w:customStyle="1" w:styleId="NoteBullet">
    <w:name w:val="Note Bullet"/>
    <w:basedOn w:val="Note"/>
    <w:rsid w:val="001215C2"/>
    <w:pPr>
      <w:tabs>
        <w:tab w:val="clear" w:pos="680"/>
      </w:tabs>
      <w:spacing w:before="60" w:after="60"/>
    </w:pPr>
  </w:style>
  <w:style w:type="paragraph" w:customStyle="1" w:styleId="SubHeading2">
    <w:name w:val="SubHeading2"/>
    <w:basedOn w:val="HeadingBase"/>
    <w:rsid w:val="001215C2"/>
    <w:pPr>
      <w:spacing w:before="240" w:after="60"/>
    </w:pPr>
    <w:rPr>
      <w:sz w:val="20"/>
    </w:rPr>
  </w:style>
  <w:style w:type="paragraph" w:customStyle="1" w:styleId="SubHeading1">
    <w:name w:val="SubHeading1"/>
    <w:basedOn w:val="HeadingBase"/>
    <w:rsid w:val="001215C2"/>
    <w:pPr>
      <w:spacing w:before="240" w:after="60"/>
    </w:pPr>
    <w:rPr>
      <w:color w:val="918585"/>
      <w:sz w:val="22"/>
    </w:rPr>
  </w:style>
  <w:style w:type="paragraph" w:customStyle="1" w:styleId="SideHeading">
    <w:name w:val="Side Heading"/>
    <w:basedOn w:val="HeadingBase"/>
    <w:rsid w:val="001215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5C2"/>
    <w:pPr>
      <w:numPr>
        <w:numId w:val="12"/>
      </w:numPr>
    </w:pPr>
  </w:style>
  <w:style w:type="paragraph" w:styleId="PlainText">
    <w:name w:val="Plain Text"/>
    <w:basedOn w:val="Normal"/>
    <w:link w:val="PlainTextChar"/>
    <w:rsid w:val="001215C2"/>
    <w:rPr>
      <w:sz w:val="20"/>
    </w:rPr>
  </w:style>
  <w:style w:type="character" w:customStyle="1" w:styleId="PlainTextChar">
    <w:name w:val="Plain Text Char"/>
    <w:basedOn w:val="DefaultParagraphFont"/>
    <w:link w:val="PlainText"/>
    <w:rsid w:val="001215C2"/>
    <w:rPr>
      <w:rFonts w:ascii="Courier New" w:eastAsia="Times New Roman" w:hAnsi="Courier New" w:cs="Times New Roman"/>
      <w:sz w:val="20"/>
      <w:szCs w:val="20"/>
      <w:lang w:eastAsia="en-US"/>
    </w:rPr>
  </w:style>
  <w:style w:type="character" w:customStyle="1" w:styleId="MenuOption">
    <w:name w:val="Menu Option"/>
    <w:basedOn w:val="DefaultParagraphFont"/>
    <w:rsid w:val="001215C2"/>
    <w:rPr>
      <w:b/>
      <w:smallCaps/>
    </w:rPr>
  </w:style>
  <w:style w:type="paragraph" w:customStyle="1" w:styleId="TableListNumber">
    <w:name w:val="Table List Number"/>
    <w:basedOn w:val="ListNumber"/>
    <w:rsid w:val="001215C2"/>
    <w:pPr>
      <w:numPr>
        <w:numId w:val="0"/>
      </w:numPr>
    </w:pPr>
  </w:style>
  <w:style w:type="paragraph" w:styleId="TOC4">
    <w:name w:val="toc 4"/>
    <w:basedOn w:val="TOCBase"/>
    <w:next w:val="Normal"/>
    <w:semiHidden/>
    <w:rsid w:val="001215C2"/>
    <w:pPr>
      <w:tabs>
        <w:tab w:val="right" w:leader="dot" w:pos="9071"/>
      </w:tabs>
      <w:ind w:left="1701"/>
    </w:pPr>
  </w:style>
  <w:style w:type="paragraph" w:customStyle="1" w:styleId="ListAlpha">
    <w:name w:val="List Alpha"/>
    <w:basedOn w:val="List"/>
    <w:rsid w:val="001215C2"/>
    <w:pPr>
      <w:numPr>
        <w:numId w:val="9"/>
      </w:numPr>
    </w:pPr>
  </w:style>
  <w:style w:type="paragraph" w:customStyle="1" w:styleId="ListAlpha2">
    <w:name w:val="List Alpha 2"/>
    <w:basedOn w:val="List2"/>
    <w:rsid w:val="001215C2"/>
    <w:pPr>
      <w:numPr>
        <w:numId w:val="8"/>
      </w:numPr>
    </w:pPr>
  </w:style>
  <w:style w:type="paragraph" w:styleId="List2">
    <w:name w:val="List 2"/>
    <w:basedOn w:val="BodyText"/>
    <w:rsid w:val="001215C2"/>
    <w:pPr>
      <w:tabs>
        <w:tab w:val="left" w:pos="680"/>
      </w:tabs>
      <w:spacing w:before="60" w:after="60"/>
      <w:ind w:left="680" w:hanging="340"/>
    </w:pPr>
  </w:style>
  <w:style w:type="paragraph" w:styleId="List3">
    <w:name w:val="List 3"/>
    <w:basedOn w:val="BodyText"/>
    <w:rsid w:val="001215C2"/>
    <w:pPr>
      <w:tabs>
        <w:tab w:val="left" w:pos="1021"/>
      </w:tabs>
      <w:spacing w:before="60" w:after="60"/>
      <w:ind w:left="1020" w:hanging="340"/>
    </w:pPr>
  </w:style>
  <w:style w:type="paragraph" w:styleId="List4">
    <w:name w:val="List 4"/>
    <w:basedOn w:val="BodyText"/>
    <w:rsid w:val="001215C2"/>
    <w:pPr>
      <w:tabs>
        <w:tab w:val="left" w:pos="1361"/>
      </w:tabs>
      <w:spacing w:before="60" w:after="60"/>
      <w:ind w:left="1361" w:hanging="340"/>
    </w:pPr>
  </w:style>
  <w:style w:type="paragraph" w:styleId="List5">
    <w:name w:val="List 5"/>
    <w:basedOn w:val="BodyText"/>
    <w:rsid w:val="001215C2"/>
    <w:pPr>
      <w:tabs>
        <w:tab w:val="left" w:pos="1701"/>
      </w:tabs>
      <w:spacing w:before="60" w:after="60"/>
      <w:ind w:left="1701" w:hanging="340"/>
    </w:pPr>
  </w:style>
  <w:style w:type="paragraph" w:styleId="ListBullet3">
    <w:name w:val="List Bullet 3"/>
    <w:basedOn w:val="List3"/>
    <w:rsid w:val="001215C2"/>
    <w:pPr>
      <w:numPr>
        <w:numId w:val="15"/>
      </w:numPr>
      <w:tabs>
        <w:tab w:val="clear" w:pos="1021"/>
      </w:tabs>
      <w:ind w:left="1037" w:hanging="357"/>
    </w:pPr>
  </w:style>
  <w:style w:type="paragraph" w:styleId="ListBullet4">
    <w:name w:val="List Bullet 4"/>
    <w:basedOn w:val="List4"/>
    <w:rsid w:val="001215C2"/>
    <w:pPr>
      <w:numPr>
        <w:numId w:val="3"/>
      </w:numPr>
    </w:pPr>
  </w:style>
  <w:style w:type="paragraph" w:styleId="ListBullet5">
    <w:name w:val="List Bullet 5"/>
    <w:basedOn w:val="List5"/>
    <w:rsid w:val="001215C2"/>
    <w:pPr>
      <w:numPr>
        <w:numId w:val="4"/>
      </w:numPr>
    </w:pPr>
  </w:style>
  <w:style w:type="paragraph" w:styleId="ListContinue2">
    <w:name w:val="List Continue 2"/>
    <w:basedOn w:val="List2"/>
    <w:rsid w:val="001215C2"/>
    <w:pPr>
      <w:ind w:firstLine="0"/>
    </w:pPr>
  </w:style>
  <w:style w:type="paragraph" w:styleId="ListContinue3">
    <w:name w:val="List Continue 3"/>
    <w:basedOn w:val="List3"/>
    <w:rsid w:val="001215C2"/>
    <w:pPr>
      <w:ind w:left="1021" w:firstLine="0"/>
    </w:pPr>
  </w:style>
  <w:style w:type="paragraph" w:styleId="ListContinue4">
    <w:name w:val="List Continue 4"/>
    <w:basedOn w:val="List4"/>
    <w:rsid w:val="001215C2"/>
    <w:pPr>
      <w:ind w:firstLine="0"/>
    </w:pPr>
  </w:style>
  <w:style w:type="paragraph" w:styleId="ListContinue5">
    <w:name w:val="List Continue 5"/>
    <w:basedOn w:val="List5"/>
    <w:rsid w:val="001215C2"/>
    <w:pPr>
      <w:ind w:firstLine="0"/>
    </w:pPr>
  </w:style>
  <w:style w:type="paragraph" w:styleId="ListNumber3">
    <w:name w:val="List Number 3"/>
    <w:basedOn w:val="List3"/>
    <w:rsid w:val="001215C2"/>
    <w:pPr>
      <w:numPr>
        <w:numId w:val="5"/>
      </w:numPr>
    </w:pPr>
  </w:style>
  <w:style w:type="paragraph" w:styleId="ListNumber4">
    <w:name w:val="List Number 4"/>
    <w:basedOn w:val="List4"/>
    <w:rsid w:val="001215C2"/>
    <w:pPr>
      <w:numPr>
        <w:numId w:val="6"/>
      </w:numPr>
    </w:pPr>
  </w:style>
  <w:style w:type="paragraph" w:styleId="ListNumber5">
    <w:name w:val="List Number 5"/>
    <w:basedOn w:val="List5"/>
    <w:rsid w:val="001215C2"/>
    <w:pPr>
      <w:numPr>
        <w:numId w:val="7"/>
      </w:numPr>
    </w:pPr>
  </w:style>
  <w:style w:type="paragraph" w:styleId="BlockText">
    <w:name w:val="Block Text"/>
    <w:basedOn w:val="Normal"/>
    <w:rsid w:val="001215C2"/>
    <w:pPr>
      <w:spacing w:after="120"/>
      <w:ind w:left="1440" w:right="1440"/>
    </w:pPr>
  </w:style>
  <w:style w:type="character" w:customStyle="1" w:styleId="Subscript">
    <w:name w:val="Subscript"/>
    <w:basedOn w:val="DefaultParagraphFont"/>
    <w:rsid w:val="001215C2"/>
    <w:rPr>
      <w:sz w:val="16"/>
      <w:vertAlign w:val="subscript"/>
    </w:rPr>
  </w:style>
  <w:style w:type="character" w:customStyle="1" w:styleId="Superscript">
    <w:name w:val="Superscript"/>
    <w:basedOn w:val="DefaultParagraphFont"/>
    <w:rsid w:val="001215C2"/>
    <w:rPr>
      <w:sz w:val="16"/>
      <w:vertAlign w:val="superscript"/>
    </w:rPr>
  </w:style>
  <w:style w:type="character" w:customStyle="1" w:styleId="Symbols">
    <w:name w:val="Symbols"/>
    <w:basedOn w:val="DefaultParagraphFont"/>
    <w:rsid w:val="001215C2"/>
    <w:rPr>
      <w:rFonts w:ascii="Symbol" w:hAnsi="Symbol"/>
    </w:rPr>
  </w:style>
  <w:style w:type="character" w:customStyle="1" w:styleId="MenuOptions">
    <w:name w:val="Menu Options"/>
    <w:basedOn w:val="DefaultParagraphFont"/>
    <w:rsid w:val="001215C2"/>
    <w:rPr>
      <w:rFonts w:ascii="Arial Narrow" w:hAnsi="Arial Narrow"/>
      <w:smallCaps/>
    </w:rPr>
  </w:style>
  <w:style w:type="character" w:customStyle="1" w:styleId="Buttons">
    <w:name w:val="Buttons"/>
    <w:basedOn w:val="DefaultParagraphFont"/>
    <w:rsid w:val="001215C2"/>
    <w:rPr>
      <w:b/>
    </w:rPr>
  </w:style>
  <w:style w:type="character" w:customStyle="1" w:styleId="Underlined">
    <w:name w:val="Underlined"/>
    <w:basedOn w:val="DefaultParagraphFont"/>
    <w:rsid w:val="001215C2"/>
    <w:rPr>
      <w:u w:val="single"/>
    </w:rPr>
  </w:style>
  <w:style w:type="paragraph" w:customStyle="1" w:styleId="TableBodyTextRight">
    <w:name w:val="Table Body Text Right"/>
    <w:basedOn w:val="TableBodyText"/>
    <w:rsid w:val="001215C2"/>
    <w:pPr>
      <w:widowControl w:val="0"/>
      <w:autoSpaceDE w:val="0"/>
      <w:autoSpaceDN w:val="0"/>
      <w:adjustRightInd w:val="0"/>
      <w:jc w:val="right"/>
    </w:pPr>
    <w:rPr>
      <w:rFonts w:cs="Arial"/>
      <w:szCs w:val="18"/>
    </w:rPr>
  </w:style>
  <w:style w:type="paragraph" w:customStyle="1" w:styleId="CopyrightText">
    <w:name w:val="Copyright Text"/>
    <w:basedOn w:val="BodyText"/>
    <w:rsid w:val="001215C2"/>
    <w:rPr>
      <w:sz w:val="18"/>
    </w:rPr>
  </w:style>
  <w:style w:type="paragraph" w:customStyle="1" w:styleId="BodySmallRight">
    <w:name w:val="Body Small Right"/>
    <w:basedOn w:val="BodyTextRight"/>
    <w:rsid w:val="001215C2"/>
    <w:rPr>
      <w:sz w:val="18"/>
      <w:szCs w:val="18"/>
    </w:rPr>
  </w:style>
  <w:style w:type="paragraph" w:customStyle="1" w:styleId="MarginEdition">
    <w:name w:val="Margin Edition"/>
    <w:basedOn w:val="MarginNote"/>
    <w:rsid w:val="001215C2"/>
    <w:pPr>
      <w:spacing w:before="0" w:after="0"/>
    </w:pPr>
    <w:rPr>
      <w:rFonts w:ascii="Times New Roman" w:hAnsi="Times New Roman"/>
      <w:color w:val="999999"/>
    </w:rPr>
  </w:style>
  <w:style w:type="paragraph" w:customStyle="1" w:styleId="Spacer">
    <w:name w:val="Spacer"/>
    <w:basedOn w:val="Normal"/>
    <w:rsid w:val="001215C2"/>
    <w:rPr>
      <w:sz w:val="2"/>
      <w:szCs w:val="2"/>
    </w:rPr>
  </w:style>
  <w:style w:type="character" w:customStyle="1" w:styleId="Small">
    <w:name w:val="Small"/>
    <w:basedOn w:val="DefaultParagraphFont"/>
    <w:rsid w:val="001215C2"/>
    <w:rPr>
      <w:sz w:val="16"/>
    </w:rPr>
  </w:style>
  <w:style w:type="paragraph" w:customStyle="1" w:styleId="WideTable">
    <w:name w:val="Wide Table"/>
    <w:basedOn w:val="Normal"/>
    <w:rsid w:val="001215C2"/>
    <w:pPr>
      <w:ind w:left="-1418"/>
    </w:pPr>
    <w:rPr>
      <w:sz w:val="2"/>
      <w:szCs w:val="2"/>
    </w:rPr>
  </w:style>
  <w:style w:type="character" w:styleId="PageNumber">
    <w:name w:val="page number"/>
    <w:basedOn w:val="DefaultParagraphFont"/>
    <w:rsid w:val="001215C2"/>
  </w:style>
  <w:style w:type="paragraph" w:styleId="Quote">
    <w:name w:val="Quote"/>
    <w:basedOn w:val="Heading1"/>
    <w:link w:val="QuoteChar"/>
    <w:qFormat/>
    <w:rsid w:val="001215C2"/>
    <w:rPr>
      <w:b w:val="0"/>
      <w:sz w:val="72"/>
      <w:szCs w:val="72"/>
      <w:lang w:val="en-NZ"/>
    </w:rPr>
  </w:style>
  <w:style w:type="character" w:customStyle="1" w:styleId="QuoteChar">
    <w:name w:val="Quote Char"/>
    <w:basedOn w:val="DefaultParagraphFont"/>
    <w:link w:val="Quote"/>
    <w:rsid w:val="001215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5C2"/>
    <w:pPr>
      <w:pageBreakBefore/>
    </w:pPr>
  </w:style>
  <w:style w:type="paragraph" w:customStyle="1" w:styleId="Border">
    <w:name w:val="Border"/>
    <w:basedOn w:val="Normal"/>
    <w:qFormat/>
    <w:rsid w:val="001215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5C2"/>
    <w:rPr>
      <w:b/>
      <w:bCs/>
      <w:i/>
      <w:iCs/>
      <w:color w:val="auto"/>
    </w:rPr>
  </w:style>
  <w:style w:type="paragraph" w:styleId="IntenseQuote">
    <w:name w:val="Intense Quote"/>
    <w:basedOn w:val="Normal"/>
    <w:next w:val="Normal"/>
    <w:link w:val="IntenseQuoteChar"/>
    <w:uiPriority w:val="30"/>
    <w:qFormat/>
    <w:rsid w:val="001215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5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15C2"/>
    <w:rPr>
      <w:smallCaps/>
      <w:color w:val="auto"/>
      <w:u w:val="single"/>
    </w:rPr>
  </w:style>
  <w:style w:type="character" w:styleId="IntenseReference">
    <w:name w:val="Intense Reference"/>
    <w:basedOn w:val="DefaultParagraphFont"/>
    <w:uiPriority w:val="32"/>
    <w:qFormat/>
    <w:rsid w:val="001215C2"/>
    <w:rPr>
      <w:b/>
      <w:bCs/>
      <w:smallCaps/>
      <w:color w:val="auto"/>
      <w:spacing w:val="5"/>
      <w:u w:val="single"/>
    </w:rPr>
  </w:style>
  <w:style w:type="paragraph" w:customStyle="1" w:styleId="2ColumnHeading">
    <w:name w:val="2Column Heading"/>
    <w:basedOn w:val="BodyText"/>
    <w:qFormat/>
    <w:rsid w:val="001215C2"/>
    <w:pPr>
      <w:spacing w:after="60"/>
      <w:ind w:left="-2268"/>
    </w:pPr>
    <w:rPr>
      <w:b/>
    </w:rPr>
  </w:style>
  <w:style w:type="paragraph" w:customStyle="1" w:styleId="Heading1TOC">
    <w:name w:val="Heading1 TOC"/>
    <w:basedOn w:val="Normal"/>
    <w:qFormat/>
    <w:rsid w:val="001215C2"/>
    <w:pPr>
      <w:spacing w:before="240" w:after="120"/>
    </w:pPr>
    <w:rPr>
      <w:rFonts w:ascii="Times New Roman" w:hAnsi="Times New Roman"/>
      <w:b/>
      <w:sz w:val="32"/>
    </w:rPr>
  </w:style>
  <w:style w:type="paragraph" w:customStyle="1" w:styleId="Heading2TOC">
    <w:name w:val="Heading2 TOC"/>
    <w:basedOn w:val="Normal"/>
    <w:qFormat/>
    <w:rsid w:val="001215C2"/>
    <w:pPr>
      <w:spacing w:before="240" w:after="60"/>
    </w:pPr>
    <w:rPr>
      <w:rFonts w:ascii="Times New Roman" w:hAnsi="Times New Roman"/>
      <w:b/>
      <w:sz w:val="28"/>
    </w:rPr>
  </w:style>
  <w:style w:type="character" w:customStyle="1" w:styleId="Underline">
    <w:name w:val="Underline"/>
    <w:basedOn w:val="DefaultParagraphFont"/>
    <w:qFormat/>
    <w:rsid w:val="001215C2"/>
    <w:rPr>
      <w:u w:val="single"/>
    </w:rPr>
  </w:style>
  <w:style w:type="character" w:customStyle="1" w:styleId="BoldandItalics">
    <w:name w:val="Bold and Italics"/>
    <w:qFormat/>
    <w:rsid w:val="001215C2"/>
    <w:rPr>
      <w:b/>
      <w:i/>
      <w:u w:val="none"/>
    </w:rPr>
  </w:style>
  <w:style w:type="paragraph" w:styleId="BalloonText">
    <w:name w:val="Balloon Text"/>
    <w:basedOn w:val="Normal"/>
    <w:link w:val="BalloonTextChar"/>
    <w:rsid w:val="001215C2"/>
    <w:rPr>
      <w:rFonts w:ascii="Tahoma" w:hAnsi="Tahoma" w:cs="Tahoma"/>
      <w:sz w:val="16"/>
      <w:szCs w:val="16"/>
    </w:rPr>
  </w:style>
  <w:style w:type="character" w:customStyle="1" w:styleId="BalloonTextChar">
    <w:name w:val="Balloon Text Char"/>
    <w:basedOn w:val="DefaultParagraphFont"/>
    <w:link w:val="BalloonText"/>
    <w:rsid w:val="001215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15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15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15C2"/>
    <w:rPr>
      <w:b/>
      <w:color w:val="660033"/>
      <w:spacing w:val="0"/>
    </w:rPr>
  </w:style>
  <w:style w:type="paragraph" w:customStyle="1" w:styleId="Nameditemlist">
    <w:name w:val="Named item list"/>
    <w:basedOn w:val="BodyText"/>
    <w:qFormat/>
    <w:rsid w:val="001215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2240</Words>
  <Characters>14059</Characters>
  <Application>Microsoft Office Word</Application>
  <DocSecurity>0</DocSecurity>
  <Lines>514</Lines>
  <Paragraphs>233</Paragraphs>
  <ScaleCrop>false</ScaleCrop>
  <Company>Author-it Software Corporation Ltd.</Company>
  <LinksUpToDate>false</LinksUpToDate>
  <CharactersWithSpaces>16207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UEENEEJ141A Design complex commercial refrigeration systems and select equipment</dc:title>
  <dc:subject>Approved</dc:subject>
  <dc:creator>E-OZ Training Standards</dc:creator>
  <cp:keywords>Release: 3</cp:keywords>
  <dc:description>Review Date: 12 April 2008</dc:description>
  <cp:lastModifiedBy>TPCMS</cp:lastModifiedBy>
  <cp:revision>3</cp:revision>
  <dcterms:created xsi:type="dcterms:W3CDTF">2013-08-14T08:06:00Z</dcterms:created>
  <dcterms:modified xsi:type="dcterms:W3CDTF">2013-08-14T08:06:00Z</dcterms:modified>
</cp:coreProperties>
</file>