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D38" w:rsidP="006C5D38">
      <w:pPr>
        <w:pStyle w:val="Title"/>
      </w:pPr>
      <w:r>
        <w:fldChar w:fldCharType="begin"/>
      </w:r>
      <w:r>
        <w:instrText xml:space="preserve"> TITLE   \* MERGEFORMAT </w:instrText>
      </w:r>
      <w:r>
        <w:fldChar w:fldCharType="separate"/>
      </w:r>
      <w:r>
        <w:t>UEENEEJ138A Analyse vibration and noise in refrigeration and air conditioning systems</w:t>
      </w:r>
      <w:r>
        <w:fldChar w:fldCharType="end"/>
      </w:r>
    </w:p>
    <w:p w:rsidR="006C5D38" w:rsidP="006C5D38">
      <w:pPr>
        <w:pStyle w:val="Version"/>
        <w:sectPr w:rsidSect="00CE42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E4272" w:rsidP="00CE4272">
      <w:pPr>
        <w:pStyle w:val="SuperHeading"/>
      </w:pPr>
      <w:r w:rsidRPr="00CE4272">
        <w:t>UEENEEJ138A Analyse vibration and noise in refrigeration and air conditioning systems</w:t>
      </w:r>
    </w:p>
    <w:p w:rsidR="00000000" w:rsidRPr="00CE4272" w:rsidP="00CE4272">
      <w:pPr>
        <w:pStyle w:val="Heading1"/>
      </w:pPr>
      <w:bookmarkStart w:id="1" w:name="O_589917"/>
      <w:bookmarkEnd w:id="1"/>
      <w:r w:rsidRPr="00CE4272">
        <w:t>Modification History</w:t>
      </w:r>
    </w:p>
    <w:p w:rsidR="00000000" w:rsidRPr="00CE4272" w:rsidP="00CE4272">
      <w:pPr>
        <w:pStyle w:val="BodyText"/>
      </w:pPr>
      <w:r w:rsidRPr="00CE4272">
        <w:t>Not Applicable</w:t>
      </w:r>
    </w:p>
    <w:p w:rsidR="00000000" w:rsidRPr="00CE4272" w:rsidP="00CE4272">
      <w:pPr>
        <w:pStyle w:val="AllowPageBreak"/>
      </w:pPr>
    </w:p>
    <w:p w:rsidR="00000000" w:rsidRPr="00CE4272" w:rsidP="00CE4272">
      <w:pPr>
        <w:pStyle w:val="Heading1"/>
      </w:pPr>
      <w:bookmarkStart w:id="2" w:name="O_589916"/>
      <w:bookmarkEnd w:id="2"/>
      <w:r w:rsidRPr="00CE4272">
        <w:t>Unit Descriptor</w:t>
      </w:r>
    </w:p>
    <w:tbl>
      <w:tblPr>
        <w:tblW w:w="0" w:type="auto"/>
        <w:tblLayout w:type="fixed"/>
        <w:tblCellMar>
          <w:left w:w="62" w:type="dxa"/>
          <w:right w:w="62" w:type="dxa"/>
        </w:tblCellMar>
        <w:tblLook w:val="0000"/>
      </w:tblPr>
      <w:tblGrid>
        <w:gridCol w:w="2700"/>
        <w:gridCol w:w="5760"/>
      </w:tblGrid>
      <w:tr w:rsidTr="006C5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1</w:t>
            </w:r>
            <w:r w:rsidRPr="00CE4272">
              <w:t xml:space="preserve">) </w:t>
            </w:r>
          </w:p>
          <w:p w:rsidR="00000000" w:rsidP="00CE4272">
            <w:pPr>
              <w:pStyle w:val="BodyText"/>
              <w:rPr>
                <w:lang w:val="en-NZ"/>
              </w:rPr>
            </w:pPr>
            <w:r w:rsidRPr="00CE4272">
              <w:rPr>
                <w:rStyle w:val="SpecialBold"/>
              </w:rPr>
              <w:t>1</w:t>
            </w:r>
            <w:r w:rsidRPr="00CE4272">
              <w:t>.</w:t>
            </w:r>
            <w:r w:rsidRPr="00CE4272">
              <w:rPr>
                <w:rStyle w:val="SpecialBold"/>
              </w:rPr>
              <w:t>1</w:t>
            </w:r>
            <w:r w:rsidRPr="00CE4272">
              <w:t xml:space="preserve">) </w:t>
            </w:r>
            <w:r w:rsidRPr="00CE4272">
              <w:rPr>
                <w:rStyle w:val="SpecialBold"/>
              </w:rPr>
              <w:t>Descriptor</w:t>
            </w:r>
          </w:p>
        </w:tc>
      </w:tr>
      <w:tr w:rsidTr="006C5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This unit covers the analysis of refrigeration and air conditioning systems to provide solutions to noise and vibration issues. It encompasses working safely, apply extensive knowledge of noise and vibration parameters, gathering and analysing data, applyi</w:t>
            </w:r>
            <w:r w:rsidRPr="00CE4272">
              <w:t>ng problem solving techniques, developing and documenting results and solutions for use in design work.</w:t>
            </w:r>
          </w:p>
        </w:tc>
      </w:tr>
    </w:tbl>
    <w:p w:rsidR="006C5D38" w:rsidP="00CE4272">
      <w:pPr>
        <w:pStyle w:val="BodyText"/>
      </w:pPr>
    </w:p>
    <w:p w:rsidR="006C5D38" w:rsidP="00CE4272">
      <w:pPr>
        <w:pStyle w:val="BodyText"/>
      </w:pPr>
    </w:p>
    <w:p w:rsidR="00000000" w:rsidRPr="00CE4272" w:rsidP="00CE4272">
      <w:pPr>
        <w:pStyle w:val="Heading1"/>
      </w:pPr>
      <w:bookmarkStart w:id="3" w:name="O_589915"/>
      <w:bookmarkEnd w:id="3"/>
      <w:r w:rsidRPr="00CE4272">
        <w:t>Application of the Unit</w:t>
      </w:r>
    </w:p>
    <w:tbl>
      <w:tblPr>
        <w:tblW w:w="0" w:type="auto"/>
        <w:tblLayout w:type="fixed"/>
        <w:tblCellMar>
          <w:left w:w="62" w:type="dxa"/>
          <w:right w:w="62" w:type="dxa"/>
        </w:tblCellMar>
        <w:tblLook w:val="0000"/>
      </w:tblPr>
      <w:tblGrid>
        <w:gridCol w:w="2700"/>
        <w:gridCol w:w="5760"/>
      </w:tblGrid>
      <w:tr w:rsidTr="006C5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4</w:t>
            </w:r>
            <w:r w:rsidRPr="00CE4272">
              <w:t>)</w:t>
            </w:r>
          </w:p>
        </w:tc>
      </w:tr>
      <w:tr w:rsidTr="006C5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CE4272">
              <w:t>6 level.</w:t>
            </w:r>
          </w:p>
        </w:tc>
      </w:tr>
    </w:tbl>
    <w:p w:rsidR="006C5D38" w:rsidP="00CE4272">
      <w:pPr>
        <w:pStyle w:val="BodyText"/>
      </w:pPr>
    </w:p>
    <w:p w:rsidR="006C5D38" w:rsidP="00CE4272">
      <w:pPr>
        <w:pStyle w:val="BodyText"/>
      </w:pPr>
    </w:p>
    <w:p w:rsidR="00000000" w:rsidRPr="00CE4272" w:rsidP="00CE4272">
      <w:pPr>
        <w:pStyle w:val="Heading1"/>
      </w:pPr>
      <w:bookmarkStart w:id="4" w:name="O_589914"/>
      <w:bookmarkEnd w:id="4"/>
      <w:r w:rsidRPr="00CE4272">
        <w:t>Licensing/Regulatory Information</w:t>
      </w:r>
    </w:p>
    <w:tbl>
      <w:tblPr>
        <w:tblW w:w="0" w:type="auto"/>
        <w:tblLayout w:type="fixed"/>
        <w:tblCellMar>
          <w:left w:w="62" w:type="dxa"/>
          <w:right w:w="62" w:type="dxa"/>
        </w:tblCellMar>
        <w:tblLook w:val="0000"/>
      </w:tblPr>
      <w:tblGrid>
        <w:gridCol w:w="8460"/>
      </w:tblGrid>
      <w:tr w:rsidTr="006C5D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1</w:t>
            </w:r>
            <w:r w:rsidRPr="00CE4272">
              <w:t>.</w:t>
            </w:r>
            <w:r w:rsidRPr="00CE4272">
              <w:rPr>
                <w:rStyle w:val="SpecialBold"/>
              </w:rPr>
              <w:t>2</w:t>
            </w:r>
            <w:r w:rsidRPr="00CE4272">
              <w:t xml:space="preserve">) </w:t>
            </w:r>
            <w:r w:rsidRPr="00CE4272">
              <w:rPr>
                <w:rStyle w:val="SpecialBold"/>
              </w:rPr>
              <w:t>License to practice</w:t>
            </w:r>
          </w:p>
        </w:tc>
      </w:tr>
      <w:tr w:rsidTr="006C5D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 xml:space="preserve">The skills and knowledge described in this unit do not require a license to practice in the workplace. However, practice in this unit is subject </w:t>
            </w:r>
            <w:r w:rsidRPr="00CE4272">
              <w:t>to regulations directly related to occupational health and safety, codes of work practice and standard work procedures related to the operation of automated machinery.</w:t>
            </w:r>
          </w:p>
        </w:tc>
      </w:tr>
    </w:tbl>
    <w:p w:rsidR="006C5D38" w:rsidP="00CE4272">
      <w:pPr>
        <w:pStyle w:val="BodyText"/>
      </w:pPr>
    </w:p>
    <w:p w:rsidR="006C5D38" w:rsidP="00CE4272">
      <w:pPr>
        <w:pStyle w:val="BodyText"/>
      </w:pPr>
    </w:p>
    <w:p w:rsidR="00000000" w:rsidRPr="00CE4272" w:rsidP="00CE4272">
      <w:pPr>
        <w:pStyle w:val="Heading1"/>
      </w:pPr>
      <w:bookmarkStart w:id="5" w:name="O_589913"/>
      <w:bookmarkEnd w:id="5"/>
      <w:r w:rsidRPr="00CE4272">
        <w:t>Pre-Requisites</w:t>
      </w:r>
    </w:p>
    <w:tbl>
      <w:tblPr>
        <w:tblW w:w="0" w:type="auto"/>
        <w:tblLayout w:type="fixed"/>
        <w:tblCellMar>
          <w:left w:w="62" w:type="dxa"/>
          <w:right w:w="62" w:type="dxa"/>
        </w:tblCellMar>
        <w:tblLook w:val="0000"/>
      </w:tblPr>
      <w:tblGrid>
        <w:gridCol w:w="2700"/>
        <w:gridCol w:w="5760"/>
      </w:tblGrid>
      <w:tr w:rsidTr="006C5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Prerequisite Unit</w:t>
            </w:r>
            <w:r w:rsidRPr="00CE4272">
              <w:t>(</w:t>
            </w:r>
            <w:r w:rsidRPr="00CE4272">
              <w:rPr>
                <w:rStyle w:val="SpecialBold"/>
              </w:rPr>
              <w:t>s</w:t>
            </w:r>
            <w:r w:rsidRPr="00CE4272">
              <w:t>)</w:t>
            </w:r>
          </w:p>
        </w:tc>
        <w:tc>
          <w:tcPr>
            <w:tcW w:w="57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2</w:t>
            </w:r>
            <w:r w:rsidRPr="00CE4272">
              <w:t xml:space="preserve">) </w:t>
            </w:r>
          </w:p>
        </w:tc>
      </w:tr>
      <w:tr w:rsidTr="006C5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427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2</w:t>
            </w:r>
            <w:r w:rsidRPr="00CE4272">
              <w:t>.</w:t>
            </w:r>
            <w:r w:rsidRPr="00CE4272">
              <w:rPr>
                <w:rStyle w:val="SpecialBold"/>
              </w:rPr>
              <w:t>1</w:t>
            </w:r>
            <w:r w:rsidRPr="00CE4272">
              <w:t xml:space="preserve">) </w:t>
            </w:r>
            <w:r w:rsidRPr="00CE4272">
              <w:rPr>
                <w:rStyle w:val="SpecialBold"/>
              </w:rPr>
              <w:t>Competencies</w:t>
            </w:r>
          </w:p>
        </w:tc>
      </w:tr>
      <w:tr w:rsidTr="006C5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Granting competency in this unit shall be made only after competency in the following unit(s) has/have been confirmed.</w:t>
            </w:r>
          </w:p>
          <w:p w:rsidR="00000000" w:rsidRPr="00CE4272" w:rsidP="00CE4272">
            <w:pPr>
              <w:pStyle w:val="BodyText"/>
            </w:pPr>
            <w:r w:rsidRPr="00CE4272">
              <w:t>UEENEEJ165A: Evaluate thermodynamic and fluid parameters of refrigeration systems</w:t>
            </w:r>
          </w:p>
          <w:p w:rsidR="00000000" w:rsidRPr="00CE4272" w:rsidP="00CE4272">
            <w:pPr>
              <w:pStyle w:val="BodyText"/>
            </w:pPr>
            <w:r w:rsidRPr="00CE4272">
              <w:t>UEENEEJ164A Analyse the operation of HVAC air and hydro</w:t>
            </w:r>
            <w:r w:rsidRPr="00CE4272">
              <w:t>nic systems</w:t>
            </w:r>
          </w:p>
          <w:p w:rsidR="00000000" w:rsidRPr="00CE4272" w:rsidP="00CE4272">
            <w:pPr>
              <w:pStyle w:val="BodyText"/>
            </w:pPr>
            <w:r w:rsidRPr="00CE4272">
              <w:t>UEENEEJ192A Analyse the psychrometric performance of HVAC/R systems</w:t>
            </w:r>
          </w:p>
          <w:p w:rsidR="00000000" w:rsidRPr="00CE4272" w:rsidP="00CE4272">
            <w:pPr>
              <w:pStyle w:val="BodyText"/>
            </w:pPr>
            <w:r w:rsidRPr="00CE4272">
              <w:t xml:space="preserve">and </w:t>
            </w:r>
          </w:p>
          <w:p w:rsidR="00000000" w:rsidRPr="00CE4272" w:rsidP="00CE4272">
            <w:pPr>
              <w:pStyle w:val="BodyText"/>
            </w:pPr>
            <w:r w:rsidRPr="00CE4272">
              <w:t>UEENEEJ193A  Analyse the thermodynamic performance of HVAC/R systems</w:t>
            </w:r>
          </w:p>
          <w:p w:rsidR="00000000" w:rsidRPr="00CE4272" w:rsidP="00CE4272">
            <w:pPr>
              <w:pStyle w:val="BodyText"/>
            </w:pPr>
            <w:r w:rsidRPr="00CE4272">
              <w:t xml:space="preserve">or </w:t>
            </w:r>
          </w:p>
          <w:p w:rsidR="00000000" w:rsidRPr="00CE4272" w:rsidP="00CE4272">
            <w:pPr>
              <w:pStyle w:val="BodyText"/>
            </w:pPr>
            <w:r w:rsidRPr="00CE4272">
              <w:t>UEENEEJ109A Verify functionality and compliance of refrigeration and air conditioning installation</w:t>
            </w:r>
            <w:r w:rsidRPr="00CE4272">
              <w:t>s</w:t>
            </w:r>
          </w:p>
          <w:p w:rsidR="00000000" w:rsidRPr="00CE4272" w:rsidP="00CE4272">
            <w:pPr>
              <w:pStyle w:val="BodyText"/>
            </w:pPr>
            <w:r w:rsidRPr="00CE4272">
              <w:t>UEENEEE101A Apply Occupational Health and Safety regulations, codes and practices in the workplace</w:t>
            </w:r>
          </w:p>
          <w:p w:rsidR="00000000" w:rsidRPr="00CE4272" w:rsidP="00CE4272">
            <w:pPr>
              <w:pStyle w:val="BodyText"/>
            </w:pPr>
            <w:r w:rsidRPr="00CE4272">
              <w:t>UEENEEE102A Fabricate, assemble and dismantle utilities industry components</w:t>
            </w:r>
          </w:p>
          <w:p w:rsidR="00000000" w:rsidRPr="00CE4272" w:rsidP="00CE4272">
            <w:pPr>
              <w:pStyle w:val="BodyText"/>
            </w:pPr>
            <w:r w:rsidRPr="00CE4272">
              <w:t>UEENEEE003B Solve problems in extra-low voltage single path circuits</w:t>
            </w:r>
          </w:p>
          <w:p w:rsidR="00000000" w:rsidRPr="00CE4272" w:rsidP="00CE4272">
            <w:pPr>
              <w:pStyle w:val="BodyText"/>
            </w:pPr>
            <w:r w:rsidRPr="00CE4272">
              <w:t>UEENEEE105</w:t>
            </w:r>
            <w:r w:rsidRPr="00CE4272">
              <w:t xml:space="preserve">A Fix and secure electrotechnology </w:t>
            </w:r>
            <w:r w:rsidRPr="00CE4272">
              <w:t>equipment</w:t>
            </w:r>
          </w:p>
          <w:p w:rsidR="00000000" w:rsidRPr="00CE4272" w:rsidP="00CE4272">
            <w:pPr>
              <w:pStyle w:val="BodyText"/>
            </w:pPr>
            <w:r w:rsidRPr="00CE4272">
              <w:t>UEENEEE107A Use drawings, diagrams, schedules, standards, codes and specifications</w:t>
            </w:r>
          </w:p>
          <w:p w:rsidR="00000000" w:rsidRPr="00CE4272" w:rsidP="00CE4272">
            <w:pPr>
              <w:pStyle w:val="BodyText"/>
            </w:pPr>
            <w:r w:rsidRPr="00CE4272">
              <w:t>UEENEEE137A Document and apply measures to control OHS risks associated with electrotechnology work</w:t>
            </w:r>
          </w:p>
          <w:p w:rsidR="00000000" w:rsidRPr="00CE4272" w:rsidP="00CE4272">
            <w:pPr>
              <w:pStyle w:val="BodyText"/>
            </w:pPr>
            <w:r w:rsidRPr="00CE4272">
              <w:t>UEENEEJ102A Prepare and conn</w:t>
            </w:r>
            <w:r w:rsidRPr="00CE4272">
              <w:t>ect refrigerant tubing and fittings</w:t>
            </w:r>
          </w:p>
          <w:p w:rsidR="00000000" w:rsidRPr="00CE4272" w:rsidP="00CE4272">
            <w:pPr>
              <w:pStyle w:val="BodyText"/>
            </w:pPr>
            <w:r w:rsidRPr="00CE4272">
              <w:t>UEENEEJ103A Establish the basic operating conditions of vapour compression systems</w:t>
            </w:r>
          </w:p>
          <w:p w:rsidR="00000000" w:rsidRPr="00CE4272" w:rsidP="00CE4272">
            <w:pPr>
              <w:pStyle w:val="BodyText"/>
            </w:pPr>
            <w:r w:rsidRPr="00CE4272">
              <w:t>UEENEEJ104A Establish the basic operating conditions of air conditioning systems</w:t>
            </w:r>
          </w:p>
          <w:p w:rsidR="00000000" w:rsidRPr="00CE4272" w:rsidP="00CE4272">
            <w:pPr>
              <w:pStyle w:val="BodyText"/>
            </w:pPr>
            <w:r w:rsidRPr="00CE4272">
              <w:t>UEENEEJ106A Install refrigerant pipe work, flow controls</w:t>
            </w:r>
            <w:r w:rsidRPr="00CE4272">
              <w:t xml:space="preserve"> and accessories</w:t>
            </w:r>
          </w:p>
          <w:p w:rsidR="00000000" w:rsidRPr="00CE4272" w:rsidP="00CE4272">
            <w:pPr>
              <w:pStyle w:val="BodyText"/>
            </w:pPr>
            <w:r w:rsidRPr="00CE4272">
              <w:t>UEENEEJ107A Install air conditioning and refrigeration systems, major components and associated equipment</w:t>
            </w:r>
          </w:p>
          <w:p w:rsidR="00000000" w:rsidRPr="00CE4272" w:rsidP="00CE4272">
            <w:pPr>
              <w:pStyle w:val="BodyText"/>
            </w:pPr>
            <w:r w:rsidRPr="00CE4272">
              <w:t>UEENEEJ108A Recover, pressure test, evacuate, charge and leak test refrigerants</w:t>
            </w:r>
          </w:p>
          <w:p w:rsidR="00000000" w:rsidRPr="00CE4272" w:rsidP="00CE4272">
            <w:pPr>
              <w:pStyle w:val="BodyText"/>
            </w:pPr>
            <w:r w:rsidRPr="00CE4272">
              <w:t>UEENEEJ110A Select refrigerant piping, accessories and associated controls</w:t>
            </w:r>
          </w:p>
          <w:p w:rsidR="00000000" w:rsidRPr="00CE4272" w:rsidP="00CE4272">
            <w:pPr>
              <w:pStyle w:val="BodyText"/>
            </w:pPr>
            <w:r w:rsidRPr="00CE4272">
              <w:t>UEENEEJ111A Diagnose and rectify faults in air conditioning and refrigeration systems and components</w:t>
            </w:r>
          </w:p>
          <w:p w:rsidR="00000000" w:rsidRPr="00CE4272" w:rsidP="00CE4272">
            <w:pPr>
              <w:pStyle w:val="BodyText"/>
            </w:pPr>
            <w:r w:rsidRPr="00CE4272">
              <w:t>UEENEEJ113A Commission air conditioning and refrigeration systems</w:t>
            </w:r>
          </w:p>
          <w:p w:rsidR="00000000" w:rsidRPr="00CE4272" w:rsidP="00CE4272">
            <w:pPr>
              <w:pStyle w:val="BodyText"/>
            </w:pPr>
            <w:r w:rsidRPr="00CE4272">
              <w:t>UEENEEJ153A Fi</w:t>
            </w:r>
            <w:r w:rsidRPr="00CE4272">
              <w:t>nd and rectify faults motors and associated controls in refrigeration and air conditioning systems</w:t>
            </w:r>
          </w:p>
          <w:p w:rsidR="00000000" w:rsidRPr="00CE4272" w:rsidP="00CE4272">
            <w:pPr>
              <w:pStyle w:val="BodyText"/>
            </w:pPr>
            <w:r w:rsidRPr="00CE4272">
              <w:t>UEENEEJ170A Diagnose and rectify faults in air conditioning and refrigeration control systems</w:t>
            </w:r>
          </w:p>
          <w:p w:rsidR="00000000" w:rsidRPr="00CE4272" w:rsidP="00CE4272">
            <w:pPr>
              <w:pStyle w:val="BodyText"/>
            </w:pPr>
            <w:r w:rsidRPr="00CE4272">
              <w:t>UEENEEJ194A Solve problems in low voltage refrigeration circuit</w:t>
            </w:r>
            <w:r w:rsidRPr="00CE4272">
              <w:t>s</w:t>
            </w:r>
          </w:p>
          <w:p w:rsidR="00000000" w:rsidRPr="00CE4272" w:rsidP="00CE4272">
            <w:pPr>
              <w:pStyle w:val="BodyText"/>
            </w:pPr>
            <w:r w:rsidRPr="00CE4272">
              <w:t>UEENEEP012A Disconnect / reconnect composite appliances connected to low voltage installation wiring</w:t>
            </w:r>
          </w:p>
          <w:p w:rsidR="00000000" w:rsidRPr="00CE4272" w:rsidP="00CE4272">
            <w:pPr>
              <w:pStyle w:val="BodyText"/>
            </w:pPr>
            <w:r w:rsidRPr="00CE4272">
              <w:t>UEENEEP017A Locate and rectify faults in low voltage composite appliances using set procedures</w:t>
            </w:r>
          </w:p>
          <w:p w:rsidR="00000000" w:rsidRPr="00CE4272" w:rsidP="00CE4272">
            <w:pPr>
              <w:pStyle w:val="BodyText"/>
            </w:pPr>
            <w:r w:rsidRPr="00CE4272">
              <w:t>UEENEEP024A Attach cords and plugs to electrical equipment</w:t>
            </w:r>
            <w:r w:rsidRPr="00CE4272">
              <w:t xml:space="preserve"> for connection to a single phase 230 Volt supply</w:t>
            </w:r>
          </w:p>
          <w:p w:rsidR="00000000" w:rsidRPr="00CE4272" w:rsidP="00CE4272">
            <w:pPr>
              <w:pStyle w:val="BodyText"/>
            </w:pPr>
            <w:r w:rsidRPr="00CE4272">
              <w:t>UEENEEP025A Attach cords, cables and plugs to electrical equipment for connection to 1000 Va.c. or 1500 Vd.c. supply</w:t>
            </w:r>
          </w:p>
        </w:tc>
      </w:tr>
    </w:tbl>
    <w:p w:rsidR="006C5D38" w:rsidP="00CE4272">
      <w:pPr>
        <w:pStyle w:val="BodyText"/>
      </w:pPr>
    </w:p>
    <w:p w:rsidR="006C5D38" w:rsidP="00CE4272">
      <w:pPr>
        <w:pStyle w:val="BodyText"/>
      </w:pPr>
    </w:p>
    <w:p w:rsidR="00000000" w:rsidRPr="00CE4272" w:rsidP="00CE4272">
      <w:pPr>
        <w:pStyle w:val="Heading1"/>
      </w:pPr>
      <w:bookmarkStart w:id="6" w:name="O_589912"/>
      <w:bookmarkEnd w:id="6"/>
      <w:r w:rsidRPr="00CE4272">
        <w:t>Employability Skills Information</w:t>
      </w:r>
    </w:p>
    <w:tbl>
      <w:tblPr>
        <w:tblW w:w="0" w:type="auto"/>
        <w:tblLayout w:type="fixed"/>
        <w:tblCellMar>
          <w:left w:w="62" w:type="dxa"/>
          <w:right w:w="62" w:type="dxa"/>
        </w:tblCellMar>
        <w:tblLook w:val="0000"/>
      </w:tblPr>
      <w:tblGrid>
        <w:gridCol w:w="2700"/>
        <w:gridCol w:w="5760"/>
      </w:tblGrid>
      <w:tr w:rsidTr="006C5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3</w:t>
            </w:r>
            <w:r w:rsidRPr="00CE4272">
              <w:t>)</w:t>
            </w:r>
          </w:p>
          <w:p w:rsidR="00000000" w:rsidRPr="00CE4272" w:rsidP="00CE4272">
            <w:pPr>
              <w:pStyle w:val="BodyText"/>
            </w:pPr>
            <w:r w:rsidRPr="00CE4272">
              <w:t>This unit co</w:t>
            </w:r>
            <w:r w:rsidRPr="00CE4272">
              <w:t>ntains Employability Skills</w:t>
            </w:r>
          </w:p>
          <w:p w:rsidR="00000000" w:rsidRPr="00CE4272" w:rsidP="00CE4272">
            <w:pPr>
              <w:pStyle w:val="BodyText"/>
            </w:pPr>
            <w:r w:rsidRPr="00CE4272">
              <w:t>The required outcomes described in this unit of competency contain applicable facets of Employability Skills. The Employability Skills Summary of the qualification in which this unit of competency is packaged will assist in iden</w:t>
            </w:r>
            <w:r w:rsidRPr="00CE4272">
              <w:t>tifying Employability Skill requirements.</w:t>
            </w:r>
          </w:p>
        </w:tc>
      </w:tr>
    </w:tbl>
    <w:p w:rsidR="006C5D38" w:rsidP="00CE4272">
      <w:pPr>
        <w:pStyle w:val="BodyText"/>
      </w:pPr>
    </w:p>
    <w:p w:rsidR="006C5D38" w:rsidP="00CE4272">
      <w:pPr>
        <w:pStyle w:val="BodyText"/>
      </w:pPr>
    </w:p>
    <w:p w:rsidR="00000000" w:rsidRPr="00CE4272" w:rsidP="00CE4272">
      <w:pPr>
        <w:pStyle w:val="Heading1"/>
      </w:pPr>
      <w:bookmarkStart w:id="7" w:name="O_589911"/>
      <w:bookmarkEnd w:id="7"/>
      <w:r w:rsidRPr="00CE4272">
        <w:t>Elements and Performance Criteria Pre-Content</w:t>
      </w:r>
    </w:p>
    <w:tbl>
      <w:tblPr>
        <w:tblW w:w="0" w:type="auto"/>
        <w:tblLayout w:type="fixed"/>
        <w:tblCellMar>
          <w:left w:w="62" w:type="dxa"/>
          <w:right w:w="62" w:type="dxa"/>
        </w:tblCellMar>
        <w:tblLook w:val="0000"/>
      </w:tblPr>
      <w:tblGrid>
        <w:gridCol w:w="2268"/>
        <w:gridCol w:w="6240"/>
      </w:tblGrid>
      <w:tr w:rsidTr="006C5D3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6</w:t>
            </w:r>
            <w:r w:rsidRPr="00CE4272">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Performance criteria describe the required performance needed to demonstrate achievement of the element. Assessment of performance is to be consistent with the evidence guide.</w:t>
            </w:r>
          </w:p>
        </w:tc>
      </w:tr>
    </w:tbl>
    <w:p w:rsidR="00000000" w:rsidRPr="00CE4272" w:rsidP="00CE4272">
      <w:pPr>
        <w:pStyle w:val="BodyText"/>
      </w:pPr>
    </w:p>
    <w:p w:rsidR="00000000" w:rsidRPr="00CE4272" w:rsidP="00CE4272">
      <w:pPr>
        <w:pStyle w:val="AllowPageBreak"/>
      </w:pPr>
    </w:p>
    <w:p w:rsidR="00000000" w:rsidRPr="00CE4272" w:rsidP="00CE4272">
      <w:pPr>
        <w:pStyle w:val="Heading1"/>
      </w:pPr>
      <w:bookmarkStart w:id="8" w:name="O_589910"/>
      <w:bookmarkEnd w:id="8"/>
      <w:r w:rsidRPr="00CE4272">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6C5D38">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PERFORMANCE CRITER</w:t>
            </w:r>
            <w:r w:rsidRPr="00CE4272">
              <w:rPr>
                <w:rStyle w:val="SpecialBold"/>
              </w:rPr>
              <w:t>IA</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1</w:t>
            </w:r>
          </w:p>
        </w:tc>
        <w:tc>
          <w:tcPr>
            <w:tcW w:w="1728" w:type="dxa"/>
            <w:vMerge w:val="restart"/>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Prepare to analyse noise and vibration in refrigeration and air conditioning systems</w:t>
            </w: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1.1</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OHS procedures for a given work area are identified, obtained and understood</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1.2</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Established OHS risk control measures and procedures are followed in preparation for the work.</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1.3</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 xml:space="preserve">The extent of the noise and vibration issue is determined from performance specifications and situation reports and in consultations with relevant </w:t>
            </w:r>
            <w:r w:rsidRPr="00CE4272">
              <w:t>persons.</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1.4</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Activities are planned to meet scheduled timelines in consultation with others involved in the work.</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1.5</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Effective strategies are formed to ensure solution development and implementation is carried out efficiently.</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w:t>
            </w:r>
          </w:p>
        </w:tc>
        <w:tc>
          <w:tcPr>
            <w:tcW w:w="1728" w:type="dxa"/>
            <w:vMerge w:val="restart"/>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Analyse noise and vibration in refrigeration and air conditioning systems.</w:t>
            </w: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2.1</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OHS risk control measures and procedures for carrying out the work are followed.</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2.2</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Knowledge of noise, vibration and thermodynamics are applied to analytical solutions to r</w:t>
            </w:r>
            <w:r w:rsidRPr="00CE4272">
              <w:t>efrigeration and air conditioning systems.</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2.3</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Parameters, specifications and performance requirements in relation to refrigeration and air conditioning systems are obtained in accordance with established procedures.</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2.4</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Approaches to analysing noise and vibration parameters are carried out to provide the most effective solution.</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2.5</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Unplanned events are dealt with safely and effectively consistent with regulatory requirements and enterprise policy.</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2.6</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Quality of work is monitored against personal performance agreement and/or established organizational or professional standards</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3</w:t>
            </w:r>
          </w:p>
        </w:tc>
        <w:tc>
          <w:tcPr>
            <w:tcW w:w="1728" w:type="dxa"/>
            <w:vMerge w:val="restart"/>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Document and report on the results of the noise and vibration analysis and actions taken.</w:t>
            </w: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3.1</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Solutions to noise and vibratio</w:t>
            </w:r>
            <w:r w:rsidRPr="00CE4272">
              <w:t>n issues are evaluated to determine their effectiveness and modified where necessary.</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3.2</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Analysis is documented including details of all findings, calculations and assumptions.</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3.3</w:t>
            </w:r>
          </w:p>
        </w:tc>
        <w:tc>
          <w:tcPr>
            <w:tcW w:w="53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Analysis is reported to appropriately personnel to establish appropriate action to be taken based on findings.</w:t>
            </w:r>
          </w:p>
        </w:tc>
      </w:tr>
      <w:tr w:rsidTr="006C5D3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3.4</w:t>
            </w:r>
          </w:p>
        </w:tc>
        <w:tc>
          <w:tcPr>
            <w:tcW w:w="534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Justification for findings and any actions to be undertaken in relation to the equipment is documented for inclusion in work/project or de</w:t>
            </w:r>
            <w:r w:rsidRPr="00CE4272">
              <w:t>velopment records in accordance with professional standards.</w:t>
            </w:r>
          </w:p>
        </w:tc>
      </w:tr>
    </w:tbl>
    <w:p w:rsidR="006C5D38" w:rsidP="00CE4272">
      <w:pPr>
        <w:pStyle w:val="BodyText"/>
      </w:pPr>
    </w:p>
    <w:p w:rsidR="006C5D38" w:rsidP="00CE4272">
      <w:pPr>
        <w:pStyle w:val="BodyText"/>
      </w:pPr>
    </w:p>
    <w:p w:rsidR="00000000" w:rsidRPr="00CE4272" w:rsidP="00CE4272">
      <w:pPr>
        <w:pStyle w:val="Heading1"/>
      </w:pPr>
      <w:bookmarkStart w:id="9" w:name="O_589909"/>
      <w:bookmarkEnd w:id="9"/>
      <w:r w:rsidRPr="00CE4272">
        <w:t>Required Skills and Knowledge</w:t>
      </w:r>
    </w:p>
    <w:tbl>
      <w:tblPr>
        <w:tblW w:w="0" w:type="auto"/>
        <w:tblLayout w:type="fixed"/>
        <w:tblCellMar>
          <w:left w:w="62" w:type="dxa"/>
          <w:right w:w="62" w:type="dxa"/>
        </w:tblCellMar>
        <w:tblLook w:val="0000"/>
      </w:tblPr>
      <w:tblGrid>
        <w:gridCol w:w="8508"/>
      </w:tblGrid>
      <w:tr w:rsidTr="006C5D3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REQUIRED SKILLS AND KNOWLEDGE</w:t>
            </w:r>
          </w:p>
        </w:tc>
      </w:tr>
      <w:tr w:rsidTr="006C5D3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7)</w:t>
            </w:r>
            <w:r w:rsidRPr="00CE4272">
              <w:t xml:space="preserve"> This describes the essential skills and knowledge and their level, required for this unit.</w:t>
            </w:r>
          </w:p>
        </w:tc>
      </w:tr>
      <w:tr w:rsidTr="006C5D3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 xml:space="preserve">Evidence shall show that knowledge has been acquired of safe working practices and analysing noise and vibration in refrigeration and air conditioning systems. </w:t>
            </w:r>
          </w:p>
          <w:p w:rsidR="00000000" w:rsidRPr="00CE4272" w:rsidP="00CE4272">
            <w:pPr>
              <w:pStyle w:val="BodyText"/>
            </w:pPr>
            <w:r w:rsidRPr="00CE4272">
              <w:t>All knowledge and skills detailed in this unit should be contextualised to current industry pra</w:t>
            </w:r>
            <w:r w:rsidRPr="00CE4272">
              <w:t>ctices and technologies.</w:t>
            </w:r>
          </w:p>
          <w:p w:rsidR="00000000" w:rsidRPr="00CE4272" w:rsidP="00CE4272">
            <w:pPr>
              <w:pStyle w:val="BodyText"/>
            </w:pPr>
            <w:r w:rsidRPr="00CE4272">
              <w:rPr>
                <w:rStyle w:val="SpecialBold"/>
              </w:rPr>
              <w:t>KS01-EJ138A</w:t>
            </w:r>
            <w:r w:rsidRPr="00CE4272">
              <w:rPr>
                <w:rStyle w:val="SpecialBold"/>
              </w:rPr>
              <w:tab/>
              <w:t xml:space="preserve">              Noise and vibration in refrigeration and air conditioning systems</w:t>
            </w:r>
          </w:p>
          <w:p w:rsidR="00000000" w:rsidRPr="00CE4272" w:rsidP="00CE4272">
            <w:pPr>
              <w:pStyle w:val="BodyText"/>
            </w:pPr>
            <w:r w:rsidRPr="00CE4272">
              <w:t xml:space="preserve">Evidence shall show an understanding of noise and vibration in refrigeration and air conditioning systems, applying safe working practices </w:t>
            </w:r>
            <w:r w:rsidRPr="00CE4272">
              <w:t>and relevant Standards, Codes and Regulations to an extent indicated by the following aspects:</w:t>
            </w:r>
          </w:p>
          <w:p w:rsidR="00000000" w:rsidRPr="00CE4272" w:rsidP="00CE4272">
            <w:pPr>
              <w:pStyle w:val="BodyText"/>
            </w:pPr>
            <w:r w:rsidRPr="00CE4272">
              <w:t>T1</w:t>
            </w:r>
            <w:r w:rsidRPr="00CE4272">
              <w:tab/>
              <w:t>Fundamentals of sound</w:t>
            </w:r>
          </w:p>
          <w:p w:rsidR="00000000" w:rsidRPr="00CE4272" w:rsidP="00CE4272">
            <w:pPr>
              <w:pStyle w:val="ListBullet"/>
            </w:pPr>
            <w:r w:rsidRPr="00CE4272">
              <w:t>frequency</w:t>
            </w:r>
          </w:p>
          <w:p w:rsidR="00000000" w:rsidRPr="00CE4272" w:rsidP="00CE4272">
            <w:pPr>
              <w:pStyle w:val="ListBullet"/>
            </w:pPr>
            <w:r w:rsidRPr="00CE4272">
              <w:t>decibels</w:t>
            </w:r>
          </w:p>
          <w:p w:rsidR="00000000" w:rsidRPr="00CE4272" w:rsidP="00CE4272">
            <w:pPr>
              <w:pStyle w:val="ListBullet"/>
            </w:pPr>
            <w:r w:rsidRPr="00CE4272">
              <w:t>octave bands</w:t>
            </w:r>
          </w:p>
          <w:p w:rsidR="00000000" w:rsidRPr="00CE4272" w:rsidP="00CE4272">
            <w:pPr>
              <w:pStyle w:val="ListBullet"/>
            </w:pPr>
            <w:r w:rsidRPr="00CE4272">
              <w:t>direct sound</w:t>
            </w:r>
          </w:p>
          <w:p w:rsidR="00000000" w:rsidRPr="00CE4272" w:rsidP="00CE4272">
            <w:pPr>
              <w:pStyle w:val="ListBullet"/>
            </w:pPr>
            <w:r w:rsidRPr="00CE4272">
              <w:t>velocity</w:t>
            </w:r>
          </w:p>
          <w:p w:rsidR="00000000" w:rsidRPr="00CE4272" w:rsidP="00CE4272">
            <w:pPr>
              <w:pStyle w:val="ListBullet"/>
            </w:pPr>
            <w:r w:rsidRPr="00CE4272">
              <w:t>sound pressure level</w:t>
            </w:r>
          </w:p>
          <w:p w:rsidR="00000000" w:rsidRPr="00CE4272" w:rsidP="00CE4272">
            <w:pPr>
              <w:pStyle w:val="ListBullet"/>
            </w:pPr>
            <w:r w:rsidRPr="00CE4272">
              <w:t>sound power level</w:t>
            </w:r>
          </w:p>
          <w:p w:rsidR="00000000" w:rsidRPr="00CE4272" w:rsidP="00CE4272">
            <w:pPr>
              <w:pStyle w:val="ListBullet"/>
            </w:pPr>
            <w:r w:rsidRPr="00CE4272">
              <w:t>sound meters</w:t>
            </w:r>
          </w:p>
          <w:p w:rsidR="00000000" w:rsidRPr="00CE4272" w:rsidP="00CE4272">
            <w:pPr>
              <w:pStyle w:val="BodyText"/>
            </w:pPr>
            <w:r w:rsidRPr="00CE4272">
              <w:t>T2        Noise and people</w:t>
            </w:r>
          </w:p>
          <w:p w:rsidR="00000000" w:rsidRPr="00CE4272" w:rsidP="00CE4272">
            <w:pPr>
              <w:pStyle w:val="ListBullet"/>
            </w:pPr>
            <w:r w:rsidRPr="00CE4272">
              <w:t>physical measurement of sound</w:t>
            </w:r>
          </w:p>
          <w:p w:rsidR="00000000" w:rsidRPr="00CE4272" w:rsidP="00CE4272">
            <w:pPr>
              <w:pStyle w:val="ListBullet"/>
            </w:pPr>
            <w:r w:rsidRPr="00CE4272">
              <w:t>weighting networks</w:t>
            </w:r>
          </w:p>
          <w:p w:rsidR="00000000" w:rsidRPr="00CE4272" w:rsidP="00CE4272">
            <w:pPr>
              <w:pStyle w:val="ListBullet"/>
            </w:pPr>
            <w:r w:rsidRPr="00CE4272">
              <w:t>NR curves</w:t>
            </w:r>
          </w:p>
          <w:p w:rsidR="00000000" w:rsidRPr="00CE4272" w:rsidP="00CE4272">
            <w:pPr>
              <w:pStyle w:val="ListBullet"/>
            </w:pPr>
            <w:r w:rsidRPr="00CE4272">
              <w:t>noise damage to hearing</w:t>
            </w:r>
          </w:p>
          <w:p w:rsidR="00000000" w:rsidRPr="00CE4272" w:rsidP="00CE4272">
            <w:pPr>
              <w:pStyle w:val="ListBullet"/>
            </w:pPr>
            <w:r w:rsidRPr="00CE4272">
              <w:t>evaluate daily noise exposures</w:t>
            </w:r>
          </w:p>
          <w:p w:rsidR="00000000" w:rsidRPr="00CE4272" w:rsidP="00CE4272">
            <w:pPr>
              <w:pStyle w:val="ListBullet"/>
            </w:pPr>
            <w:r w:rsidRPr="00CE4272">
              <w:t>peak noise levels</w:t>
            </w:r>
          </w:p>
          <w:p w:rsidR="00000000" w:rsidRPr="00CE4272" w:rsidP="00CE4272">
            <w:pPr>
              <w:pStyle w:val="ListBullet"/>
            </w:pPr>
            <w:r w:rsidRPr="00CE4272">
              <w:t>attenuation for hearing protectors</w:t>
            </w:r>
          </w:p>
          <w:p w:rsidR="00000000" w:rsidRPr="00CE4272" w:rsidP="00CE4272">
            <w:pPr>
              <w:pStyle w:val="ListBullet"/>
            </w:pPr>
            <w:r w:rsidRPr="00CE4272">
              <w:t>excess noise levels permissible</w:t>
            </w:r>
          </w:p>
          <w:p w:rsidR="00000000" w:rsidRPr="00CE4272" w:rsidP="00CE4272">
            <w:pPr>
              <w:pStyle w:val="ListBullet"/>
            </w:pPr>
            <w:r w:rsidRPr="00CE4272">
              <w:t>noise abatement acts</w:t>
            </w:r>
          </w:p>
          <w:p w:rsidR="00000000" w:rsidRPr="00CE4272" w:rsidP="00CE4272">
            <w:pPr>
              <w:pStyle w:val="ListBullet"/>
            </w:pPr>
            <w:r w:rsidRPr="00CE4272">
              <w:t>advanced noise and vibration control</w:t>
            </w:r>
          </w:p>
          <w:p w:rsidR="00000000" w:rsidRPr="00CE4272" w:rsidP="00CE4272">
            <w:pPr>
              <w:pStyle w:val="BodyText"/>
            </w:pPr>
            <w:r w:rsidRPr="00CE4272">
              <w:t>T3</w:t>
            </w:r>
            <w:r w:rsidRPr="00CE4272">
              <w:tab/>
              <w:t>Sound in confined and unconfined spaces</w:t>
            </w:r>
          </w:p>
          <w:p w:rsidR="00000000" w:rsidRPr="00CE4272" w:rsidP="00CE4272">
            <w:pPr>
              <w:pStyle w:val="ListBullet"/>
            </w:pPr>
            <w:r w:rsidRPr="00CE4272">
              <w:t>Inverse square laws</w:t>
            </w:r>
          </w:p>
          <w:p w:rsidR="00000000" w:rsidRPr="00CE4272" w:rsidP="00CE4272">
            <w:pPr>
              <w:pStyle w:val="ListBullet"/>
            </w:pPr>
            <w:r w:rsidRPr="00CE4272">
              <w:t>Direct and reflective sound</w:t>
            </w:r>
          </w:p>
          <w:p w:rsidR="00000000" w:rsidRPr="00CE4272" w:rsidP="00CE4272">
            <w:pPr>
              <w:pStyle w:val="ListBullet"/>
            </w:pPr>
            <w:r w:rsidRPr="00CE4272">
              <w:t>Define reverberation time</w:t>
            </w:r>
          </w:p>
          <w:p w:rsidR="00000000" w:rsidRPr="00CE4272" w:rsidP="00CE4272">
            <w:pPr>
              <w:pStyle w:val="ListBullet"/>
            </w:pPr>
            <w:r w:rsidRPr="00CE4272">
              <w:t>Sabine's formula</w:t>
            </w:r>
          </w:p>
          <w:p w:rsidR="00000000" w:rsidRPr="00CE4272" w:rsidP="00CE4272">
            <w:pPr>
              <w:pStyle w:val="ListBullet"/>
            </w:pPr>
            <w:r w:rsidRPr="00CE4272">
              <w:t>Absorption coefficients of surfaces</w:t>
            </w:r>
          </w:p>
          <w:p w:rsidR="00000000" w:rsidRPr="00CE4272" w:rsidP="00CE4272">
            <w:pPr>
              <w:pStyle w:val="ListBullet"/>
            </w:pPr>
            <w:r w:rsidRPr="00CE4272">
              <w:t>Types of absorbers and their operation</w:t>
            </w:r>
          </w:p>
          <w:p w:rsidR="00000000" w:rsidRPr="00CE4272" w:rsidP="00CE4272">
            <w:pPr>
              <w:pStyle w:val="ListBullet"/>
            </w:pPr>
            <w:r w:rsidRPr="00CE4272">
              <w:t>Insulation performances of partitions</w:t>
            </w:r>
          </w:p>
          <w:p w:rsidR="00000000" w:rsidRPr="00CE4272" w:rsidP="00CE4272">
            <w:pPr>
              <w:pStyle w:val="BodyText"/>
            </w:pPr>
            <w:r w:rsidRPr="00CE4272">
              <w:t>T4</w:t>
            </w:r>
            <w:r w:rsidRPr="00CE4272">
              <w:tab/>
            </w:r>
            <w:r w:rsidRPr="00CE4272">
              <w:t>Identify and analyse problems</w:t>
            </w:r>
          </w:p>
          <w:p w:rsidR="00000000" w:rsidRPr="00CE4272" w:rsidP="00CE4272">
            <w:pPr>
              <w:pStyle w:val="ListBullet"/>
            </w:pPr>
            <w:r w:rsidRPr="00CE4272">
              <w:t>one-dimensional sound waves</w:t>
            </w:r>
          </w:p>
          <w:p w:rsidR="00000000" w:rsidRPr="00CE4272" w:rsidP="00CE4272">
            <w:pPr>
              <w:pStyle w:val="ListBullet"/>
            </w:pPr>
            <w:r w:rsidRPr="00CE4272">
              <w:t>standing waves</w:t>
            </w:r>
          </w:p>
          <w:p w:rsidR="00000000" w:rsidRPr="00CE4272" w:rsidP="00CE4272">
            <w:pPr>
              <w:pStyle w:val="ListBullet"/>
            </w:pPr>
            <w:r w:rsidRPr="00CE4272">
              <w:t>energy in a sound wave</w:t>
            </w:r>
          </w:p>
          <w:p w:rsidR="00000000" w:rsidRPr="00CE4272" w:rsidP="00CE4272">
            <w:pPr>
              <w:pStyle w:val="ListBullet"/>
            </w:pPr>
            <w:r w:rsidRPr="00CE4272">
              <w:t>sources</w:t>
            </w:r>
          </w:p>
          <w:p w:rsidR="00000000" w:rsidRPr="00CE4272" w:rsidP="00CE4272">
            <w:pPr>
              <w:pStyle w:val="ListBullet"/>
            </w:pPr>
            <w:r w:rsidRPr="00CE4272">
              <w:t>effects of air turbulence</w:t>
            </w:r>
          </w:p>
          <w:p w:rsidR="00000000" w:rsidRPr="00CE4272" w:rsidP="00CE4272">
            <w:pPr>
              <w:pStyle w:val="ListBullet"/>
            </w:pPr>
            <w:r w:rsidRPr="00CE4272">
              <w:t>transmitters</w:t>
            </w:r>
          </w:p>
          <w:p w:rsidR="00000000" w:rsidRPr="00CE4272" w:rsidP="00CE4272">
            <w:pPr>
              <w:pStyle w:val="ListBullet"/>
            </w:pPr>
            <w:r w:rsidRPr="00CE4272">
              <w:t>amplifiers</w:t>
            </w:r>
          </w:p>
          <w:p w:rsidR="00000000" w:rsidRPr="00CE4272" w:rsidP="00CE4272">
            <w:pPr>
              <w:pStyle w:val="ListBullet"/>
            </w:pPr>
            <w:r w:rsidRPr="00CE4272">
              <w:t>absorptivity</w:t>
            </w:r>
          </w:p>
          <w:p w:rsidR="00000000" w:rsidRPr="00CE4272" w:rsidP="00CE4272">
            <w:pPr>
              <w:pStyle w:val="ListBullet"/>
            </w:pPr>
            <w:r w:rsidRPr="00CE4272">
              <w:t>reflectivity</w:t>
            </w:r>
          </w:p>
          <w:p w:rsidR="00000000" w:rsidRPr="00CE4272" w:rsidP="00CE4272">
            <w:pPr>
              <w:pStyle w:val="ListBullet"/>
            </w:pPr>
            <w:r w:rsidRPr="00CE4272">
              <w:t>room characteristics</w:t>
            </w:r>
          </w:p>
          <w:p w:rsidR="00000000" w:rsidRPr="00CE4272" w:rsidP="00CE4272">
            <w:pPr>
              <w:pStyle w:val="ListBullet"/>
            </w:pPr>
            <w:r w:rsidRPr="00CE4272">
              <w:t>acoustic design in buildings</w:t>
            </w:r>
          </w:p>
          <w:p w:rsidR="00000000" w:rsidRPr="00CE4272" w:rsidP="00CE4272">
            <w:pPr>
              <w:pStyle w:val="ListBullet"/>
            </w:pPr>
            <w:r w:rsidRPr="00CE4272">
              <w:t>fan and air noise transmi</w:t>
            </w:r>
            <w:r w:rsidRPr="00CE4272">
              <w:t>ssion in ducts</w:t>
            </w:r>
          </w:p>
          <w:p w:rsidR="00000000" w:rsidRPr="00CE4272" w:rsidP="00CE4272">
            <w:pPr>
              <w:pStyle w:val="BodyText"/>
            </w:pPr>
            <w:r w:rsidRPr="00CE4272">
              <w:t>T5       Methods of control</w:t>
            </w:r>
          </w:p>
          <w:p w:rsidR="00000000" w:rsidRPr="00CE4272" w:rsidP="00CE4272">
            <w:pPr>
              <w:pStyle w:val="ListBullet"/>
            </w:pPr>
            <w:r w:rsidRPr="00CE4272">
              <w:t>natural attenuation</w:t>
            </w:r>
          </w:p>
          <w:p w:rsidR="00000000" w:rsidRPr="00CE4272" w:rsidP="00CE4272">
            <w:pPr>
              <w:pStyle w:val="ListBullet"/>
            </w:pPr>
            <w:r w:rsidRPr="00CE4272">
              <w:t>sound absorbing materials, placement</w:t>
            </w:r>
          </w:p>
          <w:p w:rsidR="00000000" w:rsidRPr="00CE4272" w:rsidP="00CE4272">
            <w:pPr>
              <w:pStyle w:val="ListBullet"/>
            </w:pPr>
            <w:r w:rsidRPr="00CE4272">
              <w:t>duct lining</w:t>
            </w:r>
          </w:p>
          <w:p w:rsidR="00000000" w:rsidRPr="00CE4272" w:rsidP="00CE4272">
            <w:pPr>
              <w:pStyle w:val="ListBullet"/>
            </w:pPr>
            <w:r w:rsidRPr="00CE4272">
              <w:t>lined plenums</w:t>
            </w:r>
          </w:p>
          <w:p w:rsidR="00000000" w:rsidRPr="00CE4272" w:rsidP="00CE4272">
            <w:pPr>
              <w:pStyle w:val="ListBullet"/>
            </w:pPr>
            <w:r w:rsidRPr="00CE4272">
              <w:t>lined duct splitters</w:t>
            </w:r>
          </w:p>
          <w:p w:rsidR="00000000" w:rsidRPr="00CE4272" w:rsidP="00CE4272">
            <w:pPr>
              <w:pStyle w:val="ListBullet"/>
            </w:pPr>
            <w:r w:rsidRPr="00CE4272">
              <w:t>duct attenuators</w:t>
            </w:r>
          </w:p>
          <w:p w:rsidR="00000000" w:rsidRPr="00CE4272" w:rsidP="00CE4272">
            <w:pPr>
              <w:pStyle w:val="ListBullet"/>
            </w:pPr>
            <w:r w:rsidRPr="00CE4272">
              <w:t>white noise</w:t>
            </w:r>
          </w:p>
          <w:p w:rsidR="00000000" w:rsidRPr="00CE4272" w:rsidP="00CE4272">
            <w:pPr>
              <w:pStyle w:val="ListBullet"/>
            </w:pPr>
            <w:r w:rsidRPr="00CE4272">
              <w:t>vibration isolators</w:t>
            </w:r>
          </w:p>
          <w:p w:rsidR="00000000" w:rsidRPr="00CE4272" w:rsidP="00CE4272">
            <w:pPr>
              <w:pStyle w:val="BodyText"/>
            </w:pPr>
            <w:r w:rsidRPr="00CE4272">
              <w:t>T6       Acoustic specifications</w:t>
            </w:r>
          </w:p>
          <w:p w:rsidR="00000000" w:rsidRPr="00CE4272" w:rsidP="00CE4272">
            <w:pPr>
              <w:pStyle w:val="ListBullet"/>
            </w:pPr>
            <w:r w:rsidRPr="00CE4272">
              <w:t>attenuator ratings</w:t>
            </w:r>
          </w:p>
          <w:p w:rsidR="00000000" w:rsidRPr="00CE4272" w:rsidP="00CE4272">
            <w:pPr>
              <w:pStyle w:val="BodyText"/>
            </w:pPr>
            <w:r w:rsidRPr="00CE4272">
              <w:t>T7       Sound insulation</w:t>
            </w:r>
          </w:p>
          <w:p w:rsidR="00000000" w:rsidRPr="00CE4272" w:rsidP="00CE4272">
            <w:pPr>
              <w:pStyle w:val="ListBullet"/>
            </w:pPr>
            <w:r w:rsidRPr="00CE4272">
              <w:t>Plant room breakout</w:t>
            </w:r>
          </w:p>
          <w:p w:rsidR="00000000" w:rsidRPr="00CE4272" w:rsidP="00CE4272">
            <w:pPr>
              <w:pStyle w:val="ListBullet"/>
            </w:pPr>
            <w:r w:rsidRPr="00CE4272">
              <w:t>Controlling plant room noise</w:t>
            </w:r>
          </w:p>
          <w:p w:rsidR="00000000" w:rsidRPr="00CE4272" w:rsidP="00CE4272">
            <w:pPr>
              <w:pStyle w:val="BodyText"/>
            </w:pPr>
            <w:r w:rsidRPr="00CE4272">
              <w:t>T8       Duct borne noise</w:t>
            </w:r>
          </w:p>
          <w:p w:rsidR="00000000" w:rsidRPr="00CE4272" w:rsidP="00CE4272">
            <w:pPr>
              <w:pStyle w:val="ListBullet"/>
            </w:pPr>
            <w:r w:rsidRPr="00CE4272">
              <w:t>Sound power spectra for fans</w:t>
            </w:r>
          </w:p>
          <w:p w:rsidR="00000000" w:rsidRPr="00CE4272" w:rsidP="00CE4272">
            <w:pPr>
              <w:pStyle w:val="ListBullet"/>
            </w:pPr>
            <w:r w:rsidRPr="00CE4272">
              <w:t>Noise attenuation in ducts and fittings</w:t>
            </w:r>
          </w:p>
          <w:p w:rsidR="00000000" w:rsidRPr="00CE4272" w:rsidP="00CE4272">
            <w:pPr>
              <w:pStyle w:val="ListBullet"/>
            </w:pPr>
            <w:r w:rsidRPr="00CE4272">
              <w:t>Reducing fan noise transmission</w:t>
            </w:r>
          </w:p>
          <w:p w:rsidR="00000000" w:rsidRPr="00CE4272" w:rsidP="00CE4272">
            <w:pPr>
              <w:pStyle w:val="ListBullet"/>
            </w:pPr>
            <w:r w:rsidRPr="00CE4272">
              <w:t>Regeneration noise</w:t>
            </w:r>
          </w:p>
          <w:p w:rsidR="00000000" w:rsidRPr="00CE4272" w:rsidP="00CE4272">
            <w:pPr>
              <w:pStyle w:val="ListBullet"/>
            </w:pPr>
            <w:r w:rsidRPr="00CE4272">
              <w:t>Sources of regenerated noise</w:t>
            </w:r>
          </w:p>
          <w:p w:rsidR="00000000" w:rsidRPr="00CE4272" w:rsidP="00CE4272">
            <w:pPr>
              <w:pStyle w:val="ListBullet"/>
            </w:pPr>
            <w:r w:rsidRPr="00CE4272">
              <w:t xml:space="preserve">Use </w:t>
            </w:r>
            <w:r w:rsidRPr="00CE4272">
              <w:t>tables to estimate regenerative noises</w:t>
            </w:r>
          </w:p>
          <w:p w:rsidR="00000000" w:rsidRPr="00CE4272" w:rsidP="00CE4272">
            <w:pPr>
              <w:pStyle w:val="ListBullet"/>
            </w:pPr>
            <w:r w:rsidRPr="00CE4272">
              <w:t>Breakout situations</w:t>
            </w:r>
          </w:p>
          <w:p w:rsidR="00000000" w:rsidRPr="00CE4272" w:rsidP="00CE4272">
            <w:pPr>
              <w:pStyle w:val="ListBullet"/>
            </w:pPr>
            <w:r w:rsidRPr="00CE4272">
              <w:t>Fan noise breakout</w:t>
            </w:r>
          </w:p>
          <w:p w:rsidR="00000000" w:rsidRPr="00CE4272" w:rsidP="00CE4272">
            <w:pPr>
              <w:pStyle w:val="ListBullet"/>
            </w:pPr>
            <w:r w:rsidRPr="00CE4272">
              <w:t>List methods of controlling breakout</w:t>
            </w:r>
          </w:p>
          <w:p w:rsidR="00000000" w:rsidRPr="00CE4272" w:rsidP="00CE4272">
            <w:pPr>
              <w:pStyle w:val="BodyText"/>
            </w:pPr>
            <w:r w:rsidRPr="00CE4272">
              <w:t>T9        Controlling the cost</w:t>
            </w:r>
          </w:p>
          <w:p w:rsidR="00000000" w:rsidRPr="00CE4272" w:rsidP="00CE4272">
            <w:pPr>
              <w:pStyle w:val="ListBullet"/>
            </w:pPr>
            <w:r w:rsidRPr="00CE4272">
              <w:t>Economical use of attenuation</w:t>
            </w:r>
          </w:p>
          <w:p w:rsidR="00000000" w:rsidRPr="00CE4272" w:rsidP="00CE4272">
            <w:pPr>
              <w:pStyle w:val="BodyText"/>
            </w:pPr>
            <w:r w:rsidRPr="00CE4272">
              <w:t>T10      Vibration</w:t>
            </w:r>
          </w:p>
          <w:p w:rsidR="00000000" w:rsidRPr="00CE4272" w:rsidP="00CE4272">
            <w:pPr>
              <w:pStyle w:val="ListBullet"/>
            </w:pPr>
            <w:r w:rsidRPr="00CE4272">
              <w:t>SHM (Simple Harmonic Motion)</w:t>
            </w:r>
          </w:p>
          <w:p w:rsidR="00000000" w:rsidRPr="00CE4272" w:rsidP="00CE4272">
            <w:pPr>
              <w:pStyle w:val="ListBullet"/>
            </w:pPr>
            <w:r w:rsidRPr="00CE4272">
              <w:t>Period</w:t>
            </w:r>
          </w:p>
          <w:p w:rsidR="00000000" w:rsidRPr="00CE4272" w:rsidP="00CE4272">
            <w:pPr>
              <w:pStyle w:val="ListBullet"/>
            </w:pPr>
            <w:r w:rsidRPr="00CE4272">
              <w:t>Frequency</w:t>
            </w:r>
          </w:p>
          <w:p w:rsidR="00000000" w:rsidRPr="00CE4272" w:rsidP="00CE4272">
            <w:pPr>
              <w:pStyle w:val="ListBullet"/>
            </w:pPr>
            <w:r w:rsidRPr="00CE4272">
              <w:t>Amplitude</w:t>
            </w:r>
          </w:p>
          <w:p w:rsidR="00000000" w:rsidRPr="00CE4272" w:rsidP="00CE4272">
            <w:pPr>
              <w:pStyle w:val="ListBullet"/>
            </w:pPr>
            <w:r w:rsidRPr="00CE4272">
              <w:t>Estimate frequencies for fans, pumps and refrigeration plant</w:t>
            </w:r>
          </w:p>
          <w:p w:rsidR="00000000" w:rsidRPr="00CE4272" w:rsidP="00CE4272">
            <w:pPr>
              <w:pStyle w:val="ListBullet"/>
            </w:pPr>
            <w:r w:rsidRPr="00CE4272">
              <w:t>Estimate transmission of vibration</w:t>
            </w:r>
          </w:p>
          <w:p w:rsidR="00000000" w:rsidRPr="00CE4272" w:rsidP="00CE4272">
            <w:pPr>
              <w:pStyle w:val="ListBullet"/>
            </w:pPr>
            <w:r w:rsidRPr="00CE4272">
              <w:t>Vibration control for building structures</w:t>
            </w:r>
          </w:p>
          <w:p w:rsidR="00000000" w:rsidRPr="00CE4272" w:rsidP="00CE4272">
            <w:pPr>
              <w:pStyle w:val="ListBullet"/>
            </w:pPr>
            <w:r w:rsidRPr="00CE4272">
              <w:t>Use transmissibility graphs to select springs, vibration eliminators and pads</w:t>
            </w:r>
          </w:p>
          <w:p w:rsidR="00000000" w:rsidRPr="00CE4272" w:rsidP="00CE4272">
            <w:pPr>
              <w:pStyle w:val="ListBullet"/>
            </w:pPr>
            <w:r w:rsidRPr="00CE4272">
              <w:t>Types of isolation materials and mountin</w:t>
            </w:r>
            <w:r w:rsidRPr="00CE4272">
              <w:t>g devices</w:t>
            </w:r>
          </w:p>
          <w:p w:rsidR="00000000" w:rsidRPr="00CE4272" w:rsidP="00CE4272">
            <w:pPr>
              <w:pStyle w:val="ListBullet"/>
            </w:pPr>
            <w:r w:rsidRPr="00CE4272">
              <w:t>Select isolation and mounting devices</w:t>
            </w:r>
          </w:p>
          <w:p w:rsidR="00000000" w:rsidRPr="00CE4272" w:rsidP="00CE4272">
            <w:pPr>
              <w:pStyle w:val="ListBullet"/>
            </w:pPr>
            <w:r w:rsidRPr="00CE4272">
              <w:t>Inertia blocks</w:t>
            </w:r>
          </w:p>
          <w:p w:rsidR="00000000" w:rsidRPr="00CE4272" w:rsidP="00CE4272">
            <w:pPr>
              <w:pStyle w:val="BodyText"/>
            </w:pPr>
            <w:r w:rsidRPr="00CE4272">
              <w:t>T11       Relevant standards, regulation and codes</w:t>
            </w:r>
          </w:p>
          <w:p w:rsidR="00000000" w:rsidRPr="00CE4272" w:rsidP="00CE4272">
            <w:pPr>
              <w:pStyle w:val="BodyText"/>
            </w:pPr>
            <w:r w:rsidRPr="00CE4272">
              <w:t>T12       Noise and vibration analysis computer software packages</w:t>
            </w:r>
          </w:p>
        </w:tc>
      </w:tr>
    </w:tbl>
    <w:p w:rsidR="006C5D38" w:rsidP="00CE4272">
      <w:pPr>
        <w:pStyle w:val="BodyText"/>
      </w:pPr>
    </w:p>
    <w:p w:rsidR="006C5D38" w:rsidP="00CE4272">
      <w:pPr>
        <w:pStyle w:val="BodyText"/>
      </w:pPr>
    </w:p>
    <w:p w:rsidR="00000000" w:rsidRPr="00CE4272" w:rsidP="00CE4272">
      <w:pPr>
        <w:pStyle w:val="Heading1"/>
      </w:pPr>
      <w:bookmarkStart w:id="10" w:name="O_589908"/>
      <w:bookmarkEnd w:id="10"/>
      <w:r w:rsidRPr="00CE4272">
        <w:t>Evidence Guide</w:t>
      </w:r>
    </w:p>
    <w:tbl>
      <w:tblPr>
        <w:tblW w:w="0" w:type="auto"/>
        <w:tblLayout w:type="fixed"/>
        <w:tblCellMar>
          <w:left w:w="62" w:type="dxa"/>
          <w:right w:w="62" w:type="dxa"/>
        </w:tblCellMar>
        <w:tblLook w:val="0000"/>
      </w:tblPr>
      <w:tblGrid>
        <w:gridCol w:w="2160"/>
        <w:gridCol w:w="288"/>
        <w:gridCol w:w="540"/>
        <w:gridCol w:w="5520"/>
      </w:tblGrid>
      <w:tr w:rsidTr="006C5D38">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EVIDENCE GUIDE</w:t>
            </w:r>
          </w:p>
        </w:tc>
      </w:tr>
      <w:tr w:rsidTr="006C5D3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9</w:t>
            </w:r>
            <w:r w:rsidRPr="00CE4272">
              <w:t>) The evidence guide provides advice on assessment and must be read in conjunction with the Performance Criteria, Required Skills and Knowledge, the Range Statement and the Assessment Guidelines for this Training Package. .</w:t>
            </w:r>
          </w:p>
          <w:p w:rsidR="00000000" w:rsidP="00CE4272">
            <w:pPr>
              <w:pStyle w:val="BodyText"/>
              <w:rPr>
                <w:lang w:val="en-NZ"/>
              </w:rPr>
            </w:pPr>
            <w:r w:rsidRPr="00CE4272">
              <w:t>The Evidence Guide forms an inte</w:t>
            </w:r>
            <w:r w:rsidRPr="00CE4272">
              <w:t>gral part of this Unit. It must be used in conjunction with all parts of this unit and performed in accordance with the Assessment Guidelines of this Training Package.</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9</w:t>
            </w:r>
            <w:r w:rsidRPr="00CE4272">
              <w:t>.</w:t>
            </w:r>
            <w:r w:rsidRPr="00CE4272">
              <w:rPr>
                <w:rStyle w:val="SpecialBold"/>
              </w:rPr>
              <w:t>1</w:t>
            </w:r>
            <w:r w:rsidRPr="00CE4272">
              <w:t xml:space="preserve">) </w:t>
            </w:r>
          </w:p>
          <w:p w:rsidR="00000000" w:rsidRPr="00CE4272" w:rsidP="00CE4272">
            <w:pPr>
              <w:pStyle w:val="BodyText"/>
            </w:pPr>
            <w:r w:rsidRPr="00CE4272">
              <w:t>Longitudinal competency development approaches to assessment, such as Profiling, require data to be reliably gathered in a form that can be consistently interpreted over time. This approach is best utilised in Apprenticeship programs and reduces assessment</w:t>
            </w:r>
            <w:r w:rsidRPr="00CE427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E4272">
              <w:t>ncy in a realistically simulated work environment. In some circumstances, assessment in part or full can occur outside the workplace. However, it must be in accordance with industry and regulatory policy.</w:t>
            </w:r>
          </w:p>
          <w:p w:rsidR="00000000" w:rsidRPr="00CE4272" w:rsidP="00CE4272">
            <w:pPr>
              <w:pStyle w:val="BodyText"/>
            </w:pPr>
            <w:r w:rsidRPr="00CE4272">
              <w:t xml:space="preserve">Methods chosen for a particular assessment will be </w:t>
            </w:r>
            <w:r w:rsidRPr="00CE4272">
              <w:t>influenced by various factors. These include the extent of the assessment, the most effective locations for the assessment activities to take place, access to physical resources, additional safety measures that may be required and the critical nature of th</w:t>
            </w:r>
            <w:r w:rsidRPr="00CE4272">
              <w:t>e competencies being assessed.</w:t>
            </w:r>
          </w:p>
          <w:p w:rsidR="00000000" w:rsidRPr="00CE4272" w:rsidP="00CE4272">
            <w:pPr>
              <w:pStyle w:val="BodyText"/>
            </w:pPr>
            <w:r w:rsidRPr="00CE4272">
              <w:t>The critical safety nature of working with electricity, electrical equipment, gas or any other hazardous substance/material carries risk in deeming a person competent. Sources of evidence need to be 'rich' in nature to minimi</w:t>
            </w:r>
            <w:r w:rsidRPr="00CE4272">
              <w:t>se error in judgment.</w:t>
            </w:r>
          </w:p>
          <w:p w:rsidR="00000000" w:rsidP="00CE4272">
            <w:pPr>
              <w:pStyle w:val="BodyText"/>
              <w:rPr>
                <w:lang w:val="en-NZ"/>
              </w:rPr>
            </w:pPr>
            <w:r w:rsidRPr="00CE4272">
              <w:t>Activities associated with normal everyday work influence decisions about how/how much the data gathered will contribute to its 'richness'. Some skills are more critical to safety and operational requirements while the same skills may</w:t>
            </w:r>
            <w:r w:rsidRPr="00CE4272">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CE4272">
              <w:t>this Training Package.</w:t>
            </w:r>
          </w:p>
        </w:tc>
      </w:tr>
      <w:tr w:rsidTr="006C5D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 xml:space="preserve">Critical aspects of evidence required to demonstrate </w:t>
            </w:r>
            <w:r w:rsidRPr="00CE4272">
              <w:rPr>
                <w:rStyle w:val="SpecialBold"/>
              </w:rPr>
              <w:t>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9</w:t>
            </w:r>
            <w:r w:rsidRPr="00CE4272">
              <w:t>.</w:t>
            </w:r>
            <w:r w:rsidRPr="00CE4272">
              <w:rPr>
                <w:rStyle w:val="SpecialBold"/>
              </w:rPr>
              <w:t>2</w:t>
            </w:r>
            <w:r w:rsidRPr="00CE4272">
              <w:t xml:space="preserve">) </w:t>
            </w:r>
          </w:p>
          <w:p w:rsidR="00000000" w:rsidP="00CE4272">
            <w:pPr>
              <w:pStyle w:val="BodyText"/>
              <w:rPr>
                <w:lang w:val="en-NZ"/>
              </w:rPr>
            </w:pPr>
            <w:r w:rsidRPr="00CE4272">
              <w:t>Before the critical aspects of evidence are considered all prerequisites must be met.</w:t>
            </w:r>
          </w:p>
        </w:tc>
      </w:tr>
      <w:tr w:rsidTr="006C5D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Evidence for competence in this unit shall be c</w:t>
            </w:r>
            <w:r w:rsidRPr="00CE4272">
              <w:t>onsidered holistically.  Each Element and associated performance criteria shall be demonstrated on at least two occasions in accordance with the 'Assessment Guidelines - UEE07'.  Evidence shall also comprise:</w:t>
            </w:r>
          </w:p>
          <w:p w:rsidR="00000000" w:rsidP="00CE4272">
            <w:pPr>
              <w:pStyle w:val="ListBullet"/>
              <w:rPr>
                <w:lang w:val="en-NZ"/>
              </w:rPr>
            </w:pPr>
            <w:r w:rsidRPr="00CE4272">
              <w:t>A representative body of work performance demo</w:t>
            </w:r>
            <w:r w:rsidRPr="00CE4272">
              <w:t>nstrated within the timeframes typically expected of the discipline, work function and industrial environment. In particular this shall incorporate evidence that shows a candidate is able to:</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ListBullet2"/>
            </w:pPr>
            <w:r w:rsidRPr="00CE4272">
              <w:t>Implement Occupational Health and Safety workplace procedures and practices including the use of risk control measures as specified in the performance criteria and range statement</w:t>
            </w:r>
          </w:p>
          <w:p w:rsidR="00000000" w:rsidRPr="00CE4272" w:rsidP="00CE4272">
            <w:pPr>
              <w:pStyle w:val="ListBullet2"/>
            </w:pPr>
            <w:r w:rsidRPr="00CE4272">
              <w:t>Apply sustainable energy principles and practices as specified in the perfor</w:t>
            </w:r>
            <w:r w:rsidRPr="00CE4272">
              <w:t>mance criteria and range statement</w:t>
            </w:r>
          </w:p>
          <w:p w:rsidR="00000000" w:rsidRPr="00CE4272" w:rsidP="00CE4272">
            <w:pPr>
              <w:pStyle w:val="ListBullet2"/>
            </w:pPr>
            <w:r w:rsidRPr="00CE4272">
              <w:t>Demonstrate an understanding of the essential knowledge and associated skills as described in this unit.  It may be required by some jurisdictions that RTOs provide a percentile graded result for the purpose of regulatory</w:t>
            </w:r>
            <w:r w:rsidRPr="00CE4272">
              <w:t xml:space="preserve"> or licensing requirements.</w:t>
            </w:r>
          </w:p>
          <w:p w:rsidR="00000000" w:rsidRPr="00CE4272" w:rsidP="00CE4272">
            <w:pPr>
              <w:pStyle w:val="ListBullet2"/>
            </w:pPr>
            <w:r w:rsidRPr="00CE4272">
              <w:t>Demonstrate an appropriate level of skills enabling employment</w:t>
            </w:r>
          </w:p>
          <w:p w:rsidR="00000000" w:rsidP="00CE4272">
            <w:pPr>
              <w:pStyle w:val="ListBullet2"/>
              <w:rPr>
                <w:lang w:val="en-NZ"/>
              </w:rPr>
            </w:pPr>
            <w:r w:rsidRPr="00CE4272">
              <w:t>Conduct work observing the relevant Anti Discrimination legislation, regulations, polices and workplace procedures</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E4272">
            <w:pPr>
              <w:pStyle w:val="ListBullet"/>
              <w:rPr>
                <w:lang w:val="en-NZ"/>
              </w:rPr>
            </w:pPr>
            <w:r w:rsidRPr="00CE4272">
              <w:t xml:space="preserve">Demonstrated consistent performance across a </w:t>
            </w:r>
            <w:r w:rsidRPr="00CE4272">
              <w:t>representative range of contexts from the prescribed items below:</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E4272">
            <w:pPr>
              <w:pStyle w:val="ListBullet2"/>
              <w:rPr>
                <w:lang w:val="en-NZ"/>
              </w:rPr>
            </w:pPr>
            <w:r w:rsidRPr="00CE4272">
              <w:t>Analyse noise and vibration in refrigeration and air conditioning systems as described in 8) and including:</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A</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Understanding the noise and vibration issues</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B</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Forming effective strategies for analysing refrigeration and air conditioning systems performance</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C</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Obtaining noise and vibration parameters, specifications and performance requirements appropriate to each situation.</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D</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Evaluating the results of the a</w:t>
            </w:r>
            <w:r w:rsidRPr="00CE4272">
              <w:t xml:space="preserve">nalysis </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E</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Documenting analysis details of all findings, calculations and assumptions.</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F</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Documenting justification of actions to be implemented in accordance with professional standards</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G</w:t>
            </w:r>
          </w:p>
        </w:tc>
        <w:tc>
          <w:tcPr>
            <w:tcW w:w="552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Dealing with unplanned events by drawing on essential knowledge and skills to provide appropriate solutions incorporated in the holistic assessment with the above listed items</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 xml:space="preserve">Note: </w:t>
            </w:r>
            <w:r w:rsidRPr="00CE4272">
              <w:br/>
              <w:t>Successful completion of relevant vendor training may be used to contri</w:t>
            </w:r>
            <w:r w:rsidRPr="00CE4272">
              <w:t>bute to evidence on which competency is deemed. In these cases the alignment of outcomes of vendor training with performance criteria and critical aspects of evidence shall be clearly identified.</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9</w:t>
            </w:r>
            <w:r w:rsidRPr="00CE4272">
              <w:t>.</w:t>
            </w:r>
            <w:r w:rsidRPr="00CE4272">
              <w:rPr>
                <w:rStyle w:val="SpecialBold"/>
              </w:rPr>
              <w:t>3</w:t>
            </w:r>
            <w:r w:rsidRPr="00CE4272">
              <w:t xml:space="preserve">) </w:t>
            </w:r>
          </w:p>
          <w:p w:rsidR="00000000" w:rsidRPr="00CE4272" w:rsidP="00CE4272">
            <w:pPr>
              <w:pStyle w:val="BodyText"/>
            </w:pPr>
            <w:r w:rsidRPr="00CE4272">
              <w:t>Th</w:t>
            </w:r>
            <w:r w:rsidRPr="00CE4272">
              <w:t>is unit should be assessed as it relates to normal work practice using procedures, information and resources typical of a workplace. This should include:</w:t>
            </w:r>
          </w:p>
          <w:p w:rsidR="00000000" w:rsidRPr="00CE4272" w:rsidP="00CE4272">
            <w:pPr>
              <w:pStyle w:val="ListBullet"/>
            </w:pPr>
            <w:r w:rsidRPr="00CE4272">
              <w:t>OHS policy and work procedures and instructions.</w:t>
            </w:r>
          </w:p>
          <w:p w:rsidR="00000000" w:rsidRPr="00CE4272" w:rsidP="00CE4272">
            <w:pPr>
              <w:pStyle w:val="ListBullet"/>
            </w:pPr>
            <w:r w:rsidRPr="00CE4272">
              <w:t>Suitable work environment, facilities, equipment and materials to undertake actual work as prescribed by this unit.</w:t>
            </w:r>
          </w:p>
          <w:p w:rsidR="00000000" w:rsidRPr="00CE4272" w:rsidP="00CE4272">
            <w:pPr>
              <w:pStyle w:val="BodyText"/>
            </w:pPr>
            <w:r w:rsidRPr="00CE4272">
              <w:t>These should be part of the formal learning/assessment environment.</w:t>
            </w:r>
          </w:p>
          <w:p w:rsidR="00000000" w:rsidRPr="00CE4272" w:rsidP="00CE4272">
            <w:pPr>
              <w:pStyle w:val="BodyText"/>
            </w:pPr>
            <w:r w:rsidRPr="00CE4272">
              <w:t>Note:</w:t>
            </w:r>
          </w:p>
          <w:p w:rsidR="00000000" w:rsidP="00CE4272">
            <w:pPr>
              <w:pStyle w:val="BodyText"/>
              <w:rPr>
                <w:lang w:val="en-NZ"/>
              </w:rPr>
            </w:pPr>
            <w:r w:rsidRPr="00CE4272">
              <w:t>Where simulation is considered a suitable strategy for assessment,</w:t>
            </w:r>
            <w:r w:rsidRPr="00CE4272">
              <w:t xml:space="preserve"> conditions must be authentic and as far as possible reproduce and replicate the workplace and be consistent with the approved industry simulation policy.</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Evidence should show demonstrated competency in analysing noise and vibration in refrigeration an</w:t>
            </w:r>
            <w:r w:rsidRPr="00CE4272">
              <w:t>d air conditioning systems.</w:t>
            </w:r>
          </w:p>
        </w:tc>
      </w:tr>
      <w:tr w:rsidTr="006C5D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9</w:t>
            </w:r>
            <w:r w:rsidRPr="00CE4272">
              <w:t>.</w:t>
            </w:r>
            <w:r w:rsidRPr="00CE4272">
              <w:rPr>
                <w:rStyle w:val="SpecialBold"/>
              </w:rPr>
              <w:t>4</w:t>
            </w:r>
            <w:r w:rsidRPr="00CE4272">
              <w:t xml:space="preserve">) </w:t>
            </w:r>
          </w:p>
          <w:p w:rsidR="00000000" w:rsidRPr="00CE4272" w:rsidP="00CE4272">
            <w:pPr>
              <w:pStyle w:val="BodyText"/>
            </w:pPr>
            <w:r w:rsidRPr="00CE4272">
              <w:t>This unit shall be assessed by methods given in Volume 1, Part 3 'Assessment Guidelines'.</w:t>
            </w:r>
          </w:p>
          <w:p w:rsidR="00000000" w:rsidP="00CE4272">
            <w:pPr>
              <w:pStyle w:val="BodyText"/>
              <w:rPr>
                <w:lang w:val="en-NZ"/>
              </w:rPr>
            </w:pPr>
            <w:r w:rsidRPr="00CE4272">
              <w:t xml:space="preserve">Note: </w:t>
            </w:r>
            <w:r w:rsidRPr="00CE4272">
              <w:br/>
            </w:r>
            <w:r w:rsidRPr="00CE4272">
              <w:t>Competent performance with inherent safe working practices is expected in the Industry to which this unit applies. This requires assessment in a structured environment which is intended primarily for learning/assessment and incorporates all necessary equip</w:t>
            </w:r>
            <w:r w:rsidRPr="00CE4272">
              <w:t>ment and facilities for learners to develop and demonstrate the essential knowledge and skills described in this unit.</w:t>
            </w:r>
          </w:p>
        </w:tc>
      </w:tr>
      <w:tr w:rsidTr="006C5D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9</w:t>
            </w:r>
            <w:r w:rsidRPr="00CE4272">
              <w:t>.</w:t>
            </w:r>
            <w:r w:rsidRPr="00CE4272">
              <w:rPr>
                <w:rStyle w:val="SpecialBold"/>
              </w:rPr>
              <w:t>5</w:t>
            </w:r>
            <w:r w:rsidRPr="00CE4272">
              <w:t>)</w:t>
            </w:r>
          </w:p>
        </w:tc>
      </w:tr>
      <w:tr w:rsidTr="006C5D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There are no concurrent assessment recommendations for this unit.</w:t>
            </w:r>
          </w:p>
        </w:tc>
      </w:tr>
    </w:tbl>
    <w:p w:rsidR="006C5D38" w:rsidP="00CE4272">
      <w:pPr>
        <w:pStyle w:val="BodyText"/>
      </w:pPr>
    </w:p>
    <w:p w:rsidR="006C5D38" w:rsidP="00CE4272">
      <w:pPr>
        <w:pStyle w:val="BodyText"/>
      </w:pPr>
    </w:p>
    <w:p w:rsidR="00000000" w:rsidRPr="00CE4272" w:rsidP="00CE4272">
      <w:pPr>
        <w:pStyle w:val="Heading1"/>
      </w:pPr>
      <w:bookmarkStart w:id="11" w:name="O_589907"/>
      <w:bookmarkEnd w:id="11"/>
      <w:r w:rsidRPr="00CE4272">
        <w:t>Range Statement</w:t>
      </w:r>
    </w:p>
    <w:tbl>
      <w:tblPr>
        <w:tblW w:w="0" w:type="auto"/>
        <w:tblLayout w:type="fixed"/>
        <w:tblCellMar>
          <w:left w:w="62" w:type="dxa"/>
          <w:right w:w="62" w:type="dxa"/>
        </w:tblCellMar>
        <w:tblLook w:val="0000"/>
      </w:tblPr>
      <w:tblGrid>
        <w:gridCol w:w="8508"/>
      </w:tblGrid>
      <w:tr w:rsidTr="006C5D3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RANGE STATEMENT</w:t>
            </w:r>
          </w:p>
        </w:tc>
      </w:tr>
      <w:tr w:rsidTr="006C5D3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8</w:t>
            </w:r>
            <w:r w:rsidRPr="00CE4272">
              <w:t xml:space="preserve">) This relates to the unit as a whole providing the range of contexts and conditions to which the performance criteria apply. It allows for different work environments and situations that will affect </w:t>
            </w:r>
            <w:r w:rsidRPr="00CE4272">
              <w:t>performance.</w:t>
            </w:r>
          </w:p>
        </w:tc>
      </w:tr>
      <w:tr w:rsidTr="006C5D3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This unit must be demonstrated in relation to analysing noise and vibration in at least two different refrigeration and air conditioning systems.</w:t>
            </w:r>
          </w:p>
        </w:tc>
      </w:tr>
      <w:tr w:rsidTr="006C5D3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Generic terms used throughout this Vocational Standard shall be regar</w:t>
            </w:r>
            <w:r w:rsidRPr="00CE4272">
              <w:t>ded as part of the Range Statement in which competency is demonstrated. The definition of these and other terms that apply are given in Volume 2, Part 2.1.</w:t>
            </w:r>
          </w:p>
        </w:tc>
      </w:tr>
    </w:tbl>
    <w:p w:rsidR="006C5D38" w:rsidP="00CE4272">
      <w:pPr>
        <w:pStyle w:val="BodyText"/>
      </w:pPr>
    </w:p>
    <w:p w:rsidR="006C5D38" w:rsidP="00CE4272">
      <w:pPr>
        <w:pStyle w:val="BodyText"/>
      </w:pPr>
    </w:p>
    <w:p w:rsidR="00000000" w:rsidRPr="00CE4272" w:rsidP="00CE4272">
      <w:pPr>
        <w:pStyle w:val="Heading1"/>
      </w:pPr>
      <w:bookmarkStart w:id="12" w:name="O_589906"/>
      <w:bookmarkEnd w:id="12"/>
      <w:r w:rsidRPr="00CE4272">
        <w:t>Unit Sector(s)</w:t>
      </w:r>
    </w:p>
    <w:p w:rsidR="00000000" w:rsidRPr="00CE4272" w:rsidP="00CE4272">
      <w:pPr>
        <w:pStyle w:val="BodyText"/>
      </w:pPr>
      <w:r w:rsidRPr="00CE4272">
        <w:t>Not Applicable</w:t>
      </w:r>
    </w:p>
    <w:p w:rsidR="00000000" w:rsidRPr="00CE4272" w:rsidP="00CE4272">
      <w:pPr>
        <w:pStyle w:val="AllowPageBreak"/>
      </w:pPr>
    </w:p>
    <w:p w:rsidR="00000000" w:rsidRPr="00CE4272" w:rsidP="00CE4272">
      <w:pPr>
        <w:pStyle w:val="Heading1"/>
      </w:pPr>
      <w:bookmarkStart w:id="13" w:name="O_589905"/>
      <w:bookmarkEnd w:id="13"/>
      <w:r w:rsidRPr="00CE427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C5D3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2</w:t>
            </w:r>
            <w:r w:rsidRPr="00CE4272">
              <w:t>.</w:t>
            </w:r>
            <w:r w:rsidRPr="00CE4272">
              <w:rPr>
                <w:rStyle w:val="SpecialBold"/>
              </w:rPr>
              <w:t>2</w:t>
            </w:r>
            <w:r w:rsidRPr="00CE4272">
              <w:t xml:space="preserve">) </w:t>
            </w:r>
            <w:r w:rsidRPr="00CE4272">
              <w:rPr>
                <w:rStyle w:val="SpecialBold"/>
              </w:rPr>
              <w:t>Literacy an</w:t>
            </w:r>
            <w:r w:rsidRPr="00CE4272">
              <w:rPr>
                <w:rStyle w:val="SpecialBold"/>
              </w:rPr>
              <w:t>d numeracy skills</w:t>
            </w:r>
          </w:p>
          <w:p w:rsidR="00000000" w:rsidP="00CE4272">
            <w:pPr>
              <w:pStyle w:val="BodyText"/>
              <w:rPr>
                <w:lang w:val="en-NZ"/>
              </w:rPr>
            </w:pPr>
            <w:r w:rsidRPr="00CE4272">
              <w:t>Participants are best equipped to achieve competency in this unit if they have reading, writing and numeracy skills indicated by the following scales. Description of each scale is given in Volume 2, Part 3 'Literacy and Numeracy'</w:t>
            </w:r>
          </w:p>
        </w:tc>
      </w:tr>
      <w:tr w:rsidTr="006C5D3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Reading</w:t>
            </w:r>
          </w:p>
        </w:tc>
        <w:tc>
          <w:tcPr>
            <w:tcW w:w="1182"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5</w:t>
            </w:r>
          </w:p>
        </w:tc>
        <w:tc>
          <w:tcPr>
            <w:tcW w:w="1739"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Writing</w:t>
            </w:r>
          </w:p>
        </w:tc>
        <w:tc>
          <w:tcPr>
            <w:tcW w:w="1182"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5</w:t>
            </w:r>
          </w:p>
        </w:tc>
        <w:tc>
          <w:tcPr>
            <w:tcW w:w="1721"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t>Numeracy</w:t>
            </w:r>
          </w:p>
        </w:tc>
        <w:tc>
          <w:tcPr>
            <w:tcW w:w="1182"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5</w:t>
            </w:r>
          </w:p>
        </w:tc>
      </w:tr>
    </w:tbl>
    <w:p w:rsidR="006C5D38" w:rsidP="00CE4272">
      <w:pPr>
        <w:pStyle w:val="BodyText"/>
      </w:pPr>
    </w:p>
    <w:p w:rsidR="006C5D38" w:rsidP="00CE4272">
      <w:pPr>
        <w:pStyle w:val="BodyText"/>
      </w:pPr>
    </w:p>
    <w:p w:rsidR="00000000" w:rsidRPr="00CE4272" w:rsidP="00CE4272">
      <w:pPr>
        <w:pStyle w:val="Heading1"/>
      </w:pPr>
      <w:bookmarkStart w:id="14" w:name="O_589904"/>
      <w:bookmarkEnd w:id="14"/>
      <w:r w:rsidRPr="00CE4272">
        <w:t>Custom Content Section</w:t>
      </w:r>
    </w:p>
    <w:tbl>
      <w:tblPr>
        <w:tblW w:w="0" w:type="auto"/>
        <w:tblLayout w:type="fixed"/>
        <w:tblCellMar>
          <w:left w:w="62" w:type="dxa"/>
          <w:right w:w="62" w:type="dxa"/>
        </w:tblCellMar>
        <w:tblLook w:val="0000"/>
      </w:tblPr>
      <w:tblGrid>
        <w:gridCol w:w="2700"/>
        <w:gridCol w:w="5760"/>
      </w:tblGrid>
      <w:tr w:rsidTr="006C5D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4272">
            <w:pPr>
              <w:pStyle w:val="BodyText"/>
              <w:rPr>
                <w:lang w:val="en-NZ"/>
              </w:rPr>
            </w:pPr>
            <w:r w:rsidRPr="00CE4272">
              <w:rPr>
                <w:rStyle w:val="SpecialBold"/>
              </w:rPr>
              <w:t>5</w:t>
            </w:r>
            <w:r w:rsidRPr="00CE4272">
              <w:t>)</w:t>
            </w:r>
          </w:p>
        </w:tc>
      </w:tr>
      <w:tr w:rsidTr="006C5D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4272" w:rsidP="00CE4272">
            <w:pPr>
              <w:pStyle w:val="BodyText"/>
            </w:pPr>
            <w:r w:rsidRPr="00CE4272">
              <w:t>Refrigeration and Air Conditioning</w:t>
            </w:r>
          </w:p>
        </w:tc>
      </w:tr>
    </w:tbl>
    <w:p w:rsidR="006C5D38" w:rsidP="00CE4272">
      <w:pPr>
        <w:pStyle w:val="BodyText"/>
      </w:pPr>
    </w:p>
    <w:p w:rsidR="006C5D38" w:rsidP="00CE4272">
      <w:pPr>
        <w:pStyle w:val="BodyText"/>
      </w:pPr>
    </w:p>
    <w:p w:rsidR="00000000" w:rsidRPr="00CE4272" w:rsidP="00CE4272"/>
    <w:sectPr w:rsidSect="00CE42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72" w:rsidRPr="006C5D38" w:rsidP="006C5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38" w:rsidP="00CE4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C5D38" w:rsidP="00CE42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C5D38" w:rsidP="00CE4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72" w:rsidRPr="006C5D38" w:rsidP="006C5D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D38" w:rsidRPr="002D2AF8" w:rsidP="00CE4272">
    <w:pPr>
      <w:pStyle w:val="Header"/>
      <w:framePr w:wrap="around"/>
    </w:pPr>
    <w:r>
      <w:fldChar w:fldCharType="begin"/>
    </w:r>
    <w:r>
      <w:instrText xml:space="preserve"> TITLE   \* MERGEFORMAT </w:instrText>
    </w:r>
    <w:r>
      <w:fldChar w:fldCharType="separate"/>
    </w:r>
    <w:r>
      <w:t>UEENEEJ138A Analyse vibration and noise in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C5D38" w:rsidP="00CE4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EE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05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63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272"/>
    <w:pPr>
      <w:spacing w:before="360" w:after="60"/>
      <w:outlineLvl w:val="0"/>
    </w:pPr>
    <w:rPr>
      <w:sz w:val="32"/>
    </w:rPr>
  </w:style>
  <w:style w:type="paragraph" w:styleId="Heading2">
    <w:name w:val="heading 2"/>
    <w:basedOn w:val="HeadingBase"/>
    <w:next w:val="BodyText"/>
    <w:link w:val="Heading2Char"/>
    <w:qFormat/>
    <w:rsid w:val="00CE4272"/>
    <w:pPr>
      <w:keepLines/>
      <w:spacing w:before="240" w:after="120"/>
      <w:outlineLvl w:val="1"/>
    </w:pPr>
    <w:rPr>
      <w:sz w:val="28"/>
      <w:szCs w:val="40"/>
    </w:rPr>
  </w:style>
  <w:style w:type="paragraph" w:styleId="Heading3">
    <w:name w:val="heading 3"/>
    <w:basedOn w:val="HeadingBase"/>
    <w:next w:val="BodyText"/>
    <w:link w:val="Heading3Char"/>
    <w:qFormat/>
    <w:rsid w:val="00CE4272"/>
    <w:pPr>
      <w:spacing w:before="180" w:after="120"/>
      <w:outlineLvl w:val="2"/>
    </w:pPr>
    <w:rPr>
      <w:spacing w:val="-10"/>
      <w:kern w:val="32"/>
    </w:rPr>
  </w:style>
  <w:style w:type="paragraph" w:styleId="Heading4">
    <w:name w:val="heading 4"/>
    <w:basedOn w:val="HeadingBase"/>
    <w:next w:val="BodyText"/>
    <w:link w:val="Heading4Char"/>
    <w:qFormat/>
    <w:rsid w:val="00CE4272"/>
    <w:pPr>
      <w:spacing w:before="160" w:after="120"/>
      <w:outlineLvl w:val="3"/>
    </w:pPr>
    <w:rPr>
      <w:sz w:val="22"/>
    </w:rPr>
  </w:style>
  <w:style w:type="paragraph" w:styleId="Heading5">
    <w:name w:val="heading 5"/>
    <w:basedOn w:val="HeadingBase"/>
    <w:next w:val="Normal"/>
    <w:link w:val="Heading5Char"/>
    <w:qFormat/>
    <w:rsid w:val="00CE4272"/>
    <w:pPr>
      <w:spacing w:before="80"/>
      <w:outlineLvl w:val="4"/>
    </w:pPr>
    <w:rPr>
      <w:color w:val="918585"/>
      <w:sz w:val="20"/>
    </w:rPr>
  </w:style>
  <w:style w:type="paragraph" w:styleId="Heading6">
    <w:name w:val="heading 6"/>
    <w:basedOn w:val="HeadingBase"/>
    <w:next w:val="Normal"/>
    <w:link w:val="Heading6Char"/>
    <w:qFormat/>
    <w:rsid w:val="00CE4272"/>
    <w:pPr>
      <w:spacing w:before="60"/>
      <w:outlineLvl w:val="5"/>
    </w:pPr>
    <w:rPr>
      <w:color w:val="918585"/>
      <w:sz w:val="20"/>
    </w:rPr>
  </w:style>
  <w:style w:type="paragraph" w:styleId="Heading7">
    <w:name w:val="heading 7"/>
    <w:basedOn w:val="Normal"/>
    <w:next w:val="Normal"/>
    <w:link w:val="Heading7Char"/>
    <w:qFormat/>
    <w:rsid w:val="00CE4272"/>
    <w:pPr>
      <w:ind w:left="720"/>
      <w:outlineLvl w:val="6"/>
    </w:pPr>
    <w:rPr>
      <w:i/>
    </w:rPr>
  </w:style>
  <w:style w:type="paragraph" w:styleId="Heading8">
    <w:name w:val="heading 8"/>
    <w:basedOn w:val="Normal"/>
    <w:next w:val="Normal"/>
    <w:link w:val="Heading8Char"/>
    <w:qFormat/>
    <w:rsid w:val="00CE4272"/>
    <w:pPr>
      <w:ind w:left="720"/>
      <w:outlineLvl w:val="7"/>
    </w:pPr>
    <w:rPr>
      <w:i/>
    </w:rPr>
  </w:style>
  <w:style w:type="paragraph" w:styleId="Heading9">
    <w:name w:val="heading 9"/>
    <w:basedOn w:val="Normal"/>
    <w:next w:val="Normal"/>
    <w:link w:val="Heading9Char"/>
    <w:qFormat/>
    <w:rsid w:val="00CE4272"/>
    <w:pPr>
      <w:ind w:left="720"/>
      <w:outlineLvl w:val="8"/>
    </w:pPr>
    <w:rPr>
      <w:i/>
    </w:rPr>
  </w:style>
  <w:style w:type="character" w:default="1" w:styleId="DefaultParagraphFont">
    <w:name w:val="Default Paragraph Font"/>
    <w:uiPriority w:val="1"/>
    <w:unhideWhenUsed/>
    <w:rsid w:val="00CE4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272"/>
  </w:style>
  <w:style w:type="character" w:customStyle="1" w:styleId="Heading1Char">
    <w:name w:val="Heading 1 Char"/>
    <w:basedOn w:val="DefaultParagraphFont"/>
    <w:link w:val="Heading1"/>
    <w:rsid w:val="00CE4272"/>
    <w:rPr>
      <w:rFonts w:ascii="Times New Roman" w:eastAsia="Times New Roman" w:hAnsi="Times New Roman" w:cs="Times New Roman"/>
      <w:b/>
      <w:sz w:val="32"/>
      <w:szCs w:val="20"/>
      <w:lang w:eastAsia="en-US"/>
    </w:rPr>
  </w:style>
  <w:style w:type="paragraph" w:styleId="BodyText">
    <w:name w:val="Body Text"/>
    <w:basedOn w:val="Normal"/>
    <w:link w:val="BodyTextChar"/>
    <w:rsid w:val="00CE42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272"/>
    <w:rPr>
      <w:rFonts w:ascii="Times New Roman" w:eastAsia="Times New Roman" w:hAnsi="Times New Roman" w:cs="Times New Roman"/>
      <w:sz w:val="24"/>
      <w:lang w:eastAsia="en-US"/>
    </w:rPr>
  </w:style>
  <w:style w:type="paragraph" w:styleId="ListBullet">
    <w:name w:val="List Bullet"/>
    <w:basedOn w:val="List"/>
    <w:rsid w:val="00CE4272"/>
    <w:pPr>
      <w:numPr>
        <w:numId w:val="13"/>
      </w:numPr>
      <w:tabs>
        <w:tab w:val="clear" w:pos="340"/>
      </w:tabs>
      <w:spacing w:before="40" w:after="40"/>
    </w:pPr>
  </w:style>
  <w:style w:type="character" w:customStyle="1" w:styleId="SpecialBold">
    <w:name w:val="Special Bold"/>
    <w:basedOn w:val="DefaultParagraphFont"/>
    <w:rsid w:val="00CE4272"/>
    <w:rPr>
      <w:b/>
      <w:spacing w:val="0"/>
    </w:rPr>
  </w:style>
  <w:style w:type="paragraph" w:styleId="ListBullet2">
    <w:name w:val="List Bullet 2"/>
    <w:basedOn w:val="List2"/>
    <w:rsid w:val="00CE4272"/>
    <w:pPr>
      <w:numPr>
        <w:numId w:val="14"/>
      </w:numPr>
      <w:tabs>
        <w:tab w:val="clear" w:pos="680"/>
      </w:tabs>
    </w:pPr>
  </w:style>
  <w:style w:type="paragraph" w:customStyle="1" w:styleId="SuperHeading">
    <w:name w:val="SuperHeading"/>
    <w:basedOn w:val="Normal"/>
    <w:rsid w:val="00CE4272"/>
    <w:pPr>
      <w:spacing w:before="240" w:after="120"/>
      <w:outlineLvl w:val="0"/>
    </w:pPr>
    <w:rPr>
      <w:rFonts w:ascii="Times New Roman" w:hAnsi="Times New Roman"/>
      <w:b/>
      <w:sz w:val="32"/>
    </w:rPr>
  </w:style>
  <w:style w:type="paragraph" w:customStyle="1" w:styleId="AllowPageBreak">
    <w:name w:val="AllowPageBreak"/>
    <w:rsid w:val="00CE42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272"/>
    <w:rPr>
      <w:rFonts w:ascii="Courier New" w:eastAsia="Times New Roman" w:hAnsi="Courier New" w:cs="Times New Roman"/>
      <w:i/>
      <w:szCs w:val="20"/>
      <w:lang w:eastAsia="en-US"/>
    </w:rPr>
  </w:style>
  <w:style w:type="paragraph" w:customStyle="1" w:styleId="HeadingBase">
    <w:name w:val="Heading Base"/>
    <w:rsid w:val="00CE4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272"/>
    <w:pPr>
      <w:tabs>
        <w:tab w:val="right" w:leader="dot" w:pos="9072"/>
      </w:tabs>
      <w:ind w:left="567"/>
    </w:pPr>
    <w:rPr>
      <w:szCs w:val="22"/>
    </w:rPr>
  </w:style>
  <w:style w:type="paragraph" w:customStyle="1" w:styleId="TOCBase">
    <w:name w:val="TOC Base"/>
    <w:rsid w:val="00CE4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272"/>
    <w:pPr>
      <w:tabs>
        <w:tab w:val="right" w:leader="dot" w:pos="9072"/>
      </w:tabs>
      <w:spacing w:before="40" w:after="40"/>
      <w:ind w:left="284"/>
    </w:pPr>
    <w:rPr>
      <w:rFonts w:ascii="Times New Roman" w:hAnsi="Times New Roman"/>
    </w:rPr>
  </w:style>
  <w:style w:type="paragraph" w:styleId="TOC1">
    <w:name w:val="toc 1"/>
    <w:basedOn w:val="TOCBase"/>
    <w:next w:val="Normal"/>
    <w:rsid w:val="00CE4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272"/>
    <w:rPr>
      <w:rFonts w:ascii="Times New Roman" w:eastAsia="Times New Roman" w:hAnsi="Times New Roman" w:cs="Times New Roman"/>
      <w:sz w:val="16"/>
      <w:lang w:eastAsia="en-US"/>
    </w:rPr>
  </w:style>
  <w:style w:type="paragraph" w:styleId="Title">
    <w:name w:val="Title"/>
    <w:basedOn w:val="HeadingBase"/>
    <w:link w:val="TitleChar"/>
    <w:qFormat/>
    <w:rsid w:val="00CE4272"/>
    <w:pPr>
      <w:spacing w:before="5040"/>
      <w:jc w:val="center"/>
    </w:pPr>
    <w:rPr>
      <w:sz w:val="48"/>
      <w:szCs w:val="72"/>
      <w:lang w:val="en-US"/>
    </w:rPr>
  </w:style>
  <w:style w:type="character" w:customStyle="1" w:styleId="TitleChar">
    <w:name w:val="Title Char"/>
    <w:basedOn w:val="DefaultParagraphFont"/>
    <w:link w:val="Title"/>
    <w:rsid w:val="00CE4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272"/>
    <w:pPr>
      <w:tabs>
        <w:tab w:val="left" w:pos="3600"/>
        <w:tab w:val="left" w:pos="3958"/>
      </w:tabs>
    </w:pPr>
  </w:style>
  <w:style w:type="paragraph" w:styleId="List">
    <w:name w:val="List"/>
    <w:basedOn w:val="BodyText"/>
    <w:next w:val="BodyText"/>
    <w:rsid w:val="00CE4272"/>
    <w:pPr>
      <w:tabs>
        <w:tab w:val="left" w:pos="340"/>
      </w:tabs>
      <w:spacing w:before="60" w:after="60"/>
      <w:ind w:left="340" w:hanging="340"/>
    </w:pPr>
  </w:style>
  <w:style w:type="paragraph" w:customStyle="1" w:styleId="Note">
    <w:name w:val="Note"/>
    <w:basedOn w:val="BodyText"/>
    <w:rsid w:val="00CE4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272"/>
    <w:pPr>
      <w:framePr w:wrap="auto" w:hAnchor="text" w:y="6049"/>
    </w:pPr>
    <w:rPr>
      <w:color w:val="000000"/>
      <w:sz w:val="40"/>
    </w:rPr>
  </w:style>
  <w:style w:type="paragraph" w:customStyle="1" w:styleId="TOCTitle">
    <w:name w:val="TOCTitle"/>
    <w:basedOn w:val="Heading1"/>
    <w:rsid w:val="00CE4272"/>
    <w:pPr>
      <w:spacing w:after="240"/>
      <w:jc w:val="center"/>
      <w:outlineLvl w:val="9"/>
    </w:pPr>
    <w:rPr>
      <w:caps/>
    </w:rPr>
  </w:style>
  <w:style w:type="paragraph" w:customStyle="1" w:styleId="Version">
    <w:name w:val="Version"/>
    <w:rsid w:val="00CE42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272"/>
    <w:pPr>
      <w:keepNext w:val="0"/>
      <w:tabs>
        <w:tab w:val="right" w:pos="4176"/>
      </w:tabs>
      <w:ind w:left="198" w:hanging="198"/>
    </w:pPr>
    <w:rPr>
      <w:rFonts w:ascii="Garamond" w:hAnsi="Garamond"/>
    </w:rPr>
  </w:style>
  <w:style w:type="paragraph" w:styleId="IndexHeading">
    <w:name w:val="index heading"/>
    <w:basedOn w:val="Normal"/>
    <w:next w:val="Index1"/>
    <w:semiHidden/>
    <w:rsid w:val="00CE4272"/>
    <w:pPr>
      <w:spacing w:before="120" w:after="120"/>
    </w:pPr>
    <w:rPr>
      <w:rFonts w:ascii="Arial" w:hAnsi="Arial"/>
      <w:b/>
      <w:color w:val="918585"/>
      <w:sz w:val="24"/>
    </w:rPr>
  </w:style>
  <w:style w:type="paragraph" w:styleId="Header">
    <w:name w:val="header"/>
    <w:basedOn w:val="Normal"/>
    <w:link w:val="HeaderChar"/>
    <w:rsid w:val="00CE4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272"/>
    <w:rPr>
      <w:rFonts w:ascii="Times New Roman" w:eastAsia="Times New Roman" w:hAnsi="Times New Roman" w:cs="Times New Roman"/>
      <w:sz w:val="16"/>
      <w:szCs w:val="20"/>
      <w:lang w:val="en-GB" w:eastAsia="en-US"/>
    </w:rPr>
  </w:style>
  <w:style w:type="paragraph" w:customStyle="1" w:styleId="Chapter">
    <w:name w:val="Chapter"/>
    <w:basedOn w:val="Normal"/>
    <w:rsid w:val="00CE4272"/>
    <w:pPr>
      <w:spacing w:before="240"/>
    </w:pPr>
    <w:rPr>
      <w:rFonts w:ascii="Times New Roman" w:hAnsi="Times New Roman"/>
      <w:smallCaps/>
      <w:spacing w:val="80"/>
      <w:sz w:val="28"/>
    </w:rPr>
  </w:style>
  <w:style w:type="paragraph" w:customStyle="1" w:styleId="InChapter">
    <w:name w:val="InChapter"/>
    <w:basedOn w:val="Heading3"/>
    <w:rsid w:val="00CE4272"/>
    <w:pPr>
      <w:spacing w:after="240"/>
      <w:outlineLvl w:val="9"/>
    </w:pPr>
    <w:rPr>
      <w:noProof/>
    </w:rPr>
  </w:style>
  <w:style w:type="paragraph" w:styleId="Index2">
    <w:name w:val="index 2"/>
    <w:basedOn w:val="Normal"/>
    <w:next w:val="Normal"/>
    <w:semiHidden/>
    <w:rsid w:val="00CE4272"/>
    <w:pPr>
      <w:tabs>
        <w:tab w:val="right" w:pos="4176"/>
      </w:tabs>
      <w:ind w:left="568" w:hanging="284"/>
    </w:pPr>
    <w:rPr>
      <w:rFonts w:ascii="Garamond" w:hAnsi="Garamond"/>
    </w:rPr>
  </w:style>
  <w:style w:type="paragraph" w:customStyle="1" w:styleId="Byline">
    <w:name w:val="Byline"/>
    <w:rsid w:val="00CE4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272"/>
    <w:pPr>
      <w:tabs>
        <w:tab w:val="clear" w:pos="3600"/>
        <w:tab w:val="clear" w:pos="3958"/>
      </w:tabs>
      <w:jc w:val="right"/>
    </w:pPr>
  </w:style>
  <w:style w:type="character" w:styleId="Emphasis">
    <w:name w:val="Emphasis"/>
    <w:basedOn w:val="DefaultParagraphFont"/>
    <w:qFormat/>
    <w:rsid w:val="00CE4272"/>
    <w:rPr>
      <w:i/>
    </w:rPr>
  </w:style>
  <w:style w:type="paragraph" w:styleId="Caption">
    <w:name w:val="caption"/>
    <w:basedOn w:val="BodyText"/>
    <w:next w:val="Normal"/>
    <w:qFormat/>
    <w:rsid w:val="00CE4272"/>
    <w:pPr>
      <w:framePr w:w="2268" w:hSpace="181" w:vSpace="181" w:wrap="around" w:vAnchor="text" w:hAnchor="page" w:x="1135" w:y="285" w:anchorLock="1"/>
    </w:pPr>
    <w:rPr>
      <w:i/>
    </w:rPr>
  </w:style>
  <w:style w:type="paragraph" w:customStyle="1" w:styleId="MiniTOCTitle">
    <w:name w:val="MiniTOCTitle"/>
    <w:basedOn w:val="Heading4"/>
    <w:rsid w:val="00CE4272"/>
    <w:pPr>
      <w:spacing w:before="240"/>
      <w:outlineLvl w:val="9"/>
    </w:pPr>
    <w:rPr>
      <w:noProof/>
      <w:sz w:val="24"/>
    </w:rPr>
  </w:style>
  <w:style w:type="paragraph" w:customStyle="1" w:styleId="MiniTOCItem">
    <w:name w:val="MiniTOCItem"/>
    <w:basedOn w:val="ListBullet"/>
    <w:rsid w:val="00CE4272"/>
    <w:pPr>
      <w:numPr>
        <w:numId w:val="0"/>
      </w:numPr>
      <w:tabs>
        <w:tab w:val="right" w:leader="dot" w:pos="6521"/>
      </w:tabs>
      <w:spacing w:before="0" w:after="0"/>
    </w:pPr>
  </w:style>
  <w:style w:type="paragraph" w:customStyle="1" w:styleId="TOFTitle">
    <w:name w:val="TOFTitle"/>
    <w:basedOn w:val="TOCTitle"/>
    <w:rsid w:val="00CE4272"/>
  </w:style>
  <w:style w:type="paragraph" w:styleId="TableofFigures">
    <w:name w:val="table of figures"/>
    <w:basedOn w:val="Normal"/>
    <w:next w:val="Normal"/>
    <w:semiHidden/>
    <w:rsid w:val="00CE4272"/>
    <w:pPr>
      <w:tabs>
        <w:tab w:val="right" w:leader="dot" w:pos="9072"/>
      </w:tabs>
      <w:ind w:left="970" w:hanging="403"/>
    </w:pPr>
    <w:rPr>
      <w:rFonts w:ascii="Times New Roman" w:hAnsi="Times New Roman"/>
      <w:b/>
    </w:rPr>
  </w:style>
  <w:style w:type="paragraph" w:styleId="ListNumber">
    <w:name w:val="List Number"/>
    <w:basedOn w:val="List"/>
    <w:rsid w:val="00CE4272"/>
    <w:pPr>
      <w:numPr>
        <w:numId w:val="11"/>
      </w:numPr>
    </w:pPr>
  </w:style>
  <w:style w:type="character" w:customStyle="1" w:styleId="WingdingSymbols">
    <w:name w:val="Wingding Symbols"/>
    <w:rsid w:val="00CE4272"/>
    <w:rPr>
      <w:rFonts w:ascii="Wingdings" w:hAnsi="Wingdings"/>
    </w:rPr>
  </w:style>
  <w:style w:type="paragraph" w:customStyle="1" w:styleId="TableHeading">
    <w:name w:val="Table Heading"/>
    <w:basedOn w:val="HeadingBase"/>
    <w:rsid w:val="00CE4272"/>
    <w:pPr>
      <w:keepLines/>
      <w:pBdr>
        <w:bottom w:val="single" w:sz="6" w:space="1" w:color="918585"/>
      </w:pBdr>
      <w:spacing w:before="240"/>
    </w:pPr>
  </w:style>
  <w:style w:type="character" w:customStyle="1" w:styleId="HotSpot">
    <w:name w:val="HotSpot"/>
    <w:rsid w:val="00CE4272"/>
    <w:rPr>
      <w:color w:val="0033CC"/>
      <w:u w:val="none"/>
    </w:rPr>
  </w:style>
  <w:style w:type="paragraph" w:customStyle="1" w:styleId="BodyTextRight">
    <w:name w:val="Body Text Right"/>
    <w:basedOn w:val="BodyText"/>
    <w:rsid w:val="00CE4272"/>
    <w:pPr>
      <w:spacing w:before="0" w:after="0"/>
      <w:jc w:val="right"/>
    </w:pPr>
  </w:style>
  <w:style w:type="paragraph" w:styleId="Index3">
    <w:name w:val="index 3"/>
    <w:basedOn w:val="ListNumber2"/>
    <w:next w:val="Normal"/>
    <w:semiHidden/>
    <w:rsid w:val="00CE4272"/>
    <w:pPr>
      <w:numPr>
        <w:numId w:val="0"/>
      </w:numPr>
      <w:tabs>
        <w:tab w:val="right" w:leader="dot" w:pos="4176"/>
      </w:tabs>
    </w:pPr>
  </w:style>
  <w:style w:type="paragraph" w:styleId="ListNumber2">
    <w:name w:val="List Number 2"/>
    <w:basedOn w:val="List2"/>
    <w:rsid w:val="00CE4272"/>
    <w:pPr>
      <w:numPr>
        <w:numId w:val="10"/>
      </w:numPr>
      <w:tabs>
        <w:tab w:val="clear" w:pos="1060"/>
      </w:tabs>
    </w:pPr>
  </w:style>
  <w:style w:type="paragraph" w:customStyle="1" w:styleId="MarginNote">
    <w:name w:val="Margin Note"/>
    <w:basedOn w:val="BodyText"/>
    <w:rsid w:val="00CE4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272"/>
    <w:rPr>
      <w:sz w:val="32"/>
    </w:rPr>
  </w:style>
  <w:style w:type="paragraph" w:customStyle="1" w:styleId="HeadingProcedure">
    <w:name w:val="Heading Procedure"/>
    <w:basedOn w:val="HeadingBase"/>
    <w:next w:val="Normal"/>
    <w:rsid w:val="00CE4272"/>
    <w:pPr>
      <w:tabs>
        <w:tab w:val="left" w:pos="0"/>
      </w:tabs>
      <w:spacing w:before="120" w:after="60"/>
    </w:pPr>
    <w:rPr>
      <w:i/>
      <w:color w:val="918585"/>
      <w:sz w:val="22"/>
    </w:rPr>
  </w:style>
  <w:style w:type="paragraph" w:customStyle="1" w:styleId="TableBodyText">
    <w:name w:val="Table Body Text"/>
    <w:basedOn w:val="BodyText"/>
    <w:rsid w:val="00CE4272"/>
    <w:pPr>
      <w:spacing w:before="60" w:after="60"/>
    </w:pPr>
  </w:style>
  <w:style w:type="paragraph" w:styleId="ListContinue">
    <w:name w:val="List Continue"/>
    <w:basedOn w:val="List"/>
    <w:rsid w:val="00CE4272"/>
    <w:pPr>
      <w:ind w:firstLine="0"/>
    </w:pPr>
  </w:style>
  <w:style w:type="paragraph" w:customStyle="1" w:styleId="ListNote">
    <w:name w:val="List Note"/>
    <w:basedOn w:val="List"/>
    <w:rsid w:val="00CE4272"/>
    <w:pPr>
      <w:pBdr>
        <w:top w:val="single" w:sz="6" w:space="2" w:color="918585"/>
        <w:bottom w:val="single" w:sz="6" w:space="2" w:color="918585"/>
      </w:pBdr>
      <w:tabs>
        <w:tab w:val="left" w:pos="1021"/>
      </w:tabs>
      <w:ind w:firstLine="0"/>
    </w:pPr>
  </w:style>
  <w:style w:type="paragraph" w:customStyle="1" w:styleId="Warning">
    <w:name w:val="Warning"/>
    <w:basedOn w:val="BodyText"/>
    <w:rsid w:val="00CE4272"/>
    <w:pPr>
      <w:shd w:val="clear" w:color="auto" w:fill="D9D9D9"/>
      <w:tabs>
        <w:tab w:val="left" w:pos="992"/>
      </w:tabs>
      <w:ind w:left="119" w:right="119"/>
    </w:pPr>
    <w:rPr>
      <w:sz w:val="20"/>
    </w:rPr>
  </w:style>
  <w:style w:type="paragraph" w:customStyle="1" w:styleId="MarginIcons">
    <w:name w:val="Margin Icons"/>
    <w:basedOn w:val="BodyText"/>
    <w:rsid w:val="00CE4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272"/>
    <w:rPr>
      <w:rFonts w:ascii="Courier New" w:hAnsi="Courier New"/>
    </w:rPr>
  </w:style>
  <w:style w:type="paragraph" w:customStyle="1" w:styleId="NoteBullet">
    <w:name w:val="Note Bullet"/>
    <w:basedOn w:val="Note"/>
    <w:rsid w:val="00CE4272"/>
    <w:pPr>
      <w:tabs>
        <w:tab w:val="clear" w:pos="680"/>
      </w:tabs>
      <w:spacing w:before="60" w:after="60"/>
    </w:pPr>
  </w:style>
  <w:style w:type="paragraph" w:customStyle="1" w:styleId="SubHeading2">
    <w:name w:val="SubHeading2"/>
    <w:basedOn w:val="HeadingBase"/>
    <w:rsid w:val="00CE4272"/>
    <w:pPr>
      <w:spacing w:before="240" w:after="60"/>
    </w:pPr>
    <w:rPr>
      <w:sz w:val="20"/>
    </w:rPr>
  </w:style>
  <w:style w:type="paragraph" w:customStyle="1" w:styleId="SubHeading1">
    <w:name w:val="SubHeading1"/>
    <w:basedOn w:val="HeadingBase"/>
    <w:rsid w:val="00CE4272"/>
    <w:pPr>
      <w:spacing w:before="240" w:after="60"/>
    </w:pPr>
    <w:rPr>
      <w:color w:val="918585"/>
      <w:sz w:val="22"/>
    </w:rPr>
  </w:style>
  <w:style w:type="paragraph" w:customStyle="1" w:styleId="SideHeading">
    <w:name w:val="Side Heading"/>
    <w:basedOn w:val="HeadingBase"/>
    <w:rsid w:val="00CE4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272"/>
    <w:pPr>
      <w:numPr>
        <w:numId w:val="12"/>
      </w:numPr>
    </w:pPr>
  </w:style>
  <w:style w:type="paragraph" w:styleId="PlainText">
    <w:name w:val="Plain Text"/>
    <w:basedOn w:val="Normal"/>
    <w:link w:val="PlainTextChar"/>
    <w:rsid w:val="00CE4272"/>
    <w:rPr>
      <w:sz w:val="20"/>
    </w:rPr>
  </w:style>
  <w:style w:type="character" w:customStyle="1" w:styleId="PlainTextChar">
    <w:name w:val="Plain Text Char"/>
    <w:basedOn w:val="DefaultParagraphFont"/>
    <w:link w:val="PlainText"/>
    <w:rsid w:val="00CE4272"/>
    <w:rPr>
      <w:rFonts w:ascii="Courier New" w:eastAsia="Times New Roman" w:hAnsi="Courier New" w:cs="Times New Roman"/>
      <w:sz w:val="20"/>
      <w:szCs w:val="20"/>
      <w:lang w:eastAsia="en-US"/>
    </w:rPr>
  </w:style>
  <w:style w:type="character" w:customStyle="1" w:styleId="MenuOption">
    <w:name w:val="Menu Option"/>
    <w:basedOn w:val="DefaultParagraphFont"/>
    <w:rsid w:val="00CE4272"/>
    <w:rPr>
      <w:b/>
      <w:smallCaps/>
    </w:rPr>
  </w:style>
  <w:style w:type="paragraph" w:customStyle="1" w:styleId="TableListNumber">
    <w:name w:val="Table List Number"/>
    <w:basedOn w:val="ListNumber"/>
    <w:rsid w:val="00CE4272"/>
    <w:pPr>
      <w:numPr>
        <w:numId w:val="0"/>
      </w:numPr>
    </w:pPr>
  </w:style>
  <w:style w:type="paragraph" w:styleId="TOC4">
    <w:name w:val="toc 4"/>
    <w:basedOn w:val="TOCBase"/>
    <w:next w:val="Normal"/>
    <w:semiHidden/>
    <w:rsid w:val="00CE4272"/>
    <w:pPr>
      <w:tabs>
        <w:tab w:val="right" w:leader="dot" w:pos="9071"/>
      </w:tabs>
      <w:ind w:left="1701"/>
    </w:pPr>
  </w:style>
  <w:style w:type="paragraph" w:customStyle="1" w:styleId="ListAlpha">
    <w:name w:val="List Alpha"/>
    <w:basedOn w:val="List"/>
    <w:rsid w:val="00CE4272"/>
    <w:pPr>
      <w:numPr>
        <w:numId w:val="9"/>
      </w:numPr>
    </w:pPr>
  </w:style>
  <w:style w:type="paragraph" w:customStyle="1" w:styleId="ListAlpha2">
    <w:name w:val="List Alpha 2"/>
    <w:basedOn w:val="List2"/>
    <w:rsid w:val="00CE4272"/>
    <w:pPr>
      <w:numPr>
        <w:numId w:val="8"/>
      </w:numPr>
    </w:pPr>
  </w:style>
  <w:style w:type="paragraph" w:styleId="List2">
    <w:name w:val="List 2"/>
    <w:basedOn w:val="BodyText"/>
    <w:rsid w:val="00CE4272"/>
    <w:pPr>
      <w:tabs>
        <w:tab w:val="left" w:pos="680"/>
      </w:tabs>
      <w:spacing w:before="60" w:after="60"/>
      <w:ind w:left="680" w:hanging="340"/>
    </w:pPr>
  </w:style>
  <w:style w:type="paragraph" w:styleId="List3">
    <w:name w:val="List 3"/>
    <w:basedOn w:val="BodyText"/>
    <w:rsid w:val="00CE4272"/>
    <w:pPr>
      <w:tabs>
        <w:tab w:val="left" w:pos="1021"/>
      </w:tabs>
      <w:spacing w:before="60" w:after="60"/>
      <w:ind w:left="1020" w:hanging="340"/>
    </w:pPr>
  </w:style>
  <w:style w:type="paragraph" w:styleId="List4">
    <w:name w:val="List 4"/>
    <w:basedOn w:val="BodyText"/>
    <w:rsid w:val="00CE4272"/>
    <w:pPr>
      <w:tabs>
        <w:tab w:val="left" w:pos="1361"/>
      </w:tabs>
      <w:spacing w:before="60" w:after="60"/>
      <w:ind w:left="1361" w:hanging="340"/>
    </w:pPr>
  </w:style>
  <w:style w:type="paragraph" w:styleId="List5">
    <w:name w:val="List 5"/>
    <w:basedOn w:val="BodyText"/>
    <w:rsid w:val="00CE4272"/>
    <w:pPr>
      <w:tabs>
        <w:tab w:val="left" w:pos="1701"/>
      </w:tabs>
      <w:spacing w:before="60" w:after="60"/>
      <w:ind w:left="1701" w:hanging="340"/>
    </w:pPr>
  </w:style>
  <w:style w:type="paragraph" w:styleId="ListBullet3">
    <w:name w:val="List Bullet 3"/>
    <w:basedOn w:val="List3"/>
    <w:rsid w:val="00CE4272"/>
    <w:pPr>
      <w:numPr>
        <w:numId w:val="15"/>
      </w:numPr>
      <w:tabs>
        <w:tab w:val="clear" w:pos="1021"/>
      </w:tabs>
      <w:ind w:left="1037" w:hanging="357"/>
    </w:pPr>
  </w:style>
  <w:style w:type="paragraph" w:styleId="ListBullet4">
    <w:name w:val="List Bullet 4"/>
    <w:basedOn w:val="List4"/>
    <w:rsid w:val="00CE4272"/>
    <w:pPr>
      <w:numPr>
        <w:numId w:val="3"/>
      </w:numPr>
    </w:pPr>
  </w:style>
  <w:style w:type="paragraph" w:styleId="ListBullet5">
    <w:name w:val="List Bullet 5"/>
    <w:basedOn w:val="List5"/>
    <w:rsid w:val="00CE4272"/>
    <w:pPr>
      <w:numPr>
        <w:numId w:val="4"/>
      </w:numPr>
    </w:pPr>
  </w:style>
  <w:style w:type="paragraph" w:styleId="ListContinue2">
    <w:name w:val="List Continue 2"/>
    <w:basedOn w:val="List2"/>
    <w:rsid w:val="00CE4272"/>
    <w:pPr>
      <w:ind w:firstLine="0"/>
    </w:pPr>
  </w:style>
  <w:style w:type="paragraph" w:styleId="ListContinue3">
    <w:name w:val="List Continue 3"/>
    <w:basedOn w:val="List3"/>
    <w:rsid w:val="00CE4272"/>
    <w:pPr>
      <w:ind w:left="1021" w:firstLine="0"/>
    </w:pPr>
  </w:style>
  <w:style w:type="paragraph" w:styleId="ListContinue4">
    <w:name w:val="List Continue 4"/>
    <w:basedOn w:val="List4"/>
    <w:rsid w:val="00CE4272"/>
    <w:pPr>
      <w:ind w:firstLine="0"/>
    </w:pPr>
  </w:style>
  <w:style w:type="paragraph" w:styleId="ListContinue5">
    <w:name w:val="List Continue 5"/>
    <w:basedOn w:val="List5"/>
    <w:rsid w:val="00CE4272"/>
    <w:pPr>
      <w:ind w:firstLine="0"/>
    </w:pPr>
  </w:style>
  <w:style w:type="paragraph" w:styleId="ListNumber3">
    <w:name w:val="List Number 3"/>
    <w:basedOn w:val="List3"/>
    <w:rsid w:val="00CE4272"/>
    <w:pPr>
      <w:numPr>
        <w:numId w:val="5"/>
      </w:numPr>
    </w:pPr>
  </w:style>
  <w:style w:type="paragraph" w:styleId="ListNumber4">
    <w:name w:val="List Number 4"/>
    <w:basedOn w:val="List4"/>
    <w:rsid w:val="00CE4272"/>
    <w:pPr>
      <w:numPr>
        <w:numId w:val="6"/>
      </w:numPr>
    </w:pPr>
  </w:style>
  <w:style w:type="paragraph" w:styleId="ListNumber5">
    <w:name w:val="List Number 5"/>
    <w:basedOn w:val="List5"/>
    <w:rsid w:val="00CE4272"/>
    <w:pPr>
      <w:numPr>
        <w:numId w:val="7"/>
      </w:numPr>
    </w:pPr>
  </w:style>
  <w:style w:type="paragraph" w:styleId="BlockText">
    <w:name w:val="Block Text"/>
    <w:basedOn w:val="Normal"/>
    <w:rsid w:val="00CE4272"/>
    <w:pPr>
      <w:spacing w:after="120"/>
      <w:ind w:left="1440" w:right="1440"/>
    </w:pPr>
  </w:style>
  <w:style w:type="character" w:customStyle="1" w:styleId="Subscript">
    <w:name w:val="Subscript"/>
    <w:basedOn w:val="DefaultParagraphFont"/>
    <w:rsid w:val="00CE4272"/>
    <w:rPr>
      <w:sz w:val="16"/>
      <w:vertAlign w:val="subscript"/>
    </w:rPr>
  </w:style>
  <w:style w:type="character" w:customStyle="1" w:styleId="Superscript">
    <w:name w:val="Superscript"/>
    <w:basedOn w:val="DefaultParagraphFont"/>
    <w:rsid w:val="00CE4272"/>
    <w:rPr>
      <w:sz w:val="16"/>
      <w:vertAlign w:val="superscript"/>
    </w:rPr>
  </w:style>
  <w:style w:type="character" w:customStyle="1" w:styleId="Symbols">
    <w:name w:val="Symbols"/>
    <w:basedOn w:val="DefaultParagraphFont"/>
    <w:rsid w:val="00CE4272"/>
    <w:rPr>
      <w:rFonts w:ascii="Symbol" w:hAnsi="Symbol"/>
    </w:rPr>
  </w:style>
  <w:style w:type="character" w:customStyle="1" w:styleId="MenuOptions">
    <w:name w:val="Menu Options"/>
    <w:basedOn w:val="DefaultParagraphFont"/>
    <w:rsid w:val="00CE4272"/>
    <w:rPr>
      <w:rFonts w:ascii="Arial Narrow" w:hAnsi="Arial Narrow"/>
      <w:smallCaps/>
    </w:rPr>
  </w:style>
  <w:style w:type="character" w:customStyle="1" w:styleId="Buttons">
    <w:name w:val="Buttons"/>
    <w:basedOn w:val="DefaultParagraphFont"/>
    <w:rsid w:val="00CE4272"/>
    <w:rPr>
      <w:b/>
    </w:rPr>
  </w:style>
  <w:style w:type="character" w:customStyle="1" w:styleId="Underlined">
    <w:name w:val="Underlined"/>
    <w:basedOn w:val="DefaultParagraphFont"/>
    <w:rsid w:val="00CE4272"/>
    <w:rPr>
      <w:u w:val="single"/>
    </w:rPr>
  </w:style>
  <w:style w:type="paragraph" w:customStyle="1" w:styleId="TableBodyTextRight">
    <w:name w:val="Table Body Text Right"/>
    <w:basedOn w:val="TableBodyText"/>
    <w:rsid w:val="00CE4272"/>
    <w:pPr>
      <w:widowControl w:val="0"/>
      <w:autoSpaceDE w:val="0"/>
      <w:autoSpaceDN w:val="0"/>
      <w:adjustRightInd w:val="0"/>
      <w:jc w:val="right"/>
    </w:pPr>
    <w:rPr>
      <w:rFonts w:cs="Arial"/>
      <w:szCs w:val="18"/>
    </w:rPr>
  </w:style>
  <w:style w:type="paragraph" w:customStyle="1" w:styleId="CopyrightText">
    <w:name w:val="Copyright Text"/>
    <w:basedOn w:val="BodyText"/>
    <w:rsid w:val="00CE4272"/>
    <w:rPr>
      <w:sz w:val="18"/>
    </w:rPr>
  </w:style>
  <w:style w:type="paragraph" w:customStyle="1" w:styleId="BodySmallRight">
    <w:name w:val="Body Small Right"/>
    <w:basedOn w:val="BodyTextRight"/>
    <w:rsid w:val="00CE4272"/>
    <w:rPr>
      <w:sz w:val="18"/>
      <w:szCs w:val="18"/>
    </w:rPr>
  </w:style>
  <w:style w:type="paragraph" w:customStyle="1" w:styleId="MarginEdition">
    <w:name w:val="Margin Edition"/>
    <w:basedOn w:val="MarginNote"/>
    <w:rsid w:val="00CE4272"/>
    <w:pPr>
      <w:spacing w:before="0" w:after="0"/>
    </w:pPr>
    <w:rPr>
      <w:rFonts w:ascii="Times New Roman" w:hAnsi="Times New Roman"/>
      <w:color w:val="999999"/>
    </w:rPr>
  </w:style>
  <w:style w:type="paragraph" w:customStyle="1" w:styleId="Spacer">
    <w:name w:val="Spacer"/>
    <w:basedOn w:val="Normal"/>
    <w:rsid w:val="00CE4272"/>
    <w:rPr>
      <w:sz w:val="2"/>
      <w:szCs w:val="2"/>
    </w:rPr>
  </w:style>
  <w:style w:type="character" w:customStyle="1" w:styleId="Small">
    <w:name w:val="Small"/>
    <w:basedOn w:val="DefaultParagraphFont"/>
    <w:rsid w:val="00CE4272"/>
    <w:rPr>
      <w:sz w:val="16"/>
    </w:rPr>
  </w:style>
  <w:style w:type="paragraph" w:customStyle="1" w:styleId="WideTable">
    <w:name w:val="Wide Table"/>
    <w:basedOn w:val="Normal"/>
    <w:rsid w:val="00CE4272"/>
    <w:pPr>
      <w:ind w:left="-1418"/>
    </w:pPr>
    <w:rPr>
      <w:sz w:val="2"/>
      <w:szCs w:val="2"/>
    </w:rPr>
  </w:style>
  <w:style w:type="character" w:styleId="PageNumber">
    <w:name w:val="page number"/>
    <w:basedOn w:val="DefaultParagraphFont"/>
    <w:rsid w:val="00CE4272"/>
  </w:style>
  <w:style w:type="paragraph" w:styleId="Quote">
    <w:name w:val="Quote"/>
    <w:basedOn w:val="Heading1"/>
    <w:link w:val="QuoteChar"/>
    <w:qFormat/>
    <w:rsid w:val="00CE4272"/>
    <w:rPr>
      <w:b w:val="0"/>
      <w:sz w:val="72"/>
      <w:szCs w:val="72"/>
      <w:lang w:val="en-NZ"/>
    </w:rPr>
  </w:style>
  <w:style w:type="character" w:customStyle="1" w:styleId="QuoteChar">
    <w:name w:val="Quote Char"/>
    <w:basedOn w:val="DefaultParagraphFont"/>
    <w:link w:val="Quote"/>
    <w:rsid w:val="00CE4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272"/>
    <w:pPr>
      <w:pageBreakBefore/>
    </w:pPr>
  </w:style>
  <w:style w:type="paragraph" w:customStyle="1" w:styleId="Border">
    <w:name w:val="Border"/>
    <w:basedOn w:val="Normal"/>
    <w:qFormat/>
    <w:rsid w:val="00CE4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272"/>
    <w:rPr>
      <w:b/>
      <w:bCs/>
      <w:i/>
      <w:iCs/>
      <w:color w:val="auto"/>
    </w:rPr>
  </w:style>
  <w:style w:type="paragraph" w:styleId="IntenseQuote">
    <w:name w:val="Intense Quote"/>
    <w:basedOn w:val="Normal"/>
    <w:next w:val="Normal"/>
    <w:link w:val="IntenseQuoteChar"/>
    <w:uiPriority w:val="30"/>
    <w:qFormat/>
    <w:rsid w:val="00CE4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272"/>
    <w:rPr>
      <w:smallCaps/>
      <w:color w:val="auto"/>
      <w:u w:val="single"/>
    </w:rPr>
  </w:style>
  <w:style w:type="character" w:styleId="IntenseReference">
    <w:name w:val="Intense Reference"/>
    <w:basedOn w:val="DefaultParagraphFont"/>
    <w:uiPriority w:val="32"/>
    <w:qFormat/>
    <w:rsid w:val="00CE4272"/>
    <w:rPr>
      <w:b/>
      <w:bCs/>
      <w:smallCaps/>
      <w:color w:val="auto"/>
      <w:spacing w:val="5"/>
      <w:u w:val="single"/>
    </w:rPr>
  </w:style>
  <w:style w:type="paragraph" w:customStyle="1" w:styleId="2ColumnHeading">
    <w:name w:val="2Column Heading"/>
    <w:basedOn w:val="BodyText"/>
    <w:qFormat/>
    <w:rsid w:val="00CE4272"/>
    <w:pPr>
      <w:spacing w:after="60"/>
      <w:ind w:left="-2268"/>
    </w:pPr>
    <w:rPr>
      <w:b/>
    </w:rPr>
  </w:style>
  <w:style w:type="paragraph" w:customStyle="1" w:styleId="Heading1TOC">
    <w:name w:val="Heading1 TOC"/>
    <w:basedOn w:val="Normal"/>
    <w:qFormat/>
    <w:rsid w:val="00CE4272"/>
    <w:pPr>
      <w:spacing w:before="240" w:after="120"/>
    </w:pPr>
    <w:rPr>
      <w:rFonts w:ascii="Times New Roman" w:hAnsi="Times New Roman"/>
      <w:b/>
      <w:sz w:val="32"/>
    </w:rPr>
  </w:style>
  <w:style w:type="paragraph" w:customStyle="1" w:styleId="Heading2TOC">
    <w:name w:val="Heading2 TOC"/>
    <w:basedOn w:val="Normal"/>
    <w:qFormat/>
    <w:rsid w:val="00CE4272"/>
    <w:pPr>
      <w:spacing w:before="240" w:after="60"/>
    </w:pPr>
    <w:rPr>
      <w:rFonts w:ascii="Times New Roman" w:hAnsi="Times New Roman"/>
      <w:b/>
      <w:sz w:val="28"/>
    </w:rPr>
  </w:style>
  <w:style w:type="character" w:customStyle="1" w:styleId="Underline">
    <w:name w:val="Underline"/>
    <w:basedOn w:val="DefaultParagraphFont"/>
    <w:qFormat/>
    <w:rsid w:val="00CE4272"/>
    <w:rPr>
      <w:u w:val="single"/>
    </w:rPr>
  </w:style>
  <w:style w:type="character" w:customStyle="1" w:styleId="BoldandItalics">
    <w:name w:val="Bold and Italics"/>
    <w:qFormat/>
    <w:rsid w:val="00CE4272"/>
    <w:rPr>
      <w:b/>
      <w:i/>
      <w:u w:val="none"/>
    </w:rPr>
  </w:style>
  <w:style w:type="paragraph" w:styleId="BalloonText">
    <w:name w:val="Balloon Text"/>
    <w:basedOn w:val="Normal"/>
    <w:link w:val="BalloonTextChar"/>
    <w:rsid w:val="00CE4272"/>
    <w:rPr>
      <w:rFonts w:ascii="Tahoma" w:hAnsi="Tahoma" w:cs="Tahoma"/>
      <w:sz w:val="16"/>
      <w:szCs w:val="16"/>
    </w:rPr>
  </w:style>
  <w:style w:type="character" w:customStyle="1" w:styleId="BalloonTextChar">
    <w:name w:val="Balloon Text Char"/>
    <w:basedOn w:val="DefaultParagraphFont"/>
    <w:link w:val="BalloonText"/>
    <w:rsid w:val="00CE4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2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272"/>
    <w:rPr>
      <w:b/>
      <w:color w:val="660033"/>
      <w:spacing w:val="0"/>
    </w:rPr>
  </w:style>
  <w:style w:type="paragraph" w:customStyle="1" w:styleId="Nameditemlist">
    <w:name w:val="Named item list"/>
    <w:basedOn w:val="BodyText"/>
    <w:qFormat/>
    <w:rsid w:val="00CE42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2334</Words>
  <Characters>14435</Characters>
  <Application>Microsoft Office Word</Application>
  <DocSecurity>0</DocSecurity>
  <Lines>544</Lines>
  <Paragraphs>259</Paragraphs>
  <ScaleCrop>false</ScaleCrop>
  <Company>Author-it Software Corporation Ltd.</Company>
  <LinksUpToDate>false</LinksUpToDate>
  <CharactersWithSpaces>16673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UEENEEJ138A Analyse vibration and noise in refrigeration and air conditioning systems</dc:title>
  <dc:subject>Approved</dc:subject>
  <dc:creator>E-OZ Training Standards</dc:creator>
  <cp:keywords>Release: 3</cp:keywords>
  <dc:description>Review Date: 12 April 2008</dc:description>
  <cp:lastModifiedBy>TPCMS</cp:lastModifiedBy>
  <cp:revision>3</cp:revision>
  <dcterms:created xsi:type="dcterms:W3CDTF">2013-08-14T08:04:00Z</dcterms:created>
  <dcterms:modified xsi:type="dcterms:W3CDTF">2013-08-14T08:04:00Z</dcterms:modified>
</cp:coreProperties>
</file>