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AFB" w:rsidP="00754AFB">
      <w:pPr>
        <w:pStyle w:val="Title"/>
      </w:pPr>
      <w:r>
        <w:fldChar w:fldCharType="begin"/>
      </w:r>
      <w:r>
        <w:instrText xml:space="preserve"> TITLE   \* MERGEFORMAT </w:instrText>
      </w:r>
      <w:r>
        <w:fldChar w:fldCharType="separate"/>
      </w:r>
      <w:r>
        <w:t>UEENEEJ133A Design industrial refrigeration systems and select components</w:t>
      </w:r>
      <w:r>
        <w:fldChar w:fldCharType="end"/>
      </w:r>
    </w:p>
    <w:p w:rsidR="00754AFB" w:rsidP="00754AFB">
      <w:pPr>
        <w:pStyle w:val="Version"/>
        <w:sectPr w:rsidSect="00DD16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D1641" w:rsidP="00DD1641">
      <w:pPr>
        <w:pStyle w:val="SuperHeading"/>
      </w:pPr>
      <w:r w:rsidRPr="00DD1641">
        <w:t>UEENEEJ133A Design industrial refrigeration systems and select components</w:t>
      </w:r>
    </w:p>
    <w:p w:rsidR="00000000" w:rsidRPr="00DD1641" w:rsidP="00DD1641">
      <w:pPr>
        <w:pStyle w:val="Heading1"/>
      </w:pPr>
      <w:bookmarkStart w:id="1" w:name="O_589842"/>
      <w:bookmarkEnd w:id="1"/>
      <w:r w:rsidRPr="00DD1641">
        <w:t>Modification History</w:t>
      </w:r>
    </w:p>
    <w:p w:rsidR="00000000" w:rsidRPr="00DD1641" w:rsidP="00DD1641">
      <w:pPr>
        <w:pStyle w:val="BodyText"/>
      </w:pPr>
      <w:r w:rsidRPr="00DD1641">
        <w:t>Not Applicable</w:t>
      </w:r>
    </w:p>
    <w:p w:rsidR="00000000" w:rsidRPr="00DD1641" w:rsidP="00DD1641">
      <w:pPr>
        <w:pStyle w:val="AllowPageBreak"/>
      </w:pPr>
    </w:p>
    <w:p w:rsidR="00000000" w:rsidRPr="00DD1641" w:rsidP="00DD1641">
      <w:pPr>
        <w:pStyle w:val="Heading1"/>
      </w:pPr>
      <w:bookmarkStart w:id="2" w:name="O_589841"/>
      <w:bookmarkEnd w:id="2"/>
      <w:r w:rsidRPr="00DD1641">
        <w:t>Unit Descriptor</w:t>
      </w:r>
    </w:p>
    <w:tbl>
      <w:tblPr>
        <w:tblW w:w="0" w:type="auto"/>
        <w:tblLayout w:type="fixed"/>
        <w:tblCellMar>
          <w:left w:w="62" w:type="dxa"/>
          <w:right w:w="62" w:type="dxa"/>
        </w:tblCellMar>
        <w:tblLook w:val="0000"/>
      </w:tblPr>
      <w:tblGrid>
        <w:gridCol w:w="2700"/>
        <w:gridCol w:w="5760"/>
      </w:tblGrid>
      <w:tr w:rsidTr="00754A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1</w:t>
            </w:r>
            <w:r w:rsidRPr="00DD1641">
              <w:t xml:space="preserve">) </w:t>
            </w:r>
          </w:p>
          <w:p w:rsidR="00000000" w:rsidP="00DD1641">
            <w:pPr>
              <w:pStyle w:val="BodyText"/>
              <w:rPr>
                <w:lang w:val="en-NZ"/>
              </w:rPr>
            </w:pPr>
            <w:r w:rsidRPr="00DD1641">
              <w:rPr>
                <w:rStyle w:val="SpecialBold"/>
              </w:rPr>
              <w:t>1</w:t>
            </w:r>
            <w:r w:rsidRPr="00DD1641">
              <w:t>.</w:t>
            </w:r>
            <w:r w:rsidRPr="00DD1641">
              <w:rPr>
                <w:rStyle w:val="SpecialBold"/>
              </w:rPr>
              <w:t>1</w:t>
            </w:r>
            <w:r w:rsidRPr="00DD1641">
              <w:t xml:space="preserve">) </w:t>
            </w:r>
            <w:r w:rsidRPr="00DD1641">
              <w:rPr>
                <w:rStyle w:val="SpecialBold"/>
              </w:rPr>
              <w:t>Descriptor</w:t>
            </w:r>
          </w:p>
        </w:tc>
      </w:tr>
      <w:tr w:rsidTr="00754A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t>This unit covers the design of industrial refrigeration systems. It encompasses applying knowledge of refrigeration and food storage technology, industrial refrigeration system components and piping, safety and regulatory requirements, following design spe</w:t>
            </w:r>
            <w:r w:rsidRPr="00DD1641">
              <w:t>cifications and customer requirements and documenting system designs.</w:t>
            </w:r>
          </w:p>
        </w:tc>
      </w:tr>
    </w:tbl>
    <w:p w:rsidR="00754AFB" w:rsidP="00DD1641">
      <w:pPr>
        <w:pStyle w:val="BodyText"/>
      </w:pPr>
    </w:p>
    <w:p w:rsidR="00754AFB" w:rsidP="00DD1641">
      <w:pPr>
        <w:pStyle w:val="BodyText"/>
      </w:pPr>
    </w:p>
    <w:p w:rsidR="00000000" w:rsidRPr="00DD1641" w:rsidP="00DD1641">
      <w:pPr>
        <w:pStyle w:val="Heading1"/>
      </w:pPr>
      <w:bookmarkStart w:id="3" w:name="O_589840"/>
      <w:bookmarkEnd w:id="3"/>
      <w:r w:rsidRPr="00DD1641">
        <w:t>Application of the Unit</w:t>
      </w:r>
    </w:p>
    <w:tbl>
      <w:tblPr>
        <w:tblW w:w="0" w:type="auto"/>
        <w:tblLayout w:type="fixed"/>
        <w:tblCellMar>
          <w:left w:w="62" w:type="dxa"/>
          <w:right w:w="62" w:type="dxa"/>
        </w:tblCellMar>
        <w:tblLook w:val="0000"/>
      </w:tblPr>
      <w:tblGrid>
        <w:gridCol w:w="2700"/>
        <w:gridCol w:w="5760"/>
      </w:tblGrid>
      <w:tr w:rsidTr="00754A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rPr>
                <w:rStyle w:val="SpecialBold"/>
              </w:rPr>
              <w:t>4</w:t>
            </w:r>
            <w:r w:rsidRPr="00DD1641">
              <w:t>)</w:t>
            </w:r>
          </w:p>
        </w:tc>
      </w:tr>
      <w:tr w:rsidTr="00754A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t>This unit is intended as an additional competency to relevant competencies previously acquired. It is suitable for employment-based programs under an approved contract of training or institutional based delivery at the aligned AQF 5 level.</w:t>
            </w:r>
          </w:p>
        </w:tc>
      </w:tr>
    </w:tbl>
    <w:p w:rsidR="00754AFB" w:rsidP="00DD1641">
      <w:pPr>
        <w:pStyle w:val="BodyText"/>
      </w:pPr>
    </w:p>
    <w:p w:rsidR="00754AFB" w:rsidP="00DD1641">
      <w:pPr>
        <w:pStyle w:val="BodyText"/>
      </w:pPr>
    </w:p>
    <w:p w:rsidR="00000000" w:rsidRPr="00DD1641" w:rsidP="00DD1641">
      <w:pPr>
        <w:pStyle w:val="Heading1"/>
      </w:pPr>
      <w:bookmarkStart w:id="4" w:name="O_589839"/>
      <w:bookmarkEnd w:id="4"/>
      <w:r w:rsidRPr="00DD1641">
        <w:t>Licensing/Regulatory Information</w:t>
      </w:r>
    </w:p>
    <w:tbl>
      <w:tblPr>
        <w:tblW w:w="0" w:type="auto"/>
        <w:tblLayout w:type="fixed"/>
        <w:tblCellMar>
          <w:left w:w="62" w:type="dxa"/>
          <w:right w:w="62" w:type="dxa"/>
        </w:tblCellMar>
        <w:tblLook w:val="0000"/>
      </w:tblPr>
      <w:tblGrid>
        <w:gridCol w:w="8460"/>
      </w:tblGrid>
      <w:tr w:rsidTr="00754A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rPr>
                <w:rStyle w:val="SpecialBold"/>
              </w:rPr>
              <w:t>1</w:t>
            </w:r>
            <w:r w:rsidRPr="00DD1641">
              <w:t>.</w:t>
            </w:r>
            <w:r w:rsidRPr="00DD1641">
              <w:rPr>
                <w:rStyle w:val="SpecialBold"/>
              </w:rPr>
              <w:t>2</w:t>
            </w:r>
            <w:r w:rsidRPr="00DD1641">
              <w:t xml:space="preserve">) </w:t>
            </w:r>
            <w:r w:rsidRPr="00DD1641">
              <w:rPr>
                <w:rStyle w:val="SpecialBold"/>
              </w:rPr>
              <w:t>License to practice</w:t>
            </w:r>
          </w:p>
        </w:tc>
      </w:tr>
      <w:tr w:rsidTr="00754A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t xml:space="preserve">The skills and knowledge described in this unit do not require a license to practice in the work place. However practice in this unit is subject </w:t>
            </w:r>
            <w:r w:rsidRPr="00DD1641">
              <w:t>to regulations directly related to occupational health and safe and contracts of training such as new apprenticeships.</w:t>
            </w:r>
          </w:p>
        </w:tc>
      </w:tr>
    </w:tbl>
    <w:p w:rsidR="00754AFB" w:rsidP="00DD1641">
      <w:pPr>
        <w:pStyle w:val="BodyText"/>
      </w:pPr>
    </w:p>
    <w:p w:rsidR="00754AFB" w:rsidP="00DD1641">
      <w:pPr>
        <w:pStyle w:val="BodyText"/>
      </w:pPr>
    </w:p>
    <w:p w:rsidR="00000000" w:rsidRPr="00DD1641" w:rsidP="00DD1641">
      <w:pPr>
        <w:pStyle w:val="Heading1"/>
      </w:pPr>
      <w:bookmarkStart w:id="5" w:name="O_589838"/>
      <w:bookmarkEnd w:id="5"/>
      <w:r w:rsidRPr="00DD1641">
        <w:t>Pre-Requisites</w:t>
      </w:r>
    </w:p>
    <w:tbl>
      <w:tblPr>
        <w:tblW w:w="0" w:type="auto"/>
        <w:tblLayout w:type="fixed"/>
        <w:tblCellMar>
          <w:left w:w="62" w:type="dxa"/>
          <w:right w:w="62" w:type="dxa"/>
        </w:tblCellMar>
        <w:tblLook w:val="0000"/>
      </w:tblPr>
      <w:tblGrid>
        <w:gridCol w:w="2700"/>
        <w:gridCol w:w="5760"/>
      </w:tblGrid>
      <w:tr w:rsidTr="00754A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Prerequisite Unit</w:t>
            </w:r>
            <w:r w:rsidRPr="00DD1641">
              <w:t>(</w:t>
            </w:r>
            <w:r w:rsidRPr="00DD1641">
              <w:rPr>
                <w:rStyle w:val="SpecialBold"/>
              </w:rPr>
              <w:t>s</w:t>
            </w:r>
            <w:r w:rsidRPr="00DD1641">
              <w:t>)</w:t>
            </w:r>
          </w:p>
        </w:tc>
        <w:tc>
          <w:tcPr>
            <w:tcW w:w="576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rPr>
                <w:rStyle w:val="SpecialBold"/>
              </w:rPr>
              <w:t>2</w:t>
            </w:r>
            <w:r w:rsidRPr="00DD1641">
              <w:t xml:space="preserve">) </w:t>
            </w:r>
          </w:p>
        </w:tc>
      </w:tr>
      <w:tr w:rsidTr="00754A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D164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rPr>
                <w:rStyle w:val="SpecialBold"/>
              </w:rPr>
              <w:t>2</w:t>
            </w:r>
            <w:r w:rsidRPr="00DD1641">
              <w:t>.</w:t>
            </w:r>
            <w:r w:rsidRPr="00DD1641">
              <w:rPr>
                <w:rStyle w:val="SpecialBold"/>
              </w:rPr>
              <w:t>1</w:t>
            </w:r>
            <w:r w:rsidRPr="00DD1641">
              <w:t xml:space="preserve">) </w:t>
            </w:r>
            <w:r w:rsidRPr="00DD1641">
              <w:rPr>
                <w:rStyle w:val="SpecialBold"/>
              </w:rPr>
              <w:t>Competencies</w:t>
            </w:r>
          </w:p>
        </w:tc>
      </w:tr>
      <w:tr w:rsidTr="00754A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t>Granting competency in this unit shall be made only after competency in the following unit(s) has/have been confirmed.</w:t>
            </w:r>
          </w:p>
          <w:p w:rsidR="00000000" w:rsidRPr="00DD1641" w:rsidP="00DD1641">
            <w:pPr>
              <w:pStyle w:val="BodyText"/>
            </w:pPr>
            <w:r w:rsidRPr="00DD1641">
              <w:t>UEENEEJ132A Design commercial refrigeration systems and select components</w:t>
            </w:r>
          </w:p>
          <w:p w:rsidR="00000000" w:rsidRPr="00DD1641" w:rsidP="00DD1641">
            <w:pPr>
              <w:pStyle w:val="BodyText"/>
            </w:pPr>
            <w:r w:rsidRPr="00DD1641">
              <w:t>UEENEEJ165A Evaluate thermodynamic and fluid parameters of refr</w:t>
            </w:r>
            <w:r w:rsidRPr="00DD1641">
              <w:t>igeration systems</w:t>
            </w:r>
          </w:p>
          <w:p w:rsidR="00000000" w:rsidRPr="00DD1641" w:rsidP="00DD1641">
            <w:pPr>
              <w:pStyle w:val="BodyText"/>
            </w:pPr>
            <w:r w:rsidRPr="00DD1641">
              <w:t>UEENEEJ127A Establish the thermodynamic parameters of refrigeration and air conditioning systems</w:t>
            </w:r>
          </w:p>
          <w:p w:rsidR="00000000" w:rsidRPr="00DD1641" w:rsidP="00DD1641">
            <w:pPr>
              <w:pStyle w:val="BodyText"/>
            </w:pPr>
            <w:r w:rsidRPr="00DD1641">
              <w:t>UEENEEJ164A Analyse the operation of HVAC air and hydronic systems</w:t>
            </w:r>
          </w:p>
          <w:p w:rsidR="00000000" w:rsidRPr="00DD1641" w:rsidP="00DD1641">
            <w:pPr>
              <w:pStyle w:val="BodyText"/>
            </w:pPr>
            <w:r w:rsidRPr="00DD1641">
              <w:t>UEENEEJ192A Analyse the psychrometric performance of HVAC/R systems</w:t>
            </w:r>
          </w:p>
          <w:p w:rsidR="00000000" w:rsidRPr="00DD1641" w:rsidP="00DD1641">
            <w:pPr>
              <w:pStyle w:val="BodyText"/>
            </w:pPr>
            <w:r w:rsidRPr="00DD1641">
              <w:t xml:space="preserve">and </w:t>
            </w:r>
          </w:p>
          <w:p w:rsidR="00000000" w:rsidRPr="00DD1641" w:rsidP="00DD1641">
            <w:pPr>
              <w:pStyle w:val="BodyText"/>
            </w:pPr>
            <w:r w:rsidRPr="00DD1641">
              <w:t>U</w:t>
            </w:r>
            <w:r w:rsidRPr="00DD1641">
              <w:t>EENEEJ193A  Analyse the thermodynamic performance of HVAC/R systems</w:t>
            </w:r>
          </w:p>
          <w:p w:rsidR="00000000" w:rsidRPr="00DD1641" w:rsidP="00DD1641">
            <w:pPr>
              <w:pStyle w:val="BodyText"/>
            </w:pPr>
            <w:r w:rsidRPr="00DD1641">
              <w:t xml:space="preserve">or </w:t>
            </w:r>
          </w:p>
          <w:p w:rsidR="00000000" w:rsidRPr="00DD1641" w:rsidP="00DD1641">
            <w:pPr>
              <w:pStyle w:val="BodyText"/>
            </w:pPr>
            <w:r w:rsidRPr="00DD1641">
              <w:t>UEENEEJ109A Verify functionality and compliance of refrigeration and air conditioning installations</w:t>
            </w:r>
          </w:p>
          <w:p w:rsidR="00000000" w:rsidRPr="00DD1641" w:rsidP="00DD1641">
            <w:pPr>
              <w:pStyle w:val="BodyText"/>
            </w:pPr>
            <w:r w:rsidRPr="00DD1641">
              <w:t>UEENEEE101A Apply Occupational Health and Safety regulations, codes and practices in</w:t>
            </w:r>
            <w:r w:rsidRPr="00DD1641">
              <w:t xml:space="preserve"> the workplace</w:t>
            </w:r>
          </w:p>
          <w:p w:rsidR="00000000" w:rsidRPr="00DD1641" w:rsidP="00DD1641">
            <w:pPr>
              <w:pStyle w:val="BodyText"/>
            </w:pPr>
            <w:r w:rsidRPr="00DD1641">
              <w:t>UEENEEE102A Fabricate, assemble and dismantle utilities industry components</w:t>
            </w:r>
          </w:p>
          <w:p w:rsidR="00000000" w:rsidRPr="00DD1641" w:rsidP="00DD1641">
            <w:pPr>
              <w:pStyle w:val="BodyText"/>
            </w:pPr>
            <w:r w:rsidRPr="00DD1641">
              <w:t>UEENEEE003B Solve problems in extra-low voltage single path circuits</w:t>
            </w:r>
          </w:p>
          <w:p w:rsidR="00000000" w:rsidRPr="00DD1641" w:rsidP="00DD1641">
            <w:pPr>
              <w:pStyle w:val="BodyText"/>
            </w:pPr>
            <w:r w:rsidRPr="00DD1641">
              <w:t>UEENEEE105A Fix and secure electrotechnology equipment</w:t>
            </w:r>
          </w:p>
          <w:p w:rsidR="00000000" w:rsidRPr="00DD1641" w:rsidP="00DD1641">
            <w:pPr>
              <w:pStyle w:val="BodyText"/>
            </w:pPr>
            <w:r w:rsidRPr="00DD1641">
              <w:t>UEENEEE107A Use drawings, diagrams, sched</w:t>
            </w:r>
            <w:r w:rsidRPr="00DD1641">
              <w:t>ules, standards, codes and specifications</w:t>
            </w:r>
          </w:p>
          <w:p w:rsidR="00000000" w:rsidRPr="00DD1641" w:rsidP="00DD1641">
            <w:pPr>
              <w:pStyle w:val="BodyText"/>
            </w:pPr>
            <w:r w:rsidRPr="00DD1641">
              <w:t>UEENEEE137A Document and apply measures to control OHS risks associated with electrotechnology work</w:t>
            </w:r>
          </w:p>
          <w:p w:rsidR="00000000" w:rsidRPr="00DD1641" w:rsidP="00DD1641">
            <w:pPr>
              <w:pStyle w:val="BodyText"/>
            </w:pPr>
            <w:r w:rsidRPr="00DD1641">
              <w:t>UEENEEJ102A Prepare and connect refrigerant tubing and fittings</w:t>
            </w:r>
          </w:p>
          <w:p w:rsidR="00000000" w:rsidRPr="00DD1641" w:rsidP="00DD1641">
            <w:pPr>
              <w:pStyle w:val="BodyText"/>
            </w:pPr>
            <w:r w:rsidRPr="00DD1641">
              <w:t>UEENEEJ103A Establish the basic operating conditio</w:t>
            </w:r>
            <w:r w:rsidRPr="00DD1641">
              <w:t>ns of vapour compression systems</w:t>
            </w:r>
          </w:p>
          <w:p w:rsidR="00000000" w:rsidRPr="00DD1641" w:rsidP="00DD1641">
            <w:pPr>
              <w:pStyle w:val="BodyText"/>
            </w:pPr>
            <w:r w:rsidRPr="00DD1641">
              <w:t>UEENEEJ104A Establish the basic operating conditions of air conditioning systems</w:t>
            </w:r>
          </w:p>
          <w:p w:rsidR="00000000" w:rsidRPr="00DD1641" w:rsidP="00DD1641">
            <w:pPr>
              <w:pStyle w:val="BodyText"/>
            </w:pPr>
            <w:r w:rsidRPr="00DD1641">
              <w:t>UEENEEJ106A Install refrigerant pipe work, flow controls and accessories</w:t>
            </w:r>
          </w:p>
          <w:p w:rsidR="00000000" w:rsidRPr="00DD1641" w:rsidP="00DD1641">
            <w:pPr>
              <w:pStyle w:val="BodyText"/>
            </w:pPr>
            <w:r w:rsidRPr="00DD1641">
              <w:t>UEENEEJ107A Install air conditioning and refrigeration systems, major components and associated equipment</w:t>
            </w:r>
          </w:p>
          <w:p w:rsidR="00000000" w:rsidRPr="00DD1641" w:rsidP="00DD1641">
            <w:pPr>
              <w:pStyle w:val="BodyText"/>
            </w:pPr>
            <w:r w:rsidRPr="00DD1641">
              <w:t>UEENEEJ108A Recover, pressure test, evacuate, charge and leak test refrigerants</w:t>
            </w:r>
          </w:p>
          <w:p w:rsidR="00000000" w:rsidRPr="00DD1641" w:rsidP="00DD1641">
            <w:pPr>
              <w:pStyle w:val="BodyText"/>
            </w:pPr>
            <w:r w:rsidRPr="00DD1641">
              <w:t>UEENEEJ110A Select refrigerant piping, accessories and associated cont</w:t>
            </w:r>
            <w:r w:rsidRPr="00DD1641">
              <w:t>rols</w:t>
            </w:r>
          </w:p>
          <w:p w:rsidR="00000000" w:rsidRPr="00DD1641" w:rsidP="00DD1641">
            <w:pPr>
              <w:pStyle w:val="BodyText"/>
            </w:pPr>
            <w:r w:rsidRPr="00DD1641">
              <w:t>UEENEEJ111A Diagnose and rectify faults in air conditioning and refrigeration systems and components</w:t>
            </w:r>
          </w:p>
          <w:p w:rsidR="00000000" w:rsidRPr="00DD1641" w:rsidP="00DD1641">
            <w:pPr>
              <w:pStyle w:val="BodyText"/>
            </w:pPr>
            <w:r w:rsidRPr="00DD1641">
              <w:t>UEENEEJ113A Commission air conditioning and refrigeration systems</w:t>
            </w:r>
          </w:p>
          <w:p w:rsidR="00000000" w:rsidRPr="00DD1641" w:rsidP="00DD1641">
            <w:pPr>
              <w:pStyle w:val="BodyText"/>
            </w:pPr>
            <w:r w:rsidRPr="00DD1641">
              <w:t xml:space="preserve">UEENEEJ153A Find and rectify faults motors and associated controls in refrigeration </w:t>
            </w:r>
            <w:r w:rsidRPr="00DD1641">
              <w:t>and air conditioning systems</w:t>
            </w:r>
          </w:p>
          <w:p w:rsidR="00000000" w:rsidRPr="00DD1641" w:rsidP="00DD1641">
            <w:pPr>
              <w:pStyle w:val="BodyText"/>
            </w:pPr>
            <w:r w:rsidRPr="00DD1641">
              <w:t>UEENEEJ170A Diagnose and rectify faults in air conditioning and refrigeration control systems</w:t>
            </w:r>
          </w:p>
          <w:p w:rsidR="00000000" w:rsidRPr="00DD1641" w:rsidP="00DD1641">
            <w:pPr>
              <w:pStyle w:val="BodyText"/>
            </w:pPr>
            <w:r w:rsidRPr="00DD1641">
              <w:t>UEENEEJ194A Solve problems in low voltage refrigeration circuits</w:t>
            </w:r>
          </w:p>
          <w:p w:rsidR="00000000" w:rsidRPr="00DD1641" w:rsidP="00DD1641">
            <w:pPr>
              <w:pStyle w:val="BodyText"/>
            </w:pPr>
            <w:r w:rsidRPr="00DD1641">
              <w:t>UEENEEP012A Disconnect / reconnect composite appliances connected to</w:t>
            </w:r>
            <w:r w:rsidRPr="00DD1641">
              <w:t xml:space="preserve"> low voltage installation wiring</w:t>
            </w:r>
          </w:p>
          <w:p w:rsidR="00000000" w:rsidRPr="00DD1641" w:rsidP="00DD1641">
            <w:pPr>
              <w:pStyle w:val="BodyText"/>
            </w:pPr>
            <w:r w:rsidRPr="00DD1641">
              <w:t>UEENEEP017A Locate and rectify faults in low voltage composite appliances using set procedures</w:t>
            </w:r>
          </w:p>
          <w:p w:rsidR="00000000" w:rsidRPr="00DD1641" w:rsidP="00DD1641">
            <w:pPr>
              <w:pStyle w:val="BodyText"/>
            </w:pPr>
            <w:r w:rsidRPr="00DD1641">
              <w:t>UEENEEP024A Attach cords and plugs to electrical equipment for connection to a single phase 230 Volt supply</w:t>
            </w:r>
          </w:p>
          <w:p w:rsidR="00000000" w:rsidRPr="00DD1641" w:rsidP="00DD1641">
            <w:pPr>
              <w:pStyle w:val="BodyText"/>
            </w:pPr>
            <w:r w:rsidRPr="00DD1641">
              <w:t>UEENEEP025A Attach c</w:t>
            </w:r>
            <w:r w:rsidRPr="00DD1641">
              <w:t>ords, cables and plugs to electrical equipment for connection to 1000 Va.c. or 1500 Vd.c. supply</w:t>
            </w:r>
          </w:p>
        </w:tc>
      </w:tr>
    </w:tbl>
    <w:p w:rsidR="00754AFB" w:rsidP="00DD1641">
      <w:pPr>
        <w:pStyle w:val="BodyText"/>
      </w:pPr>
    </w:p>
    <w:p w:rsidR="00754AFB" w:rsidP="00DD1641">
      <w:pPr>
        <w:pStyle w:val="BodyText"/>
      </w:pPr>
    </w:p>
    <w:p w:rsidR="00000000" w:rsidRPr="00DD1641" w:rsidP="00DD1641">
      <w:pPr>
        <w:pStyle w:val="Heading1"/>
      </w:pPr>
      <w:bookmarkStart w:id="6" w:name="O_589837"/>
      <w:bookmarkEnd w:id="6"/>
      <w:r w:rsidRPr="00DD1641">
        <w:t>Employability Skills Information</w:t>
      </w:r>
    </w:p>
    <w:tbl>
      <w:tblPr>
        <w:tblW w:w="0" w:type="auto"/>
        <w:tblLayout w:type="fixed"/>
        <w:tblCellMar>
          <w:left w:w="62" w:type="dxa"/>
          <w:right w:w="62" w:type="dxa"/>
        </w:tblCellMar>
        <w:tblLook w:val="0000"/>
      </w:tblPr>
      <w:tblGrid>
        <w:gridCol w:w="2700"/>
        <w:gridCol w:w="5760"/>
      </w:tblGrid>
      <w:tr w:rsidTr="00754A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3</w:t>
            </w:r>
            <w:r w:rsidRPr="00DD1641">
              <w:t>)</w:t>
            </w:r>
          </w:p>
          <w:p w:rsidR="00000000" w:rsidRPr="00DD1641" w:rsidP="00DD1641">
            <w:pPr>
              <w:pStyle w:val="BodyText"/>
            </w:pPr>
            <w:r w:rsidRPr="00DD1641">
              <w:t>This unit contains Employability Skills</w:t>
            </w:r>
          </w:p>
          <w:p w:rsidR="00000000" w:rsidRPr="00DD1641" w:rsidP="00DD1641">
            <w:pPr>
              <w:pStyle w:val="BodyText"/>
            </w:pPr>
            <w:r w:rsidRPr="00DD164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D1641">
              <w:t>requirements.</w:t>
            </w:r>
          </w:p>
        </w:tc>
      </w:tr>
    </w:tbl>
    <w:p w:rsidR="00754AFB" w:rsidP="00DD1641">
      <w:pPr>
        <w:pStyle w:val="BodyText"/>
      </w:pPr>
    </w:p>
    <w:p w:rsidR="00754AFB" w:rsidP="00DD1641">
      <w:pPr>
        <w:pStyle w:val="BodyText"/>
      </w:pPr>
    </w:p>
    <w:p w:rsidR="00000000" w:rsidRPr="00DD1641" w:rsidP="00DD1641">
      <w:pPr>
        <w:pStyle w:val="Heading1"/>
      </w:pPr>
      <w:bookmarkStart w:id="7" w:name="O_589836"/>
      <w:bookmarkEnd w:id="7"/>
      <w:r w:rsidRPr="00DD1641">
        <w:t>Elements and Performance Criteria Pre-Content</w:t>
      </w:r>
    </w:p>
    <w:tbl>
      <w:tblPr>
        <w:tblW w:w="0" w:type="auto"/>
        <w:tblLayout w:type="fixed"/>
        <w:tblCellMar>
          <w:left w:w="62" w:type="dxa"/>
          <w:right w:w="62" w:type="dxa"/>
        </w:tblCellMar>
        <w:tblLook w:val="0000"/>
      </w:tblPr>
      <w:tblGrid>
        <w:gridCol w:w="2268"/>
        <w:gridCol w:w="6381"/>
      </w:tblGrid>
      <w:tr w:rsidTr="00754AF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rPr>
                <w:rStyle w:val="SpecialBold"/>
              </w:rPr>
              <w:t>6</w:t>
            </w:r>
            <w:r w:rsidRPr="00DD1641">
              <w:t>) Elements describe the essential outcomes of a unit</w:t>
            </w:r>
          </w:p>
        </w:tc>
        <w:tc>
          <w:tcPr>
            <w:tcW w:w="6381"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t>Performance criteria describe the required performance needed to demonstrate achievement of the element. Assessment of per</w:t>
            </w:r>
            <w:r w:rsidRPr="00DD1641">
              <w:t>formance is to be consistent with the evidence guide.</w:t>
            </w:r>
          </w:p>
        </w:tc>
      </w:tr>
    </w:tbl>
    <w:p w:rsidR="00000000" w:rsidRPr="00DD1641" w:rsidP="00DD1641">
      <w:pPr>
        <w:pStyle w:val="BodyText"/>
      </w:pPr>
    </w:p>
    <w:p w:rsidR="00000000" w:rsidRPr="00DD1641" w:rsidP="00DD1641">
      <w:pPr>
        <w:pStyle w:val="AllowPageBreak"/>
      </w:pPr>
    </w:p>
    <w:p w:rsidR="00000000" w:rsidRPr="00DD1641" w:rsidP="00DD1641">
      <w:pPr>
        <w:pStyle w:val="Heading1"/>
      </w:pPr>
      <w:bookmarkStart w:id="8" w:name="O_589835"/>
      <w:bookmarkEnd w:id="8"/>
      <w:r w:rsidRPr="00DD1641">
        <w:t>Elements and Performance Criteria</w:t>
      </w:r>
    </w:p>
    <w:tbl>
      <w:tblPr>
        <w:tblW w:w="0" w:type="auto"/>
        <w:tblLayout w:type="fixed"/>
        <w:tblCellMar>
          <w:left w:w="62" w:type="dxa"/>
          <w:right w:w="62" w:type="dxa"/>
        </w:tblCellMar>
        <w:tblLook w:val="0000"/>
      </w:tblPr>
      <w:tblGrid>
        <w:gridCol w:w="540"/>
        <w:gridCol w:w="1728"/>
        <w:gridCol w:w="900"/>
        <w:gridCol w:w="5481"/>
      </w:tblGrid>
      <w:tr w:rsidTr="00754AFB">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ELEMENT</w:t>
            </w:r>
          </w:p>
        </w:tc>
        <w:tc>
          <w:tcPr>
            <w:tcW w:w="6381" w:type="dxa"/>
            <w:gridSpan w:val="2"/>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rPr>
                <w:rStyle w:val="SpecialBold"/>
              </w:rPr>
              <w:t>PERFORMANCE CRITERIA</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1</w:t>
            </w:r>
          </w:p>
        </w:tc>
        <w:tc>
          <w:tcPr>
            <w:tcW w:w="1728" w:type="dxa"/>
            <w:vMerge w:val="restart"/>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Prepare to design industrial refrigeration systems.</w:t>
            </w: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1.1</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OHS processes and procedures for a given work area are identified, obtained and understood</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1.2</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The extent and nature of the refrigeration system is determined from design specifications.</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1.3</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Safety and other regulatory requirements to which the system shall comply are identified, obtained and understood</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1.4</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Work supervisor or customers are consulted to determine which functions of the system are to be use and the parameter of each and writt</w:t>
            </w:r>
            <w:r w:rsidRPr="00DD1641">
              <w:t>en confirmation sought.</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1.5</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Design development work is planned to meet scheduled timelines in consultation with others involved on the work site.</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2</w:t>
            </w:r>
          </w:p>
        </w:tc>
        <w:tc>
          <w:tcPr>
            <w:tcW w:w="1728" w:type="dxa"/>
            <w:vMerge w:val="restart"/>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 xml:space="preserve">Design industrial refrigeration systems. </w:t>
            </w: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2.1</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Established OHS risk control measures and procedures</w:t>
            </w:r>
            <w:r w:rsidRPr="00DD1641">
              <w:t xml:space="preserve"> for carrying out the work are followed.</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2.2</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Knowledge of refrigeration and food storage technology, refrigeration system components and piping, performance standards and compliance methods are applied to developing the system design</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2.3</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Safety, functional and budgetary considerations are incorporated in the installation design.</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2.4</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Equipment required for the system is selected in accordance with the design specifications and established requirements.</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2.5</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Location of components of th</w:t>
            </w:r>
            <w:r w:rsidRPr="00DD1641">
              <w:t>e system is documented to ensure correct operation of system functions.</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2.6</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System design draft is checked for compliance with the design brief and regulatory requirements.</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2.7</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System design is documented for submission to appropriate person(s) for approval.</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2.8</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Solutions to unplanned situation are provided consistent with organisation's policy.</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3</w:t>
            </w:r>
          </w:p>
        </w:tc>
        <w:tc>
          <w:tcPr>
            <w:tcW w:w="1728" w:type="dxa"/>
            <w:vMerge w:val="restart"/>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Obtain approval for engineering computer applications design</w:t>
            </w: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3.1</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 xml:space="preserve">System design </w:t>
            </w:r>
            <w:r w:rsidRPr="00DD1641">
              <w:t xml:space="preserve">is presented and explained to client representative and/or other relevant person(s). </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3.2</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 xml:space="preserve">Requests for alterations to the design are negotiated with relevant person(s) within the constraints of organisation's policy. </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3.3</w:t>
            </w:r>
          </w:p>
        </w:tc>
        <w:tc>
          <w:tcPr>
            <w:tcW w:w="548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Final design is documented and approval obtained from appropriate person(s).</w:t>
            </w:r>
          </w:p>
        </w:tc>
      </w:tr>
      <w:tr w:rsidTr="00754AF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3.4</w:t>
            </w:r>
          </w:p>
        </w:tc>
        <w:tc>
          <w:tcPr>
            <w:tcW w:w="5481"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t>Quality of work is monitored against personal performance agreement and/or established organizational or professional standards.</w:t>
            </w:r>
          </w:p>
        </w:tc>
      </w:tr>
    </w:tbl>
    <w:p w:rsidR="00754AFB" w:rsidP="00DD1641">
      <w:pPr>
        <w:pStyle w:val="BodyText"/>
      </w:pPr>
    </w:p>
    <w:p w:rsidR="00754AFB" w:rsidP="00DD1641">
      <w:pPr>
        <w:pStyle w:val="BodyText"/>
      </w:pPr>
    </w:p>
    <w:p w:rsidR="00000000" w:rsidRPr="00DD1641" w:rsidP="00DD1641">
      <w:pPr>
        <w:pStyle w:val="Heading1"/>
      </w:pPr>
      <w:bookmarkStart w:id="9" w:name="O_589834"/>
      <w:bookmarkEnd w:id="9"/>
      <w:r w:rsidRPr="00DD1641">
        <w:t>Required Skills and Knowledge</w:t>
      </w:r>
    </w:p>
    <w:tbl>
      <w:tblPr>
        <w:tblW w:w="0" w:type="auto"/>
        <w:tblLayout w:type="fixed"/>
        <w:tblCellMar>
          <w:left w:w="62" w:type="dxa"/>
          <w:right w:w="62" w:type="dxa"/>
        </w:tblCellMar>
        <w:tblLook w:val="0000"/>
      </w:tblPr>
      <w:tblGrid>
        <w:gridCol w:w="8649"/>
      </w:tblGrid>
      <w:tr w:rsidTr="00754AFB">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rPr>
                <w:rStyle w:val="SpecialBold"/>
              </w:rPr>
              <w:t>REQUIRED SKILLS AND KNOWLEDGE</w:t>
            </w:r>
          </w:p>
        </w:tc>
      </w:tr>
      <w:tr w:rsidTr="00754AFB">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rPr>
                <w:rStyle w:val="SpecialBold"/>
              </w:rPr>
              <w:t xml:space="preserve">7) </w:t>
            </w:r>
            <w:r w:rsidRPr="00DD1641">
              <w:t>This describes the essential skills and knowledge and their level, required for this unit.</w:t>
            </w:r>
          </w:p>
        </w:tc>
      </w:tr>
      <w:tr w:rsidTr="00754AFB">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t xml:space="preserve">Evidence shall show that knowledge has been acquired of safe working practices and designing industrial refrigeration systems. </w:t>
            </w:r>
          </w:p>
          <w:p w:rsidR="00000000" w:rsidRPr="00DD1641" w:rsidP="00DD1641">
            <w:pPr>
              <w:pStyle w:val="BodyText"/>
            </w:pPr>
            <w:r w:rsidRPr="00DD1641">
              <w:t>All knowledge and skills detailed in this unit should be contextualised to current industry practices and technologies.</w:t>
            </w:r>
          </w:p>
          <w:p w:rsidR="00000000" w:rsidRPr="00DD1641" w:rsidP="00DD1641">
            <w:pPr>
              <w:pStyle w:val="BodyText"/>
            </w:pPr>
            <w:r w:rsidRPr="00DD1641">
              <w:rPr>
                <w:rStyle w:val="SpecialBold"/>
              </w:rPr>
              <w:t>KS01-EJ1</w:t>
            </w:r>
            <w:r w:rsidRPr="00DD1641">
              <w:rPr>
                <w:rStyle w:val="SpecialBold"/>
              </w:rPr>
              <w:t>33A</w:t>
            </w:r>
            <w:r w:rsidRPr="00DD1641">
              <w:rPr>
                <w:rStyle w:val="SpecialBold"/>
              </w:rPr>
              <w:tab/>
              <w:t xml:space="preserve">               Industrial refrigeration systems design and component selection</w:t>
            </w:r>
          </w:p>
          <w:p w:rsidR="00000000" w:rsidRPr="00DD1641" w:rsidP="00DD1641">
            <w:pPr>
              <w:pStyle w:val="BodyText"/>
            </w:pPr>
            <w:r w:rsidRPr="00DD1641">
              <w:t>Evidence shall show an understanding of industrial refrigeration systems design fundamentals, applying safe working practices and relevant Standards, Codes and Regulations t</w:t>
            </w:r>
            <w:r w:rsidRPr="00DD1641">
              <w:t>o an extent indicated by the following aspects:</w:t>
            </w:r>
          </w:p>
          <w:p w:rsidR="00000000" w:rsidRPr="00DD1641" w:rsidP="00DD1641">
            <w:pPr>
              <w:pStyle w:val="BodyText"/>
            </w:pPr>
            <w:r w:rsidRPr="00DD1641">
              <w:t>T1           Relevant Standards, Regulations and industry practices</w:t>
            </w:r>
          </w:p>
          <w:p w:rsidR="00000000" w:rsidRPr="00DD1641" w:rsidP="00DD1641">
            <w:pPr>
              <w:pStyle w:val="ListBullet"/>
            </w:pPr>
            <w:r w:rsidRPr="00DD1641">
              <w:t>AS1677, detailed understanding</w:t>
            </w:r>
          </w:p>
          <w:p w:rsidR="00000000" w:rsidRPr="00DD1641" w:rsidP="00DD1641">
            <w:pPr>
              <w:pStyle w:val="ListBullet"/>
            </w:pPr>
            <w:r w:rsidRPr="00DD1641">
              <w:t>AS 3666, overview</w:t>
            </w:r>
          </w:p>
          <w:p w:rsidR="00000000" w:rsidRPr="00DD1641" w:rsidP="00DD1641">
            <w:pPr>
              <w:pStyle w:val="ListBullet"/>
            </w:pPr>
            <w:r w:rsidRPr="00DD1641">
              <w:t>ozone protection regulations</w:t>
            </w:r>
          </w:p>
          <w:p w:rsidR="00000000" w:rsidRPr="00DD1641" w:rsidP="00DD1641">
            <w:pPr>
              <w:pStyle w:val="ListBullet"/>
            </w:pPr>
            <w:r w:rsidRPr="00DD1641">
              <w:t>IIAR Ammonia Data Book</w:t>
            </w:r>
          </w:p>
          <w:p w:rsidR="00000000" w:rsidRPr="00DD1641" w:rsidP="00DD1641">
            <w:pPr>
              <w:pStyle w:val="ListBullet"/>
            </w:pPr>
            <w:r w:rsidRPr="00DD1641">
              <w:t>ANSI/IIAR standards</w:t>
            </w:r>
          </w:p>
          <w:p w:rsidR="00000000" w:rsidRPr="00DD1641" w:rsidP="00DD1641">
            <w:pPr>
              <w:pStyle w:val="ListBullet"/>
            </w:pPr>
            <w:r w:rsidRPr="00DD1641">
              <w:t>ANSI/ASHRAE Mechan</w:t>
            </w:r>
            <w:r w:rsidRPr="00DD1641">
              <w:t>ical Refrigeration &amp; IIAR bulletins and standards (list will be provided by Rama)</w:t>
            </w:r>
          </w:p>
          <w:p w:rsidR="00000000" w:rsidRPr="00DD1641" w:rsidP="00DD1641">
            <w:pPr>
              <w:pStyle w:val="ListBullet"/>
            </w:pPr>
            <w:r w:rsidRPr="00DD1641">
              <w:t>Equipment manufactures specifications and practices</w:t>
            </w:r>
          </w:p>
          <w:p w:rsidR="00000000" w:rsidRPr="00DD1641" w:rsidP="00DD1641">
            <w:pPr>
              <w:pStyle w:val="BodyText"/>
            </w:pPr>
            <w:r w:rsidRPr="00DD1641">
              <w:t>T2           Operating characteristics</w:t>
            </w:r>
          </w:p>
          <w:p w:rsidR="00000000" w:rsidRPr="00DD1641" w:rsidP="00DD1641">
            <w:pPr>
              <w:pStyle w:val="ListBullet"/>
            </w:pPr>
            <w:r w:rsidRPr="00DD1641">
              <w:t>pH charts</w:t>
            </w:r>
          </w:p>
          <w:p w:rsidR="00000000" w:rsidRPr="00DD1641" w:rsidP="00DD1641">
            <w:pPr>
              <w:pStyle w:val="ListBullet"/>
            </w:pPr>
            <w:r w:rsidRPr="00DD1641">
              <w:t>refrigerating effect, relate back to air and fluid coolers</w:t>
            </w:r>
          </w:p>
          <w:p w:rsidR="00000000" w:rsidRPr="00DD1641" w:rsidP="00DD1641">
            <w:pPr>
              <w:pStyle w:val="ListBullet"/>
            </w:pPr>
            <w:r w:rsidRPr="00DD1641">
              <w:t>heat of compression, relate back to screw, rotary and reciprocating compressors</w:t>
            </w:r>
          </w:p>
          <w:p w:rsidR="00000000" w:rsidRPr="00DD1641" w:rsidP="00DD1641">
            <w:pPr>
              <w:pStyle w:val="ListBullet"/>
            </w:pPr>
            <w:r w:rsidRPr="00DD1641">
              <w:t>heat rejected high side of the system, relate back to air cooled, evaporative, and water cooled condensers</w:t>
            </w:r>
          </w:p>
          <w:p w:rsidR="00000000" w:rsidRPr="00DD1641" w:rsidP="00DD1641">
            <w:pPr>
              <w:pStyle w:val="ListBullet"/>
            </w:pPr>
            <w:r w:rsidRPr="00DD1641">
              <w:t>variable liquid refrigeration systems &amp; liquid oversee systems</w:t>
            </w:r>
          </w:p>
          <w:p w:rsidR="00000000" w:rsidRPr="00DD1641" w:rsidP="00DD1641">
            <w:pPr>
              <w:pStyle w:val="ListBullet"/>
            </w:pPr>
            <w:r w:rsidRPr="00DD1641">
              <w:t>requir</w:t>
            </w:r>
            <w:r w:rsidRPr="00DD1641">
              <w:t>ed mass flow rate of refrigerant and volume flow rate at various points in system</w:t>
            </w:r>
          </w:p>
          <w:p w:rsidR="00000000" w:rsidRPr="00DD1641" w:rsidP="00DD1641">
            <w:pPr>
              <w:pStyle w:val="ListBullet"/>
            </w:pPr>
            <w:r w:rsidRPr="00DD1641">
              <w:t>theoretical compressor power</w:t>
            </w:r>
          </w:p>
          <w:p w:rsidR="00000000" w:rsidRPr="00DD1641" w:rsidP="00DD1641">
            <w:pPr>
              <w:pStyle w:val="ListBullet"/>
            </w:pPr>
            <w:r w:rsidRPr="00DD1641">
              <w:t>required condenser capacity</w:t>
            </w:r>
          </w:p>
          <w:p w:rsidR="00000000" w:rsidRPr="00DD1641" w:rsidP="00DD1641">
            <w:pPr>
              <w:pStyle w:val="BodyText"/>
            </w:pPr>
            <w:r w:rsidRPr="00DD1641">
              <w:t>T3           Major system components</w:t>
            </w:r>
          </w:p>
          <w:p w:rsidR="00000000" w:rsidRPr="00DD1641" w:rsidP="00DD1641">
            <w:pPr>
              <w:pStyle w:val="ListBullet"/>
            </w:pPr>
            <w:r w:rsidRPr="00DD1641">
              <w:t>refrigerants, including R717 and R22</w:t>
            </w:r>
          </w:p>
          <w:p w:rsidR="00000000" w:rsidRPr="00DD1641" w:rsidP="00DD1641">
            <w:pPr>
              <w:pStyle w:val="ListBullet"/>
            </w:pPr>
            <w:r w:rsidRPr="00DD1641">
              <w:t>secondary refrigerants</w:t>
            </w:r>
          </w:p>
          <w:p w:rsidR="00000000" w:rsidRPr="00DD1641" w:rsidP="00DD1641">
            <w:pPr>
              <w:pStyle w:val="ListBullet"/>
            </w:pPr>
            <w:r w:rsidRPr="00DD1641">
              <w:t>component lubricant</w:t>
            </w:r>
            <w:r w:rsidRPr="00DD1641">
              <w:t xml:space="preserve"> refrigerant compatibility</w:t>
            </w:r>
          </w:p>
          <w:p w:rsidR="00000000" w:rsidRPr="00DD1641" w:rsidP="00DD1641">
            <w:pPr>
              <w:pStyle w:val="ListBullet"/>
            </w:pPr>
            <w:r w:rsidRPr="00DD1641">
              <w:t>evaporators</w:t>
            </w:r>
          </w:p>
          <w:p w:rsidR="00000000" w:rsidRPr="00DD1641" w:rsidP="00DD1641">
            <w:pPr>
              <w:pStyle w:val="ListBullet"/>
            </w:pPr>
            <w:r w:rsidRPr="00DD1641">
              <w:t>condensers, cooling towers</w:t>
            </w:r>
          </w:p>
          <w:p w:rsidR="00000000" w:rsidRPr="00DD1641" w:rsidP="00DD1641">
            <w:pPr>
              <w:pStyle w:val="ListBullet"/>
            </w:pPr>
            <w:r w:rsidRPr="00DD1641">
              <w:t>compressors</w:t>
            </w:r>
          </w:p>
          <w:p w:rsidR="00000000" w:rsidRPr="00DD1641" w:rsidP="00DD1641">
            <w:pPr>
              <w:pStyle w:val="ListBullet"/>
            </w:pPr>
            <w:r w:rsidRPr="00DD1641">
              <w:t>expansion valves</w:t>
            </w:r>
          </w:p>
          <w:p w:rsidR="00000000" w:rsidRPr="00DD1641" w:rsidP="00DD1641">
            <w:pPr>
              <w:pStyle w:val="ListBullet"/>
            </w:pPr>
            <w:r w:rsidRPr="00DD1641">
              <w:t>interconnecting piping and</w:t>
            </w:r>
          </w:p>
          <w:p w:rsidR="00000000" w:rsidRPr="00DD1641" w:rsidP="00DD1641">
            <w:pPr>
              <w:pStyle w:val="ListBullet"/>
            </w:pPr>
            <w:r w:rsidRPr="00DD1641">
              <w:t>isolating valves</w:t>
            </w:r>
          </w:p>
          <w:p w:rsidR="00000000" w:rsidRPr="00DD1641" w:rsidP="00DD1641">
            <w:pPr>
              <w:pStyle w:val="ListBullet"/>
            </w:pPr>
            <w:r w:rsidRPr="00DD1641">
              <w:t>pilot operated valves</w:t>
            </w:r>
          </w:p>
          <w:p w:rsidR="00000000" w:rsidRPr="00DD1641" w:rsidP="00DD1641">
            <w:pPr>
              <w:pStyle w:val="ListBullet"/>
            </w:pPr>
            <w:r w:rsidRPr="00DD1641">
              <w:t>defrost system components for air, water, recycled water, hot gas, electric methods</w:t>
            </w:r>
          </w:p>
          <w:p w:rsidR="00000000" w:rsidRPr="00DD1641" w:rsidP="00DD1641">
            <w:pPr>
              <w:pStyle w:val="ListBullet"/>
            </w:pPr>
            <w:r w:rsidRPr="00DD1641">
              <w:t>refrigerant</w:t>
            </w:r>
            <w:r w:rsidRPr="00DD1641">
              <w:t xml:space="preserve"> accumulators and liquid pumps</w:t>
            </w:r>
          </w:p>
        </w:tc>
      </w:tr>
    </w:tbl>
    <w:p w:rsidR="00754AFB" w:rsidP="00DD1641">
      <w:pPr>
        <w:pStyle w:val="BodyText"/>
      </w:pPr>
    </w:p>
    <w:p w:rsidR="00754AFB" w:rsidP="00DD1641">
      <w:pPr>
        <w:pStyle w:val="BodyText"/>
      </w:pPr>
    </w:p>
    <w:p w:rsidR="00000000" w:rsidRPr="00DD1641" w:rsidP="00DD1641">
      <w:pPr>
        <w:pStyle w:val="Heading1"/>
      </w:pPr>
      <w:bookmarkStart w:id="10" w:name="O_589833"/>
      <w:bookmarkEnd w:id="10"/>
      <w:r w:rsidRPr="00DD1641">
        <w:t>Evidence Guide</w:t>
      </w:r>
    </w:p>
    <w:tbl>
      <w:tblPr>
        <w:tblW w:w="0" w:type="auto"/>
        <w:tblLayout w:type="fixed"/>
        <w:tblCellMar>
          <w:left w:w="62" w:type="dxa"/>
          <w:right w:w="62" w:type="dxa"/>
        </w:tblCellMar>
        <w:tblLook w:val="0000"/>
      </w:tblPr>
      <w:tblGrid>
        <w:gridCol w:w="2160"/>
        <w:gridCol w:w="288"/>
        <w:gridCol w:w="540"/>
        <w:gridCol w:w="5661"/>
      </w:tblGrid>
      <w:tr w:rsidTr="00754AFB">
        <w:tblPrEx>
          <w:tblW w:w="0" w:type="auto"/>
          <w:tblLayout w:type="fixed"/>
          <w:tblCellMar>
            <w:left w:w="62" w:type="dxa"/>
            <w:right w:w="62" w:type="dxa"/>
          </w:tblCellMar>
          <w:tblLook w:val="0000"/>
        </w:tblPrEx>
        <w:trPr>
          <w:tblHeader/>
        </w:trPr>
        <w:tc>
          <w:tcPr>
            <w:tcW w:w="8649" w:type="dxa"/>
            <w:gridSpan w:val="4"/>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rPr>
                <w:rStyle w:val="SpecialBold"/>
              </w:rPr>
              <w:t>EVIDENCE GUIDE</w:t>
            </w:r>
          </w:p>
        </w:tc>
      </w:tr>
      <w:tr w:rsidTr="00754AFB">
        <w:tblPrEx>
          <w:tblW w:w="0" w:type="auto"/>
          <w:tblLayout w:type="fixed"/>
          <w:tblCellMar>
            <w:left w:w="62" w:type="dxa"/>
            <w:right w:w="62" w:type="dxa"/>
          </w:tblCellMar>
          <w:tblLook w:val="0000"/>
        </w:tblPrEx>
        <w:tc>
          <w:tcPr>
            <w:tcW w:w="8649" w:type="dxa"/>
            <w:gridSpan w:val="4"/>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9</w:t>
            </w:r>
            <w:r w:rsidRPr="00DD1641">
              <w:t xml:space="preserve">) The evidence guide provides advice on assessment and must be read in conjunction with the Performance </w:t>
            </w:r>
            <w:r w:rsidRPr="00DD1641">
              <w:t>Criteria, Required Skills and Knowledge, the Range Statement and the Assessment Guidelines for this Training Package. .</w:t>
            </w:r>
          </w:p>
          <w:p w:rsidR="00000000" w:rsidP="00DD1641">
            <w:pPr>
              <w:pStyle w:val="BodyText"/>
              <w:rPr>
                <w:lang w:val="en-NZ"/>
              </w:rPr>
            </w:pPr>
            <w:r w:rsidRPr="00DD1641">
              <w:t>The Evidence Guide forms an integral part of this Unit. It must be used in conjunction with all parts of this unit and performed in acco</w:t>
            </w:r>
            <w:r w:rsidRPr="00DD1641">
              <w:t>rdance with the Assessment Guidelines of this Training Package.</w:t>
            </w:r>
          </w:p>
        </w:tc>
      </w:tr>
      <w:tr w:rsidTr="00754A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Overview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9</w:t>
            </w:r>
            <w:r w:rsidRPr="00DD1641">
              <w:t>.</w:t>
            </w:r>
            <w:r w:rsidRPr="00DD1641">
              <w:rPr>
                <w:rStyle w:val="SpecialBold"/>
              </w:rPr>
              <w:t>1</w:t>
            </w:r>
            <w:r w:rsidRPr="00DD1641">
              <w:t xml:space="preserve">) </w:t>
            </w:r>
          </w:p>
          <w:p w:rsidR="00000000" w:rsidRPr="00DD1641" w:rsidP="00DD1641">
            <w:pPr>
              <w:pStyle w:val="BodyText"/>
            </w:pPr>
            <w:r w:rsidRPr="00DD1641">
              <w:t xml:space="preserve">Longitudinal competency </w:t>
            </w:r>
            <w:r w:rsidRPr="00DD1641">
              <w:t>development approaches to assessment, such as Profiling, require data to be reliably gathered in a form that can be consistently interpreted over time. This approach is best utilised in Apprenticeship programs and reduces assessment intervention. It is the</w:t>
            </w:r>
            <w:r w:rsidRPr="00DD1641">
              <w:t xml:space="preserve"> industry-preferred model for apprenticeships. However, where summative (or final) assessment is used it is to include the application of the competency in the normal work environment or, at a minimum, the application of the competency in a realistically s</w:t>
            </w:r>
            <w:r w:rsidRPr="00DD1641">
              <w:t>imulated work environment. In some circumstances, assessment in part or full can occur outside the workplace. However, it must be in accordance with industry and regulatory policy.</w:t>
            </w:r>
          </w:p>
          <w:p w:rsidR="00000000" w:rsidRPr="00DD1641" w:rsidP="00DD1641">
            <w:pPr>
              <w:pStyle w:val="BodyText"/>
            </w:pPr>
            <w:r w:rsidRPr="00DD1641">
              <w:t>Methods chosen for a particular assessment will be influenced by various fa</w:t>
            </w:r>
            <w:r w:rsidRPr="00DD1641">
              <w:t>ctors. These include the extent of the assessment, the most effective locations for the assessment activities to take place, access to physical resources, additional safety measures that may be required and the critical nature of the competencies being ass</w:t>
            </w:r>
            <w:r w:rsidRPr="00DD1641">
              <w:t>essed.</w:t>
            </w:r>
          </w:p>
          <w:p w:rsidR="00000000" w:rsidRPr="00DD1641" w:rsidP="00DD1641">
            <w:pPr>
              <w:pStyle w:val="BodyText"/>
            </w:pPr>
            <w:r w:rsidRPr="00DD1641">
              <w:t>The critical safety nature of working with electricity, electrical equipment, gas or any other hazardous substance/material carries risk in deeming a person competent. Sources of evidence need to be 'rich' in nature to minimise error in judgment.</w:t>
            </w:r>
          </w:p>
          <w:p w:rsidR="00000000" w:rsidP="00DD1641">
            <w:pPr>
              <w:pStyle w:val="BodyText"/>
              <w:rPr>
                <w:lang w:val="en-NZ"/>
              </w:rPr>
            </w:pPr>
            <w:r w:rsidRPr="00DD1641">
              <w:t>Ac</w:t>
            </w:r>
            <w:r w:rsidRPr="00DD1641">
              <w:t>tivities associated with normal everyday work influence decisions about how/how much the data gathered will contribute to its 'richness'. Some skills are more critical to safety and operational requirements while the same skills may be more or less frequen</w:t>
            </w:r>
            <w:r w:rsidRPr="00DD1641">
              <w:t>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754AF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Critical aspects of evidence required to demonstrate competency in this unit</w:t>
            </w:r>
          </w:p>
        </w:tc>
        <w:tc>
          <w:tcPr>
            <w:tcW w:w="6489" w:type="dxa"/>
            <w:gridSpan w:val="3"/>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9</w:t>
            </w:r>
            <w:r w:rsidRPr="00DD1641">
              <w:t>.</w:t>
            </w:r>
            <w:r w:rsidRPr="00DD1641">
              <w:rPr>
                <w:rStyle w:val="SpecialBold"/>
              </w:rPr>
              <w:t>2</w:t>
            </w:r>
            <w:r w:rsidRPr="00DD1641">
              <w:t xml:space="preserve">) </w:t>
            </w:r>
          </w:p>
          <w:p w:rsidR="00000000" w:rsidP="00DD1641">
            <w:pPr>
              <w:pStyle w:val="BodyText"/>
              <w:rPr>
                <w:lang w:val="en-NZ"/>
              </w:rPr>
            </w:pPr>
            <w:r w:rsidRPr="00DD1641">
              <w:t>Before the critical aspects of evidence are considered all prerequisites must be met.</w:t>
            </w:r>
          </w:p>
        </w:tc>
      </w:tr>
      <w:tr w:rsidTr="00754A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D1641">
            <w:pPr>
              <w:pStyle w:val="ListBullet"/>
              <w:rPr>
                <w:lang w:val="en-NZ"/>
              </w:rPr>
            </w:pPr>
            <w:r w:rsidRPr="00DD1641">
              <w:t>A representative body of work performance demonstrated within the timeframes typically expected of the discipline, work function and industrial environment. In particular this shall incorporate evidence that shows a candidate is able to:</w:t>
            </w:r>
          </w:p>
        </w:tc>
      </w:tr>
      <w:tr w:rsidTr="00754A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DD1641" w:rsidP="00DD1641">
            <w:pPr>
              <w:pStyle w:val="ListBullet2"/>
            </w:pPr>
            <w:r w:rsidRPr="00DD1641">
              <w:t>Implement Occupational Health and Safety workplace procedures and practices including the use of risk control measures as specified in the performance criteria and range statement</w:t>
            </w:r>
          </w:p>
          <w:p w:rsidR="00000000" w:rsidRPr="00DD1641" w:rsidP="00DD1641">
            <w:pPr>
              <w:pStyle w:val="ListBullet2"/>
            </w:pPr>
            <w:r w:rsidRPr="00DD1641">
              <w:t>Apply sustainable energy principles and practices as specified in the perfor</w:t>
            </w:r>
            <w:r w:rsidRPr="00DD1641">
              <w:t>mance criteria and range statement</w:t>
            </w:r>
          </w:p>
          <w:p w:rsidR="00000000" w:rsidRPr="00DD1641" w:rsidP="00DD1641">
            <w:pPr>
              <w:pStyle w:val="ListBullet2"/>
            </w:pPr>
            <w:r w:rsidRPr="00DD1641">
              <w:t>Demonstrate an understanding of the essential knowledge and associated skills as described in this unit.  It may be required by some jurisdictions that RTOs provide a percentile graded result for the purpose of regulatory</w:t>
            </w:r>
            <w:r w:rsidRPr="00DD1641">
              <w:t xml:space="preserve"> or licensing requirements.</w:t>
            </w:r>
          </w:p>
          <w:p w:rsidR="00000000" w:rsidRPr="00DD1641" w:rsidP="00DD1641">
            <w:pPr>
              <w:pStyle w:val="ListBullet2"/>
            </w:pPr>
            <w:r w:rsidRPr="00DD1641">
              <w:t>Demonstrate an appropriate level of skills enabling employment</w:t>
            </w:r>
          </w:p>
          <w:p w:rsidR="00000000" w:rsidP="00DD1641">
            <w:pPr>
              <w:pStyle w:val="ListBullet2"/>
              <w:rPr>
                <w:lang w:val="en-NZ"/>
              </w:rPr>
            </w:pPr>
            <w:r w:rsidRPr="00DD1641">
              <w:t>Conduct work observing the relevant Anti Discrimination legislation, regulations, polices and workplace procedures</w:t>
            </w:r>
          </w:p>
        </w:tc>
      </w:tr>
      <w:tr w:rsidTr="00754A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DD1641">
            <w:pPr>
              <w:pStyle w:val="ListBullet"/>
              <w:rPr>
                <w:lang w:val="en-NZ"/>
              </w:rPr>
            </w:pPr>
            <w:r w:rsidRPr="00DD1641">
              <w:t xml:space="preserve">Demonstrated consistent performance across a </w:t>
            </w:r>
            <w:r w:rsidRPr="00DD1641">
              <w:t>representative range of contexts from the prescribed items below:</w:t>
            </w:r>
          </w:p>
        </w:tc>
      </w:tr>
      <w:tr w:rsidTr="00754A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DD1641">
            <w:pPr>
              <w:pStyle w:val="ListBullet2"/>
              <w:rPr>
                <w:lang w:val="en-NZ"/>
              </w:rPr>
            </w:pPr>
            <w:r w:rsidRPr="00DD1641">
              <w:t>Design industrial refrigeration systems as described in 8) and including:</w:t>
            </w:r>
          </w:p>
        </w:tc>
      </w:tr>
      <w:tr w:rsidTr="00754A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A</w:t>
            </w:r>
          </w:p>
        </w:tc>
        <w:tc>
          <w:tcPr>
            <w:tcW w:w="566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Understanding required operating functions and parameters from the design specification</w:t>
            </w:r>
          </w:p>
        </w:tc>
      </w:tr>
      <w:tr w:rsidTr="00754A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B</w:t>
            </w:r>
          </w:p>
        </w:tc>
        <w:tc>
          <w:tcPr>
            <w:tcW w:w="566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Developing the design within the safety, regulatory and functional requirements and budget limitations</w:t>
            </w:r>
          </w:p>
        </w:tc>
      </w:tr>
      <w:tr w:rsidTr="00754A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C</w:t>
            </w:r>
          </w:p>
        </w:tc>
        <w:tc>
          <w:tcPr>
            <w:tcW w:w="566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Documenting and presenting design effectively,</w:t>
            </w:r>
          </w:p>
        </w:tc>
      </w:tr>
      <w:tr w:rsidTr="00754A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D</w:t>
            </w:r>
          </w:p>
        </w:tc>
        <w:tc>
          <w:tcPr>
            <w:tcW w:w="566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Successfully negotiating design alteration requests</w:t>
            </w:r>
          </w:p>
        </w:tc>
      </w:tr>
      <w:tr w:rsidTr="00754A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E</w:t>
            </w:r>
          </w:p>
        </w:tc>
        <w:tc>
          <w:tcPr>
            <w:tcW w:w="566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Obtaining approval for final design</w:t>
            </w:r>
          </w:p>
        </w:tc>
      </w:tr>
      <w:tr w:rsidTr="00754A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F</w:t>
            </w:r>
          </w:p>
        </w:tc>
        <w:tc>
          <w:tcPr>
            <w:tcW w:w="566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Dealing with unplanned events by drawing on essential knowledge and skills to provide appropriate solutions incorporated in the holistic assessment with the above listed items</w:t>
            </w:r>
          </w:p>
        </w:tc>
      </w:tr>
      <w:tr w:rsidTr="00754A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 xml:space="preserve">Note: </w:t>
            </w:r>
            <w:r w:rsidRPr="00DD1641">
              <w:br/>
              <w:t>Successful completion of relevant vendor training may be used to cont</w:t>
            </w:r>
            <w:r w:rsidRPr="00DD1641">
              <w:t>ribute to evidence on which competency is deemed. In these cases the alignment of outcomes of vendor training with performance criteria and critical aspects of evidence shall be clearly identified.</w:t>
            </w:r>
          </w:p>
        </w:tc>
      </w:tr>
      <w:tr w:rsidTr="00754A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Context of and specific resources for assessment</w:t>
            </w:r>
          </w:p>
        </w:tc>
        <w:tc>
          <w:tcPr>
            <w:tcW w:w="6489" w:type="dxa"/>
            <w:gridSpan w:val="3"/>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9</w:t>
            </w:r>
            <w:r w:rsidRPr="00DD1641">
              <w:t>.</w:t>
            </w:r>
            <w:r w:rsidRPr="00DD1641">
              <w:rPr>
                <w:rStyle w:val="SpecialBold"/>
              </w:rPr>
              <w:t>3</w:t>
            </w:r>
            <w:r w:rsidRPr="00DD1641">
              <w:t xml:space="preserve">) </w:t>
            </w:r>
          </w:p>
          <w:p w:rsidR="00000000" w:rsidRPr="00DD1641" w:rsidP="00DD1641">
            <w:pPr>
              <w:pStyle w:val="BodyText"/>
            </w:pPr>
            <w:r w:rsidRPr="00DD1641">
              <w:t>This unit should be assessed as it relates to normal work practice using procedures, information and resources typical of a workplace. This should include:</w:t>
            </w:r>
          </w:p>
          <w:p w:rsidR="00000000" w:rsidRPr="00DD1641" w:rsidP="00DD1641">
            <w:pPr>
              <w:pStyle w:val="ListBullet"/>
            </w:pPr>
            <w:r w:rsidRPr="00DD1641">
              <w:t>OHS policy and work procedures and instructions.</w:t>
            </w:r>
          </w:p>
          <w:p w:rsidR="00000000" w:rsidRPr="00DD1641" w:rsidP="00DD1641">
            <w:pPr>
              <w:pStyle w:val="ListBullet"/>
            </w:pPr>
            <w:r w:rsidRPr="00DD1641">
              <w:t>Suitable work environment, facilities, equipment and materials to undertake actual work as prescribed by this unit.</w:t>
            </w:r>
          </w:p>
          <w:p w:rsidR="00000000" w:rsidRPr="00DD1641" w:rsidP="00DD1641">
            <w:pPr>
              <w:pStyle w:val="BodyText"/>
            </w:pPr>
            <w:r w:rsidRPr="00DD1641">
              <w:t>These should be part of the formal learning/assessment environment.</w:t>
            </w:r>
          </w:p>
          <w:p w:rsidR="00000000" w:rsidRPr="00DD1641" w:rsidP="00DD1641">
            <w:pPr>
              <w:pStyle w:val="BodyText"/>
            </w:pPr>
            <w:r w:rsidRPr="00DD1641">
              <w:t>Note:</w:t>
            </w:r>
          </w:p>
          <w:p w:rsidR="00000000" w:rsidP="00DD1641">
            <w:pPr>
              <w:pStyle w:val="BodyText"/>
              <w:rPr>
                <w:lang w:val="en-NZ"/>
              </w:rPr>
            </w:pPr>
            <w:r w:rsidRPr="00DD1641">
              <w:t>Where simulation is considered a suitable strategy for assessment,</w:t>
            </w:r>
            <w:r w:rsidRPr="00DD1641">
              <w:t xml:space="preserve"> conditions must be authentic and as far as possible reproduce and replicate the workplace and be consistent with the approved industry simulation policy.</w:t>
            </w:r>
          </w:p>
        </w:tc>
      </w:tr>
      <w:tr w:rsidTr="00754A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Evidence should show demonstrated competency in designing industrial refrigeration systems.</w:t>
            </w:r>
          </w:p>
        </w:tc>
      </w:tr>
      <w:tr w:rsidTr="00754A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Me</w:t>
            </w:r>
            <w:r w:rsidRPr="00DD1641">
              <w:rPr>
                <w:rStyle w:val="SpecialBold"/>
              </w:rPr>
              <w:t>thod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9</w:t>
            </w:r>
            <w:r w:rsidRPr="00DD1641">
              <w:t>.</w:t>
            </w:r>
            <w:r w:rsidRPr="00DD1641">
              <w:rPr>
                <w:rStyle w:val="SpecialBold"/>
              </w:rPr>
              <w:t>4</w:t>
            </w:r>
            <w:r w:rsidRPr="00DD1641">
              <w:t xml:space="preserve">) </w:t>
            </w:r>
          </w:p>
          <w:p w:rsidR="00000000" w:rsidRPr="00DD1641" w:rsidP="00DD1641">
            <w:pPr>
              <w:pStyle w:val="BodyText"/>
            </w:pPr>
            <w:r w:rsidRPr="00DD1641">
              <w:t>This unit shall be assessed by methods given in Volume 1, Part 3 'Assessment Guidelines'.</w:t>
            </w:r>
          </w:p>
          <w:p w:rsidR="00000000" w:rsidP="00DD1641">
            <w:pPr>
              <w:pStyle w:val="BodyText"/>
              <w:rPr>
                <w:lang w:val="en-NZ"/>
              </w:rPr>
            </w:pPr>
            <w:r w:rsidRPr="00DD1641">
              <w:t xml:space="preserve">Note: </w:t>
            </w:r>
            <w:r w:rsidRPr="00DD1641">
              <w:br/>
              <w:t>Competent performance with inherent safe working practices is expected i</w:t>
            </w:r>
            <w:r w:rsidRPr="00DD1641">
              <w:t>n the Industry to which this unit applies. This requires assessment in a structured environment which is intended primarily for learning/assessment and incorporates all necessary equipment and facilities for learners to develop and demonstrate the essentia</w:t>
            </w:r>
            <w:r w:rsidRPr="00DD1641">
              <w:t>l knowledge and skills described in this unit.</w:t>
            </w:r>
          </w:p>
        </w:tc>
      </w:tr>
      <w:tr w:rsidTr="00754AF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Concurrent assessment and relationship with other units</w:t>
            </w:r>
          </w:p>
        </w:tc>
        <w:tc>
          <w:tcPr>
            <w:tcW w:w="6489" w:type="dxa"/>
            <w:gridSpan w:val="3"/>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rPr>
                <w:rStyle w:val="SpecialBold"/>
              </w:rPr>
              <w:t>9</w:t>
            </w:r>
            <w:r w:rsidRPr="00DD1641">
              <w:t>.</w:t>
            </w:r>
            <w:r w:rsidRPr="00DD1641">
              <w:rPr>
                <w:rStyle w:val="SpecialBold"/>
              </w:rPr>
              <w:t>5</w:t>
            </w:r>
            <w:r w:rsidRPr="00DD1641">
              <w:t>)</w:t>
            </w:r>
          </w:p>
        </w:tc>
      </w:tr>
      <w:tr w:rsidTr="00754A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t>There are no concurrent assessment recommendations for this unit.</w:t>
            </w:r>
          </w:p>
        </w:tc>
      </w:tr>
    </w:tbl>
    <w:p w:rsidR="00754AFB" w:rsidP="00DD1641">
      <w:pPr>
        <w:pStyle w:val="BodyText"/>
      </w:pPr>
    </w:p>
    <w:p w:rsidR="00754AFB" w:rsidP="00DD1641">
      <w:pPr>
        <w:pStyle w:val="BodyText"/>
      </w:pPr>
    </w:p>
    <w:p w:rsidR="00000000" w:rsidRPr="00DD1641" w:rsidP="00DD1641">
      <w:pPr>
        <w:pStyle w:val="Heading1"/>
      </w:pPr>
      <w:bookmarkStart w:id="11" w:name="O_589832"/>
      <w:bookmarkEnd w:id="11"/>
      <w:r w:rsidRPr="00DD1641">
        <w:t>Range Statement</w:t>
      </w:r>
    </w:p>
    <w:tbl>
      <w:tblPr>
        <w:tblW w:w="0" w:type="auto"/>
        <w:tblLayout w:type="fixed"/>
        <w:tblCellMar>
          <w:left w:w="62" w:type="dxa"/>
          <w:right w:w="62" w:type="dxa"/>
        </w:tblCellMar>
        <w:tblLook w:val="0000"/>
      </w:tblPr>
      <w:tblGrid>
        <w:gridCol w:w="8649"/>
      </w:tblGrid>
      <w:tr w:rsidTr="00754AFB">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rPr>
                <w:rStyle w:val="SpecialBold"/>
              </w:rPr>
              <w:t>RANGE STATEMENT</w:t>
            </w:r>
          </w:p>
        </w:tc>
      </w:tr>
      <w:tr w:rsidTr="00754AFB">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rPr>
                <w:rStyle w:val="SpecialBold"/>
              </w:rPr>
              <w:t>8</w:t>
            </w:r>
            <w:r w:rsidRPr="00DD1641">
              <w:t>) This relates to the unit as a whole providing the range of contexts and conditions to which the performance criteria apply. It allows for different work environments and situations that will affect performance.</w:t>
            </w:r>
          </w:p>
        </w:tc>
      </w:tr>
      <w:tr w:rsidTr="00754AFB">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This unit must be demonstrated in relation to designing at least two different commercial refrigeration systems encompassing only one of each major component (i.e. condenser, compressor and evaporator) and associated components and controls.</w:t>
            </w:r>
          </w:p>
        </w:tc>
      </w:tr>
      <w:tr w:rsidTr="00754AFB">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t>Generic terms</w:t>
            </w:r>
            <w:r w:rsidRPr="00DD1641">
              <w:t xml:space="preserve"> used throughout this Vocational Standard shall be regarded as part of the Range Statement in which competency is demonstrated. The definition of these and other terms that apply are given in Volume 2, Part 2.1.</w:t>
            </w:r>
          </w:p>
        </w:tc>
      </w:tr>
    </w:tbl>
    <w:p w:rsidR="00754AFB" w:rsidP="00DD1641">
      <w:pPr>
        <w:pStyle w:val="BodyText"/>
      </w:pPr>
    </w:p>
    <w:p w:rsidR="00754AFB" w:rsidP="00DD1641">
      <w:pPr>
        <w:pStyle w:val="BodyText"/>
      </w:pPr>
    </w:p>
    <w:p w:rsidR="00000000" w:rsidRPr="00DD1641" w:rsidP="00DD1641">
      <w:pPr>
        <w:pStyle w:val="Heading1"/>
      </w:pPr>
      <w:bookmarkStart w:id="12" w:name="O_589831"/>
      <w:bookmarkEnd w:id="12"/>
      <w:r w:rsidRPr="00DD1641">
        <w:t>Unit Sector(s)</w:t>
      </w:r>
    </w:p>
    <w:p w:rsidR="00000000" w:rsidRPr="00DD1641" w:rsidP="00DD1641">
      <w:pPr>
        <w:pStyle w:val="BodyText"/>
      </w:pPr>
      <w:r w:rsidRPr="00DD1641">
        <w:t>Not Appli</w:t>
      </w:r>
      <w:r w:rsidRPr="00DD1641">
        <w:t>cable</w:t>
      </w:r>
    </w:p>
    <w:p w:rsidR="00000000" w:rsidRPr="00DD1641" w:rsidP="00DD1641">
      <w:pPr>
        <w:pStyle w:val="AllowPageBreak"/>
      </w:pPr>
    </w:p>
    <w:p w:rsidR="00000000" w:rsidRPr="00DD1641" w:rsidP="00DD1641">
      <w:pPr>
        <w:pStyle w:val="Heading1"/>
      </w:pPr>
      <w:bookmarkStart w:id="13" w:name="O_589830"/>
      <w:bookmarkEnd w:id="13"/>
      <w:r w:rsidRPr="00DD164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54AF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2</w:t>
            </w:r>
            <w:r w:rsidRPr="00DD1641">
              <w:t>.</w:t>
            </w:r>
            <w:r w:rsidRPr="00DD1641">
              <w:rPr>
                <w:rStyle w:val="SpecialBold"/>
              </w:rPr>
              <w:t>2</w:t>
            </w:r>
            <w:r w:rsidRPr="00DD1641">
              <w:t xml:space="preserve">) </w:t>
            </w:r>
            <w:r w:rsidRPr="00DD1641">
              <w:rPr>
                <w:rStyle w:val="SpecialBold"/>
              </w:rPr>
              <w:t>Literacy and numeracy skills</w:t>
            </w:r>
          </w:p>
          <w:p w:rsidR="00000000" w:rsidP="00DD1641">
            <w:pPr>
              <w:pStyle w:val="BodyText"/>
              <w:rPr>
                <w:lang w:val="en-NZ"/>
              </w:rPr>
            </w:pPr>
            <w:r w:rsidRPr="00DD1641">
              <w:t>Participants are best equipped to achieve competency in this unit if they have reading, writing and numeracy skills indicated by the following scales. Description of each scale is gi</w:t>
            </w:r>
            <w:r w:rsidRPr="00DD1641">
              <w:t>ven in Volume 2, Part 3 'Literacy and Numeracy'</w:t>
            </w:r>
          </w:p>
        </w:tc>
      </w:tr>
      <w:tr w:rsidTr="00754AF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Reading</w:t>
            </w:r>
          </w:p>
        </w:tc>
        <w:tc>
          <w:tcPr>
            <w:tcW w:w="1182"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4</w:t>
            </w:r>
          </w:p>
        </w:tc>
        <w:tc>
          <w:tcPr>
            <w:tcW w:w="1739"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Writing</w:t>
            </w:r>
          </w:p>
        </w:tc>
        <w:tc>
          <w:tcPr>
            <w:tcW w:w="1182"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4</w:t>
            </w:r>
          </w:p>
        </w:tc>
        <w:tc>
          <w:tcPr>
            <w:tcW w:w="1721"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t>Numeracy</w:t>
            </w:r>
          </w:p>
        </w:tc>
        <w:tc>
          <w:tcPr>
            <w:tcW w:w="1182"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t>4</w:t>
            </w:r>
          </w:p>
        </w:tc>
      </w:tr>
    </w:tbl>
    <w:p w:rsidR="00754AFB" w:rsidP="00DD1641">
      <w:pPr>
        <w:pStyle w:val="BodyText"/>
      </w:pPr>
    </w:p>
    <w:p w:rsidR="00754AFB" w:rsidP="00DD1641">
      <w:pPr>
        <w:pStyle w:val="BodyText"/>
      </w:pPr>
    </w:p>
    <w:p w:rsidR="00000000" w:rsidRPr="00DD1641" w:rsidP="00DD1641">
      <w:pPr>
        <w:pStyle w:val="Heading1"/>
      </w:pPr>
      <w:bookmarkStart w:id="14" w:name="O_589829"/>
      <w:bookmarkEnd w:id="14"/>
      <w:r w:rsidRPr="00DD1641">
        <w:t>2.2) Literacy and numeracy skills</w:t>
      </w:r>
    </w:p>
    <w:tbl>
      <w:tblPr>
        <w:tblW w:w="0" w:type="auto"/>
        <w:tblLayout w:type="fixed"/>
        <w:tblCellMar>
          <w:left w:w="62" w:type="dxa"/>
          <w:right w:w="62" w:type="dxa"/>
        </w:tblCellMar>
        <w:tblLook w:val="0000"/>
      </w:tblPr>
      <w:tblGrid>
        <w:gridCol w:w="2700"/>
        <w:gridCol w:w="5760"/>
      </w:tblGrid>
      <w:tr w:rsidTr="00754A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D1641">
            <w:pPr>
              <w:pStyle w:val="BodyText"/>
              <w:rPr>
                <w:lang w:val="en-NZ"/>
              </w:rPr>
            </w:pPr>
            <w:r w:rsidRPr="00DD1641">
              <w:rPr>
                <w:rStyle w:val="SpecialBold"/>
              </w:rPr>
              <w:t>5</w:t>
            </w:r>
            <w:r w:rsidRPr="00DD1641">
              <w:t>)</w:t>
            </w:r>
          </w:p>
        </w:tc>
      </w:tr>
      <w:tr w:rsidTr="00754A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1641" w:rsidP="00DD1641">
            <w:pPr>
              <w:pStyle w:val="BodyText"/>
            </w:pPr>
            <w:r w:rsidRPr="00DD1641">
              <w:t>Refrigeration and Air Conditioning</w:t>
            </w:r>
          </w:p>
        </w:tc>
      </w:tr>
    </w:tbl>
    <w:p w:rsidR="00754AFB" w:rsidP="00DD1641">
      <w:pPr>
        <w:pStyle w:val="BodyText"/>
      </w:pPr>
    </w:p>
    <w:p w:rsidR="00754AFB" w:rsidP="00DD1641">
      <w:pPr>
        <w:pStyle w:val="BodyText"/>
      </w:pPr>
    </w:p>
    <w:p w:rsidR="00000000" w:rsidRPr="00DD1641" w:rsidP="00DD1641"/>
    <w:sectPr w:rsidSect="00DD16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41" w:rsidRPr="00754AFB" w:rsidP="00754A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FB" w:rsidP="00DD16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54AFB" w:rsidP="00DD164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54AFB" w:rsidP="00DD16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41" w:rsidRPr="00754AFB" w:rsidP="00754A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FB" w:rsidRPr="002D2AF8" w:rsidP="00DD1641">
    <w:pPr>
      <w:pStyle w:val="Header"/>
      <w:framePr w:wrap="around"/>
    </w:pPr>
    <w:r>
      <w:fldChar w:fldCharType="begin"/>
    </w:r>
    <w:r>
      <w:instrText xml:space="preserve"> TITLE   \* MERGEFORMAT </w:instrText>
    </w:r>
    <w:r>
      <w:fldChar w:fldCharType="separate"/>
    </w:r>
    <w:r>
      <w:t>UEENEEJ133A Design industrial refrigeration systems and select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54AFB" w:rsidP="00DD16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B87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44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76D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6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641"/>
    <w:pPr>
      <w:spacing w:before="360" w:after="60"/>
      <w:outlineLvl w:val="0"/>
    </w:pPr>
    <w:rPr>
      <w:sz w:val="32"/>
    </w:rPr>
  </w:style>
  <w:style w:type="paragraph" w:styleId="Heading2">
    <w:name w:val="heading 2"/>
    <w:basedOn w:val="HeadingBase"/>
    <w:next w:val="BodyText"/>
    <w:link w:val="Heading2Char"/>
    <w:qFormat/>
    <w:rsid w:val="00DD1641"/>
    <w:pPr>
      <w:keepLines/>
      <w:spacing w:before="240" w:after="120"/>
      <w:outlineLvl w:val="1"/>
    </w:pPr>
    <w:rPr>
      <w:sz w:val="28"/>
      <w:szCs w:val="40"/>
    </w:rPr>
  </w:style>
  <w:style w:type="paragraph" w:styleId="Heading3">
    <w:name w:val="heading 3"/>
    <w:basedOn w:val="HeadingBase"/>
    <w:next w:val="BodyText"/>
    <w:link w:val="Heading3Char"/>
    <w:qFormat/>
    <w:rsid w:val="00DD1641"/>
    <w:pPr>
      <w:spacing w:before="180" w:after="120"/>
      <w:outlineLvl w:val="2"/>
    </w:pPr>
    <w:rPr>
      <w:spacing w:val="-10"/>
      <w:kern w:val="32"/>
    </w:rPr>
  </w:style>
  <w:style w:type="paragraph" w:styleId="Heading4">
    <w:name w:val="heading 4"/>
    <w:basedOn w:val="HeadingBase"/>
    <w:next w:val="BodyText"/>
    <w:link w:val="Heading4Char"/>
    <w:qFormat/>
    <w:rsid w:val="00DD1641"/>
    <w:pPr>
      <w:spacing w:before="160" w:after="120"/>
      <w:outlineLvl w:val="3"/>
    </w:pPr>
    <w:rPr>
      <w:sz w:val="22"/>
    </w:rPr>
  </w:style>
  <w:style w:type="paragraph" w:styleId="Heading5">
    <w:name w:val="heading 5"/>
    <w:basedOn w:val="HeadingBase"/>
    <w:next w:val="Normal"/>
    <w:link w:val="Heading5Char"/>
    <w:qFormat/>
    <w:rsid w:val="00DD1641"/>
    <w:pPr>
      <w:spacing w:before="80"/>
      <w:outlineLvl w:val="4"/>
    </w:pPr>
    <w:rPr>
      <w:color w:val="918585"/>
      <w:sz w:val="20"/>
    </w:rPr>
  </w:style>
  <w:style w:type="paragraph" w:styleId="Heading6">
    <w:name w:val="heading 6"/>
    <w:basedOn w:val="HeadingBase"/>
    <w:next w:val="Normal"/>
    <w:link w:val="Heading6Char"/>
    <w:qFormat/>
    <w:rsid w:val="00DD1641"/>
    <w:pPr>
      <w:spacing w:before="60"/>
      <w:outlineLvl w:val="5"/>
    </w:pPr>
    <w:rPr>
      <w:color w:val="918585"/>
      <w:sz w:val="20"/>
    </w:rPr>
  </w:style>
  <w:style w:type="paragraph" w:styleId="Heading7">
    <w:name w:val="heading 7"/>
    <w:basedOn w:val="Normal"/>
    <w:next w:val="Normal"/>
    <w:link w:val="Heading7Char"/>
    <w:qFormat/>
    <w:rsid w:val="00DD1641"/>
    <w:pPr>
      <w:ind w:left="720"/>
      <w:outlineLvl w:val="6"/>
    </w:pPr>
    <w:rPr>
      <w:i/>
    </w:rPr>
  </w:style>
  <w:style w:type="paragraph" w:styleId="Heading8">
    <w:name w:val="heading 8"/>
    <w:basedOn w:val="Normal"/>
    <w:next w:val="Normal"/>
    <w:link w:val="Heading8Char"/>
    <w:qFormat/>
    <w:rsid w:val="00DD1641"/>
    <w:pPr>
      <w:ind w:left="720"/>
      <w:outlineLvl w:val="7"/>
    </w:pPr>
    <w:rPr>
      <w:i/>
    </w:rPr>
  </w:style>
  <w:style w:type="paragraph" w:styleId="Heading9">
    <w:name w:val="heading 9"/>
    <w:basedOn w:val="Normal"/>
    <w:next w:val="Normal"/>
    <w:link w:val="Heading9Char"/>
    <w:qFormat/>
    <w:rsid w:val="00DD1641"/>
    <w:pPr>
      <w:ind w:left="720"/>
      <w:outlineLvl w:val="8"/>
    </w:pPr>
    <w:rPr>
      <w:i/>
    </w:rPr>
  </w:style>
  <w:style w:type="character" w:default="1" w:styleId="DefaultParagraphFont">
    <w:name w:val="Default Paragraph Font"/>
    <w:uiPriority w:val="1"/>
    <w:unhideWhenUsed/>
    <w:rsid w:val="00DD1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641"/>
  </w:style>
  <w:style w:type="character" w:customStyle="1" w:styleId="Heading1Char">
    <w:name w:val="Heading 1 Char"/>
    <w:basedOn w:val="DefaultParagraphFont"/>
    <w:link w:val="Heading1"/>
    <w:rsid w:val="00DD1641"/>
    <w:rPr>
      <w:rFonts w:ascii="Times New Roman" w:eastAsia="Times New Roman" w:hAnsi="Times New Roman" w:cs="Times New Roman"/>
      <w:b/>
      <w:sz w:val="32"/>
      <w:szCs w:val="20"/>
      <w:lang w:eastAsia="en-US"/>
    </w:rPr>
  </w:style>
  <w:style w:type="paragraph" w:styleId="BodyText">
    <w:name w:val="Body Text"/>
    <w:basedOn w:val="Normal"/>
    <w:link w:val="BodyTextChar"/>
    <w:rsid w:val="00DD16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1641"/>
    <w:rPr>
      <w:rFonts w:ascii="Times New Roman" w:eastAsia="Times New Roman" w:hAnsi="Times New Roman" w:cs="Times New Roman"/>
      <w:sz w:val="24"/>
      <w:lang w:eastAsia="en-US"/>
    </w:rPr>
  </w:style>
  <w:style w:type="paragraph" w:styleId="ListBullet">
    <w:name w:val="List Bullet"/>
    <w:basedOn w:val="List"/>
    <w:rsid w:val="00DD1641"/>
    <w:pPr>
      <w:numPr>
        <w:numId w:val="13"/>
      </w:numPr>
      <w:tabs>
        <w:tab w:val="clear" w:pos="340"/>
      </w:tabs>
      <w:spacing w:before="40" w:after="40"/>
    </w:pPr>
  </w:style>
  <w:style w:type="character" w:customStyle="1" w:styleId="SpecialBold">
    <w:name w:val="Special Bold"/>
    <w:basedOn w:val="DefaultParagraphFont"/>
    <w:rsid w:val="00DD1641"/>
    <w:rPr>
      <w:b/>
      <w:spacing w:val="0"/>
    </w:rPr>
  </w:style>
  <w:style w:type="paragraph" w:styleId="ListBullet2">
    <w:name w:val="List Bullet 2"/>
    <w:basedOn w:val="List2"/>
    <w:rsid w:val="00DD1641"/>
    <w:pPr>
      <w:numPr>
        <w:numId w:val="14"/>
      </w:numPr>
      <w:tabs>
        <w:tab w:val="clear" w:pos="680"/>
      </w:tabs>
    </w:pPr>
  </w:style>
  <w:style w:type="paragraph" w:customStyle="1" w:styleId="SuperHeading">
    <w:name w:val="SuperHeading"/>
    <w:basedOn w:val="Normal"/>
    <w:rsid w:val="00DD1641"/>
    <w:pPr>
      <w:spacing w:before="240" w:after="120"/>
      <w:outlineLvl w:val="0"/>
    </w:pPr>
    <w:rPr>
      <w:rFonts w:ascii="Times New Roman" w:hAnsi="Times New Roman"/>
      <w:b/>
      <w:sz w:val="32"/>
    </w:rPr>
  </w:style>
  <w:style w:type="paragraph" w:customStyle="1" w:styleId="AllowPageBreak">
    <w:name w:val="AllowPageBreak"/>
    <w:rsid w:val="00DD16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1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6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6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641"/>
    <w:rPr>
      <w:rFonts w:ascii="Courier New" w:eastAsia="Times New Roman" w:hAnsi="Courier New" w:cs="Times New Roman"/>
      <w:i/>
      <w:szCs w:val="20"/>
      <w:lang w:eastAsia="en-US"/>
    </w:rPr>
  </w:style>
  <w:style w:type="paragraph" w:customStyle="1" w:styleId="HeadingBase">
    <w:name w:val="Heading Base"/>
    <w:rsid w:val="00DD1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641"/>
    <w:pPr>
      <w:tabs>
        <w:tab w:val="right" w:leader="dot" w:pos="9072"/>
      </w:tabs>
      <w:ind w:left="567"/>
    </w:pPr>
    <w:rPr>
      <w:szCs w:val="22"/>
    </w:rPr>
  </w:style>
  <w:style w:type="paragraph" w:customStyle="1" w:styleId="TOCBase">
    <w:name w:val="TOC Base"/>
    <w:rsid w:val="00DD1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641"/>
    <w:pPr>
      <w:tabs>
        <w:tab w:val="right" w:leader="dot" w:pos="9072"/>
      </w:tabs>
      <w:spacing w:before="40" w:after="40"/>
      <w:ind w:left="284"/>
    </w:pPr>
    <w:rPr>
      <w:rFonts w:ascii="Times New Roman" w:hAnsi="Times New Roman"/>
    </w:rPr>
  </w:style>
  <w:style w:type="paragraph" w:styleId="TOC1">
    <w:name w:val="toc 1"/>
    <w:basedOn w:val="TOCBase"/>
    <w:next w:val="Normal"/>
    <w:rsid w:val="00DD16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641"/>
    <w:rPr>
      <w:rFonts w:ascii="Times New Roman" w:eastAsia="Times New Roman" w:hAnsi="Times New Roman" w:cs="Times New Roman"/>
      <w:sz w:val="16"/>
      <w:lang w:eastAsia="en-US"/>
    </w:rPr>
  </w:style>
  <w:style w:type="paragraph" w:styleId="Title">
    <w:name w:val="Title"/>
    <w:basedOn w:val="HeadingBase"/>
    <w:link w:val="TitleChar"/>
    <w:qFormat/>
    <w:rsid w:val="00DD1641"/>
    <w:pPr>
      <w:spacing w:before="5040"/>
      <w:jc w:val="center"/>
    </w:pPr>
    <w:rPr>
      <w:sz w:val="48"/>
      <w:szCs w:val="72"/>
      <w:lang w:val="en-US"/>
    </w:rPr>
  </w:style>
  <w:style w:type="character" w:customStyle="1" w:styleId="TitleChar">
    <w:name w:val="Title Char"/>
    <w:basedOn w:val="DefaultParagraphFont"/>
    <w:link w:val="Title"/>
    <w:rsid w:val="00DD1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641"/>
    <w:pPr>
      <w:tabs>
        <w:tab w:val="left" w:pos="3600"/>
        <w:tab w:val="left" w:pos="3958"/>
      </w:tabs>
    </w:pPr>
  </w:style>
  <w:style w:type="paragraph" w:styleId="List">
    <w:name w:val="List"/>
    <w:basedOn w:val="BodyText"/>
    <w:next w:val="BodyText"/>
    <w:rsid w:val="00DD1641"/>
    <w:pPr>
      <w:tabs>
        <w:tab w:val="left" w:pos="340"/>
      </w:tabs>
      <w:spacing w:before="60" w:after="60"/>
      <w:ind w:left="340" w:hanging="340"/>
    </w:pPr>
  </w:style>
  <w:style w:type="paragraph" w:customStyle="1" w:styleId="Note">
    <w:name w:val="Note"/>
    <w:basedOn w:val="BodyText"/>
    <w:rsid w:val="00DD16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641"/>
    <w:pPr>
      <w:framePr w:wrap="auto" w:hAnchor="text" w:y="6049"/>
    </w:pPr>
    <w:rPr>
      <w:color w:val="000000"/>
      <w:sz w:val="40"/>
    </w:rPr>
  </w:style>
  <w:style w:type="paragraph" w:customStyle="1" w:styleId="TOCTitle">
    <w:name w:val="TOCTitle"/>
    <w:basedOn w:val="Heading1"/>
    <w:rsid w:val="00DD1641"/>
    <w:pPr>
      <w:spacing w:after="240"/>
      <w:jc w:val="center"/>
      <w:outlineLvl w:val="9"/>
    </w:pPr>
    <w:rPr>
      <w:caps/>
    </w:rPr>
  </w:style>
  <w:style w:type="paragraph" w:customStyle="1" w:styleId="Version">
    <w:name w:val="Version"/>
    <w:rsid w:val="00DD16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641"/>
    <w:pPr>
      <w:keepNext w:val="0"/>
      <w:tabs>
        <w:tab w:val="right" w:pos="4176"/>
      </w:tabs>
      <w:ind w:left="198" w:hanging="198"/>
    </w:pPr>
    <w:rPr>
      <w:rFonts w:ascii="Garamond" w:hAnsi="Garamond"/>
    </w:rPr>
  </w:style>
  <w:style w:type="paragraph" w:styleId="IndexHeading">
    <w:name w:val="index heading"/>
    <w:basedOn w:val="Normal"/>
    <w:next w:val="Index1"/>
    <w:semiHidden/>
    <w:rsid w:val="00DD1641"/>
    <w:pPr>
      <w:spacing w:before="120" w:after="120"/>
    </w:pPr>
    <w:rPr>
      <w:rFonts w:ascii="Arial" w:hAnsi="Arial"/>
      <w:b/>
      <w:color w:val="918585"/>
      <w:sz w:val="24"/>
    </w:rPr>
  </w:style>
  <w:style w:type="paragraph" w:styleId="Header">
    <w:name w:val="header"/>
    <w:basedOn w:val="Normal"/>
    <w:link w:val="HeaderChar"/>
    <w:rsid w:val="00DD1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641"/>
    <w:rPr>
      <w:rFonts w:ascii="Times New Roman" w:eastAsia="Times New Roman" w:hAnsi="Times New Roman" w:cs="Times New Roman"/>
      <w:sz w:val="16"/>
      <w:szCs w:val="20"/>
      <w:lang w:val="en-GB" w:eastAsia="en-US"/>
    </w:rPr>
  </w:style>
  <w:style w:type="paragraph" w:customStyle="1" w:styleId="Chapter">
    <w:name w:val="Chapter"/>
    <w:basedOn w:val="Normal"/>
    <w:rsid w:val="00DD1641"/>
    <w:pPr>
      <w:spacing w:before="240"/>
    </w:pPr>
    <w:rPr>
      <w:rFonts w:ascii="Times New Roman" w:hAnsi="Times New Roman"/>
      <w:smallCaps/>
      <w:spacing w:val="80"/>
      <w:sz w:val="28"/>
    </w:rPr>
  </w:style>
  <w:style w:type="paragraph" w:customStyle="1" w:styleId="InChapter">
    <w:name w:val="InChapter"/>
    <w:basedOn w:val="Heading3"/>
    <w:rsid w:val="00DD1641"/>
    <w:pPr>
      <w:spacing w:after="240"/>
      <w:outlineLvl w:val="9"/>
    </w:pPr>
    <w:rPr>
      <w:noProof/>
    </w:rPr>
  </w:style>
  <w:style w:type="paragraph" w:styleId="Index2">
    <w:name w:val="index 2"/>
    <w:basedOn w:val="Normal"/>
    <w:next w:val="Normal"/>
    <w:semiHidden/>
    <w:rsid w:val="00DD1641"/>
    <w:pPr>
      <w:tabs>
        <w:tab w:val="right" w:pos="4176"/>
      </w:tabs>
      <w:ind w:left="568" w:hanging="284"/>
    </w:pPr>
    <w:rPr>
      <w:rFonts w:ascii="Garamond" w:hAnsi="Garamond"/>
    </w:rPr>
  </w:style>
  <w:style w:type="paragraph" w:customStyle="1" w:styleId="Byline">
    <w:name w:val="Byline"/>
    <w:rsid w:val="00DD1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641"/>
    <w:pPr>
      <w:tabs>
        <w:tab w:val="clear" w:pos="3600"/>
        <w:tab w:val="clear" w:pos="3958"/>
      </w:tabs>
      <w:jc w:val="right"/>
    </w:pPr>
  </w:style>
  <w:style w:type="character" w:styleId="Emphasis">
    <w:name w:val="Emphasis"/>
    <w:basedOn w:val="DefaultParagraphFont"/>
    <w:qFormat/>
    <w:rsid w:val="00DD1641"/>
    <w:rPr>
      <w:i/>
    </w:rPr>
  </w:style>
  <w:style w:type="paragraph" w:styleId="Caption">
    <w:name w:val="caption"/>
    <w:basedOn w:val="BodyText"/>
    <w:next w:val="Normal"/>
    <w:qFormat/>
    <w:rsid w:val="00DD1641"/>
    <w:pPr>
      <w:framePr w:w="2268" w:hSpace="181" w:vSpace="181" w:wrap="around" w:vAnchor="text" w:hAnchor="page" w:x="1135" w:y="285" w:anchorLock="1"/>
    </w:pPr>
    <w:rPr>
      <w:i/>
    </w:rPr>
  </w:style>
  <w:style w:type="paragraph" w:customStyle="1" w:styleId="MiniTOCTitle">
    <w:name w:val="MiniTOCTitle"/>
    <w:basedOn w:val="Heading4"/>
    <w:rsid w:val="00DD1641"/>
    <w:pPr>
      <w:spacing w:before="240"/>
      <w:outlineLvl w:val="9"/>
    </w:pPr>
    <w:rPr>
      <w:noProof/>
      <w:sz w:val="24"/>
    </w:rPr>
  </w:style>
  <w:style w:type="paragraph" w:customStyle="1" w:styleId="MiniTOCItem">
    <w:name w:val="MiniTOCItem"/>
    <w:basedOn w:val="ListBullet"/>
    <w:rsid w:val="00DD1641"/>
    <w:pPr>
      <w:numPr>
        <w:numId w:val="0"/>
      </w:numPr>
      <w:tabs>
        <w:tab w:val="right" w:leader="dot" w:pos="6521"/>
      </w:tabs>
      <w:spacing w:before="0" w:after="0"/>
    </w:pPr>
  </w:style>
  <w:style w:type="paragraph" w:customStyle="1" w:styleId="TOFTitle">
    <w:name w:val="TOFTitle"/>
    <w:basedOn w:val="TOCTitle"/>
    <w:rsid w:val="00DD1641"/>
  </w:style>
  <w:style w:type="paragraph" w:styleId="TableofFigures">
    <w:name w:val="table of figures"/>
    <w:basedOn w:val="Normal"/>
    <w:next w:val="Normal"/>
    <w:semiHidden/>
    <w:rsid w:val="00DD1641"/>
    <w:pPr>
      <w:tabs>
        <w:tab w:val="right" w:leader="dot" w:pos="9072"/>
      </w:tabs>
      <w:ind w:left="970" w:hanging="403"/>
    </w:pPr>
    <w:rPr>
      <w:rFonts w:ascii="Times New Roman" w:hAnsi="Times New Roman"/>
      <w:b/>
    </w:rPr>
  </w:style>
  <w:style w:type="paragraph" w:styleId="ListNumber">
    <w:name w:val="List Number"/>
    <w:basedOn w:val="List"/>
    <w:rsid w:val="00DD1641"/>
    <w:pPr>
      <w:numPr>
        <w:numId w:val="11"/>
      </w:numPr>
    </w:pPr>
  </w:style>
  <w:style w:type="character" w:customStyle="1" w:styleId="WingdingSymbols">
    <w:name w:val="Wingding Symbols"/>
    <w:rsid w:val="00DD1641"/>
    <w:rPr>
      <w:rFonts w:ascii="Wingdings" w:hAnsi="Wingdings"/>
    </w:rPr>
  </w:style>
  <w:style w:type="paragraph" w:customStyle="1" w:styleId="TableHeading">
    <w:name w:val="Table Heading"/>
    <w:basedOn w:val="HeadingBase"/>
    <w:rsid w:val="00DD1641"/>
    <w:pPr>
      <w:keepLines/>
      <w:pBdr>
        <w:bottom w:val="single" w:sz="6" w:space="1" w:color="918585"/>
      </w:pBdr>
      <w:spacing w:before="240"/>
    </w:pPr>
  </w:style>
  <w:style w:type="character" w:customStyle="1" w:styleId="HotSpot">
    <w:name w:val="HotSpot"/>
    <w:rsid w:val="00DD1641"/>
    <w:rPr>
      <w:color w:val="0033CC"/>
      <w:u w:val="none"/>
    </w:rPr>
  </w:style>
  <w:style w:type="paragraph" w:customStyle="1" w:styleId="BodyTextRight">
    <w:name w:val="Body Text Right"/>
    <w:basedOn w:val="BodyText"/>
    <w:rsid w:val="00DD1641"/>
    <w:pPr>
      <w:spacing w:before="0" w:after="0"/>
      <w:jc w:val="right"/>
    </w:pPr>
  </w:style>
  <w:style w:type="paragraph" w:styleId="Index3">
    <w:name w:val="index 3"/>
    <w:basedOn w:val="ListNumber2"/>
    <w:next w:val="Normal"/>
    <w:semiHidden/>
    <w:rsid w:val="00DD1641"/>
    <w:pPr>
      <w:numPr>
        <w:numId w:val="0"/>
      </w:numPr>
      <w:tabs>
        <w:tab w:val="right" w:leader="dot" w:pos="4176"/>
      </w:tabs>
    </w:pPr>
  </w:style>
  <w:style w:type="paragraph" w:styleId="ListNumber2">
    <w:name w:val="List Number 2"/>
    <w:basedOn w:val="List2"/>
    <w:rsid w:val="00DD1641"/>
    <w:pPr>
      <w:numPr>
        <w:numId w:val="10"/>
      </w:numPr>
      <w:tabs>
        <w:tab w:val="clear" w:pos="1060"/>
      </w:tabs>
    </w:pPr>
  </w:style>
  <w:style w:type="paragraph" w:customStyle="1" w:styleId="MarginNote">
    <w:name w:val="Margin Note"/>
    <w:basedOn w:val="BodyText"/>
    <w:rsid w:val="00DD1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6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641"/>
    <w:rPr>
      <w:sz w:val="32"/>
    </w:rPr>
  </w:style>
  <w:style w:type="paragraph" w:customStyle="1" w:styleId="HeadingProcedure">
    <w:name w:val="Heading Procedure"/>
    <w:basedOn w:val="HeadingBase"/>
    <w:next w:val="Normal"/>
    <w:rsid w:val="00DD1641"/>
    <w:pPr>
      <w:tabs>
        <w:tab w:val="left" w:pos="0"/>
      </w:tabs>
      <w:spacing w:before="120" w:after="60"/>
    </w:pPr>
    <w:rPr>
      <w:i/>
      <w:color w:val="918585"/>
      <w:sz w:val="22"/>
    </w:rPr>
  </w:style>
  <w:style w:type="paragraph" w:customStyle="1" w:styleId="TableBodyText">
    <w:name w:val="Table Body Text"/>
    <w:basedOn w:val="BodyText"/>
    <w:rsid w:val="00DD1641"/>
    <w:pPr>
      <w:spacing w:before="60" w:after="60"/>
    </w:pPr>
  </w:style>
  <w:style w:type="paragraph" w:styleId="ListContinue">
    <w:name w:val="List Continue"/>
    <w:basedOn w:val="List"/>
    <w:rsid w:val="00DD1641"/>
    <w:pPr>
      <w:ind w:firstLine="0"/>
    </w:pPr>
  </w:style>
  <w:style w:type="paragraph" w:customStyle="1" w:styleId="ListNote">
    <w:name w:val="List Note"/>
    <w:basedOn w:val="List"/>
    <w:rsid w:val="00DD1641"/>
    <w:pPr>
      <w:pBdr>
        <w:top w:val="single" w:sz="6" w:space="2" w:color="918585"/>
        <w:bottom w:val="single" w:sz="6" w:space="2" w:color="918585"/>
      </w:pBdr>
      <w:tabs>
        <w:tab w:val="left" w:pos="1021"/>
      </w:tabs>
      <w:ind w:firstLine="0"/>
    </w:pPr>
  </w:style>
  <w:style w:type="paragraph" w:customStyle="1" w:styleId="Warning">
    <w:name w:val="Warning"/>
    <w:basedOn w:val="BodyText"/>
    <w:rsid w:val="00DD1641"/>
    <w:pPr>
      <w:shd w:val="clear" w:color="auto" w:fill="D9D9D9"/>
      <w:tabs>
        <w:tab w:val="left" w:pos="992"/>
      </w:tabs>
      <w:ind w:left="119" w:right="119"/>
    </w:pPr>
    <w:rPr>
      <w:sz w:val="20"/>
    </w:rPr>
  </w:style>
  <w:style w:type="paragraph" w:customStyle="1" w:styleId="MarginIcons">
    <w:name w:val="Margin Icons"/>
    <w:basedOn w:val="BodyText"/>
    <w:rsid w:val="00DD1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641"/>
    <w:rPr>
      <w:rFonts w:ascii="Courier New" w:hAnsi="Courier New"/>
    </w:rPr>
  </w:style>
  <w:style w:type="paragraph" w:customStyle="1" w:styleId="NoteBullet">
    <w:name w:val="Note Bullet"/>
    <w:basedOn w:val="Note"/>
    <w:rsid w:val="00DD1641"/>
    <w:pPr>
      <w:tabs>
        <w:tab w:val="clear" w:pos="680"/>
      </w:tabs>
      <w:spacing w:before="60" w:after="60"/>
    </w:pPr>
  </w:style>
  <w:style w:type="paragraph" w:customStyle="1" w:styleId="SubHeading2">
    <w:name w:val="SubHeading2"/>
    <w:basedOn w:val="HeadingBase"/>
    <w:rsid w:val="00DD1641"/>
    <w:pPr>
      <w:spacing w:before="240" w:after="60"/>
    </w:pPr>
    <w:rPr>
      <w:sz w:val="20"/>
    </w:rPr>
  </w:style>
  <w:style w:type="paragraph" w:customStyle="1" w:styleId="SubHeading1">
    <w:name w:val="SubHeading1"/>
    <w:basedOn w:val="HeadingBase"/>
    <w:rsid w:val="00DD1641"/>
    <w:pPr>
      <w:spacing w:before="240" w:after="60"/>
    </w:pPr>
    <w:rPr>
      <w:color w:val="918585"/>
      <w:sz w:val="22"/>
    </w:rPr>
  </w:style>
  <w:style w:type="paragraph" w:customStyle="1" w:styleId="SideHeading">
    <w:name w:val="Side Heading"/>
    <w:basedOn w:val="HeadingBase"/>
    <w:rsid w:val="00DD1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641"/>
    <w:pPr>
      <w:numPr>
        <w:numId w:val="12"/>
      </w:numPr>
    </w:pPr>
  </w:style>
  <w:style w:type="paragraph" w:styleId="PlainText">
    <w:name w:val="Plain Text"/>
    <w:basedOn w:val="Normal"/>
    <w:link w:val="PlainTextChar"/>
    <w:rsid w:val="00DD1641"/>
    <w:rPr>
      <w:sz w:val="20"/>
    </w:rPr>
  </w:style>
  <w:style w:type="character" w:customStyle="1" w:styleId="PlainTextChar">
    <w:name w:val="Plain Text Char"/>
    <w:basedOn w:val="DefaultParagraphFont"/>
    <w:link w:val="PlainText"/>
    <w:rsid w:val="00DD1641"/>
    <w:rPr>
      <w:rFonts w:ascii="Courier New" w:eastAsia="Times New Roman" w:hAnsi="Courier New" w:cs="Times New Roman"/>
      <w:sz w:val="20"/>
      <w:szCs w:val="20"/>
      <w:lang w:eastAsia="en-US"/>
    </w:rPr>
  </w:style>
  <w:style w:type="character" w:customStyle="1" w:styleId="MenuOption">
    <w:name w:val="Menu Option"/>
    <w:basedOn w:val="DefaultParagraphFont"/>
    <w:rsid w:val="00DD1641"/>
    <w:rPr>
      <w:b/>
      <w:smallCaps/>
    </w:rPr>
  </w:style>
  <w:style w:type="paragraph" w:customStyle="1" w:styleId="TableListNumber">
    <w:name w:val="Table List Number"/>
    <w:basedOn w:val="ListNumber"/>
    <w:rsid w:val="00DD1641"/>
    <w:pPr>
      <w:numPr>
        <w:numId w:val="0"/>
      </w:numPr>
    </w:pPr>
  </w:style>
  <w:style w:type="paragraph" w:styleId="TOC4">
    <w:name w:val="toc 4"/>
    <w:basedOn w:val="TOCBase"/>
    <w:next w:val="Normal"/>
    <w:semiHidden/>
    <w:rsid w:val="00DD1641"/>
    <w:pPr>
      <w:tabs>
        <w:tab w:val="right" w:leader="dot" w:pos="9071"/>
      </w:tabs>
      <w:ind w:left="1701"/>
    </w:pPr>
  </w:style>
  <w:style w:type="paragraph" w:customStyle="1" w:styleId="ListAlpha">
    <w:name w:val="List Alpha"/>
    <w:basedOn w:val="List"/>
    <w:rsid w:val="00DD1641"/>
    <w:pPr>
      <w:numPr>
        <w:numId w:val="9"/>
      </w:numPr>
    </w:pPr>
  </w:style>
  <w:style w:type="paragraph" w:customStyle="1" w:styleId="ListAlpha2">
    <w:name w:val="List Alpha 2"/>
    <w:basedOn w:val="List2"/>
    <w:rsid w:val="00DD1641"/>
    <w:pPr>
      <w:numPr>
        <w:numId w:val="8"/>
      </w:numPr>
    </w:pPr>
  </w:style>
  <w:style w:type="paragraph" w:styleId="List2">
    <w:name w:val="List 2"/>
    <w:basedOn w:val="BodyText"/>
    <w:rsid w:val="00DD1641"/>
    <w:pPr>
      <w:tabs>
        <w:tab w:val="left" w:pos="680"/>
      </w:tabs>
      <w:spacing w:before="60" w:after="60"/>
      <w:ind w:left="680" w:hanging="340"/>
    </w:pPr>
  </w:style>
  <w:style w:type="paragraph" w:styleId="List3">
    <w:name w:val="List 3"/>
    <w:basedOn w:val="BodyText"/>
    <w:rsid w:val="00DD1641"/>
    <w:pPr>
      <w:tabs>
        <w:tab w:val="left" w:pos="1021"/>
      </w:tabs>
      <w:spacing w:before="60" w:after="60"/>
      <w:ind w:left="1020" w:hanging="340"/>
    </w:pPr>
  </w:style>
  <w:style w:type="paragraph" w:styleId="List4">
    <w:name w:val="List 4"/>
    <w:basedOn w:val="BodyText"/>
    <w:rsid w:val="00DD1641"/>
    <w:pPr>
      <w:tabs>
        <w:tab w:val="left" w:pos="1361"/>
      </w:tabs>
      <w:spacing w:before="60" w:after="60"/>
      <w:ind w:left="1361" w:hanging="340"/>
    </w:pPr>
  </w:style>
  <w:style w:type="paragraph" w:styleId="List5">
    <w:name w:val="List 5"/>
    <w:basedOn w:val="BodyText"/>
    <w:rsid w:val="00DD1641"/>
    <w:pPr>
      <w:tabs>
        <w:tab w:val="left" w:pos="1701"/>
      </w:tabs>
      <w:spacing w:before="60" w:after="60"/>
      <w:ind w:left="1701" w:hanging="340"/>
    </w:pPr>
  </w:style>
  <w:style w:type="paragraph" w:styleId="ListBullet3">
    <w:name w:val="List Bullet 3"/>
    <w:basedOn w:val="List3"/>
    <w:rsid w:val="00DD1641"/>
    <w:pPr>
      <w:numPr>
        <w:numId w:val="15"/>
      </w:numPr>
      <w:tabs>
        <w:tab w:val="clear" w:pos="1021"/>
      </w:tabs>
      <w:ind w:left="1037" w:hanging="357"/>
    </w:pPr>
  </w:style>
  <w:style w:type="paragraph" w:styleId="ListBullet4">
    <w:name w:val="List Bullet 4"/>
    <w:basedOn w:val="List4"/>
    <w:rsid w:val="00DD1641"/>
    <w:pPr>
      <w:numPr>
        <w:numId w:val="3"/>
      </w:numPr>
    </w:pPr>
  </w:style>
  <w:style w:type="paragraph" w:styleId="ListBullet5">
    <w:name w:val="List Bullet 5"/>
    <w:basedOn w:val="List5"/>
    <w:rsid w:val="00DD1641"/>
    <w:pPr>
      <w:numPr>
        <w:numId w:val="4"/>
      </w:numPr>
    </w:pPr>
  </w:style>
  <w:style w:type="paragraph" w:styleId="ListContinue2">
    <w:name w:val="List Continue 2"/>
    <w:basedOn w:val="List2"/>
    <w:rsid w:val="00DD1641"/>
    <w:pPr>
      <w:ind w:firstLine="0"/>
    </w:pPr>
  </w:style>
  <w:style w:type="paragraph" w:styleId="ListContinue3">
    <w:name w:val="List Continue 3"/>
    <w:basedOn w:val="List3"/>
    <w:rsid w:val="00DD1641"/>
    <w:pPr>
      <w:ind w:left="1021" w:firstLine="0"/>
    </w:pPr>
  </w:style>
  <w:style w:type="paragraph" w:styleId="ListContinue4">
    <w:name w:val="List Continue 4"/>
    <w:basedOn w:val="List4"/>
    <w:rsid w:val="00DD1641"/>
    <w:pPr>
      <w:ind w:firstLine="0"/>
    </w:pPr>
  </w:style>
  <w:style w:type="paragraph" w:styleId="ListContinue5">
    <w:name w:val="List Continue 5"/>
    <w:basedOn w:val="List5"/>
    <w:rsid w:val="00DD1641"/>
    <w:pPr>
      <w:ind w:firstLine="0"/>
    </w:pPr>
  </w:style>
  <w:style w:type="paragraph" w:styleId="ListNumber3">
    <w:name w:val="List Number 3"/>
    <w:basedOn w:val="List3"/>
    <w:rsid w:val="00DD1641"/>
    <w:pPr>
      <w:numPr>
        <w:numId w:val="5"/>
      </w:numPr>
    </w:pPr>
  </w:style>
  <w:style w:type="paragraph" w:styleId="ListNumber4">
    <w:name w:val="List Number 4"/>
    <w:basedOn w:val="List4"/>
    <w:rsid w:val="00DD1641"/>
    <w:pPr>
      <w:numPr>
        <w:numId w:val="6"/>
      </w:numPr>
    </w:pPr>
  </w:style>
  <w:style w:type="paragraph" w:styleId="ListNumber5">
    <w:name w:val="List Number 5"/>
    <w:basedOn w:val="List5"/>
    <w:rsid w:val="00DD1641"/>
    <w:pPr>
      <w:numPr>
        <w:numId w:val="7"/>
      </w:numPr>
    </w:pPr>
  </w:style>
  <w:style w:type="paragraph" w:styleId="BlockText">
    <w:name w:val="Block Text"/>
    <w:basedOn w:val="Normal"/>
    <w:rsid w:val="00DD1641"/>
    <w:pPr>
      <w:spacing w:after="120"/>
      <w:ind w:left="1440" w:right="1440"/>
    </w:pPr>
  </w:style>
  <w:style w:type="character" w:customStyle="1" w:styleId="Subscript">
    <w:name w:val="Subscript"/>
    <w:basedOn w:val="DefaultParagraphFont"/>
    <w:rsid w:val="00DD1641"/>
    <w:rPr>
      <w:sz w:val="16"/>
      <w:vertAlign w:val="subscript"/>
    </w:rPr>
  </w:style>
  <w:style w:type="character" w:customStyle="1" w:styleId="Superscript">
    <w:name w:val="Superscript"/>
    <w:basedOn w:val="DefaultParagraphFont"/>
    <w:rsid w:val="00DD1641"/>
    <w:rPr>
      <w:sz w:val="16"/>
      <w:vertAlign w:val="superscript"/>
    </w:rPr>
  </w:style>
  <w:style w:type="character" w:customStyle="1" w:styleId="Symbols">
    <w:name w:val="Symbols"/>
    <w:basedOn w:val="DefaultParagraphFont"/>
    <w:rsid w:val="00DD1641"/>
    <w:rPr>
      <w:rFonts w:ascii="Symbol" w:hAnsi="Symbol"/>
    </w:rPr>
  </w:style>
  <w:style w:type="character" w:customStyle="1" w:styleId="MenuOptions">
    <w:name w:val="Menu Options"/>
    <w:basedOn w:val="DefaultParagraphFont"/>
    <w:rsid w:val="00DD1641"/>
    <w:rPr>
      <w:rFonts w:ascii="Arial Narrow" w:hAnsi="Arial Narrow"/>
      <w:smallCaps/>
    </w:rPr>
  </w:style>
  <w:style w:type="character" w:customStyle="1" w:styleId="Buttons">
    <w:name w:val="Buttons"/>
    <w:basedOn w:val="DefaultParagraphFont"/>
    <w:rsid w:val="00DD1641"/>
    <w:rPr>
      <w:b/>
    </w:rPr>
  </w:style>
  <w:style w:type="character" w:customStyle="1" w:styleId="Underlined">
    <w:name w:val="Underlined"/>
    <w:basedOn w:val="DefaultParagraphFont"/>
    <w:rsid w:val="00DD1641"/>
    <w:rPr>
      <w:u w:val="single"/>
    </w:rPr>
  </w:style>
  <w:style w:type="paragraph" w:customStyle="1" w:styleId="TableBodyTextRight">
    <w:name w:val="Table Body Text Right"/>
    <w:basedOn w:val="TableBodyText"/>
    <w:rsid w:val="00DD1641"/>
    <w:pPr>
      <w:widowControl w:val="0"/>
      <w:autoSpaceDE w:val="0"/>
      <w:autoSpaceDN w:val="0"/>
      <w:adjustRightInd w:val="0"/>
      <w:jc w:val="right"/>
    </w:pPr>
    <w:rPr>
      <w:rFonts w:cs="Arial"/>
      <w:szCs w:val="18"/>
    </w:rPr>
  </w:style>
  <w:style w:type="paragraph" w:customStyle="1" w:styleId="CopyrightText">
    <w:name w:val="Copyright Text"/>
    <w:basedOn w:val="BodyText"/>
    <w:rsid w:val="00DD1641"/>
    <w:rPr>
      <w:sz w:val="18"/>
    </w:rPr>
  </w:style>
  <w:style w:type="paragraph" w:customStyle="1" w:styleId="BodySmallRight">
    <w:name w:val="Body Small Right"/>
    <w:basedOn w:val="BodyTextRight"/>
    <w:rsid w:val="00DD1641"/>
    <w:rPr>
      <w:sz w:val="18"/>
      <w:szCs w:val="18"/>
    </w:rPr>
  </w:style>
  <w:style w:type="paragraph" w:customStyle="1" w:styleId="MarginEdition">
    <w:name w:val="Margin Edition"/>
    <w:basedOn w:val="MarginNote"/>
    <w:rsid w:val="00DD1641"/>
    <w:pPr>
      <w:spacing w:before="0" w:after="0"/>
    </w:pPr>
    <w:rPr>
      <w:rFonts w:ascii="Times New Roman" w:hAnsi="Times New Roman"/>
      <w:color w:val="999999"/>
    </w:rPr>
  </w:style>
  <w:style w:type="paragraph" w:customStyle="1" w:styleId="Spacer">
    <w:name w:val="Spacer"/>
    <w:basedOn w:val="Normal"/>
    <w:rsid w:val="00DD1641"/>
    <w:rPr>
      <w:sz w:val="2"/>
      <w:szCs w:val="2"/>
    </w:rPr>
  </w:style>
  <w:style w:type="character" w:customStyle="1" w:styleId="Small">
    <w:name w:val="Small"/>
    <w:basedOn w:val="DefaultParagraphFont"/>
    <w:rsid w:val="00DD1641"/>
    <w:rPr>
      <w:sz w:val="16"/>
    </w:rPr>
  </w:style>
  <w:style w:type="paragraph" w:customStyle="1" w:styleId="WideTable">
    <w:name w:val="Wide Table"/>
    <w:basedOn w:val="Normal"/>
    <w:rsid w:val="00DD1641"/>
    <w:pPr>
      <w:ind w:left="-1418"/>
    </w:pPr>
    <w:rPr>
      <w:sz w:val="2"/>
      <w:szCs w:val="2"/>
    </w:rPr>
  </w:style>
  <w:style w:type="character" w:styleId="PageNumber">
    <w:name w:val="page number"/>
    <w:basedOn w:val="DefaultParagraphFont"/>
    <w:rsid w:val="00DD1641"/>
  </w:style>
  <w:style w:type="paragraph" w:styleId="Quote">
    <w:name w:val="Quote"/>
    <w:basedOn w:val="Heading1"/>
    <w:link w:val="QuoteChar"/>
    <w:qFormat/>
    <w:rsid w:val="00DD1641"/>
    <w:rPr>
      <w:b w:val="0"/>
      <w:sz w:val="72"/>
      <w:szCs w:val="72"/>
      <w:lang w:val="en-NZ"/>
    </w:rPr>
  </w:style>
  <w:style w:type="character" w:customStyle="1" w:styleId="QuoteChar">
    <w:name w:val="Quote Char"/>
    <w:basedOn w:val="DefaultParagraphFont"/>
    <w:link w:val="Quote"/>
    <w:rsid w:val="00DD1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641"/>
    <w:pPr>
      <w:pageBreakBefore/>
    </w:pPr>
  </w:style>
  <w:style w:type="paragraph" w:customStyle="1" w:styleId="Border">
    <w:name w:val="Border"/>
    <w:basedOn w:val="Normal"/>
    <w:qFormat/>
    <w:rsid w:val="00DD1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641"/>
    <w:rPr>
      <w:b/>
      <w:bCs/>
      <w:i/>
      <w:iCs/>
      <w:color w:val="auto"/>
    </w:rPr>
  </w:style>
  <w:style w:type="paragraph" w:styleId="IntenseQuote">
    <w:name w:val="Intense Quote"/>
    <w:basedOn w:val="Normal"/>
    <w:next w:val="Normal"/>
    <w:link w:val="IntenseQuoteChar"/>
    <w:uiPriority w:val="30"/>
    <w:qFormat/>
    <w:rsid w:val="00DD1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6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641"/>
    <w:rPr>
      <w:smallCaps/>
      <w:color w:val="auto"/>
      <w:u w:val="single"/>
    </w:rPr>
  </w:style>
  <w:style w:type="character" w:styleId="IntenseReference">
    <w:name w:val="Intense Reference"/>
    <w:basedOn w:val="DefaultParagraphFont"/>
    <w:uiPriority w:val="32"/>
    <w:qFormat/>
    <w:rsid w:val="00DD1641"/>
    <w:rPr>
      <w:b/>
      <w:bCs/>
      <w:smallCaps/>
      <w:color w:val="auto"/>
      <w:spacing w:val="5"/>
      <w:u w:val="single"/>
    </w:rPr>
  </w:style>
  <w:style w:type="paragraph" w:customStyle="1" w:styleId="2ColumnHeading">
    <w:name w:val="2Column Heading"/>
    <w:basedOn w:val="BodyText"/>
    <w:qFormat/>
    <w:rsid w:val="00DD1641"/>
    <w:pPr>
      <w:spacing w:after="60"/>
      <w:ind w:left="-2268"/>
    </w:pPr>
    <w:rPr>
      <w:b/>
    </w:rPr>
  </w:style>
  <w:style w:type="paragraph" w:customStyle="1" w:styleId="Heading1TOC">
    <w:name w:val="Heading1 TOC"/>
    <w:basedOn w:val="Normal"/>
    <w:qFormat/>
    <w:rsid w:val="00DD1641"/>
    <w:pPr>
      <w:spacing w:before="240" w:after="120"/>
    </w:pPr>
    <w:rPr>
      <w:rFonts w:ascii="Times New Roman" w:hAnsi="Times New Roman"/>
      <w:b/>
      <w:sz w:val="32"/>
    </w:rPr>
  </w:style>
  <w:style w:type="paragraph" w:customStyle="1" w:styleId="Heading2TOC">
    <w:name w:val="Heading2 TOC"/>
    <w:basedOn w:val="Normal"/>
    <w:qFormat/>
    <w:rsid w:val="00DD1641"/>
    <w:pPr>
      <w:spacing w:before="240" w:after="60"/>
    </w:pPr>
    <w:rPr>
      <w:rFonts w:ascii="Times New Roman" w:hAnsi="Times New Roman"/>
      <w:b/>
      <w:sz w:val="28"/>
    </w:rPr>
  </w:style>
  <w:style w:type="character" w:customStyle="1" w:styleId="Underline">
    <w:name w:val="Underline"/>
    <w:basedOn w:val="DefaultParagraphFont"/>
    <w:qFormat/>
    <w:rsid w:val="00DD1641"/>
    <w:rPr>
      <w:u w:val="single"/>
    </w:rPr>
  </w:style>
  <w:style w:type="character" w:customStyle="1" w:styleId="BoldandItalics">
    <w:name w:val="Bold and Italics"/>
    <w:qFormat/>
    <w:rsid w:val="00DD1641"/>
    <w:rPr>
      <w:b/>
      <w:i/>
      <w:u w:val="none"/>
    </w:rPr>
  </w:style>
  <w:style w:type="paragraph" w:styleId="BalloonText">
    <w:name w:val="Balloon Text"/>
    <w:basedOn w:val="Normal"/>
    <w:link w:val="BalloonTextChar"/>
    <w:rsid w:val="00DD1641"/>
    <w:rPr>
      <w:rFonts w:ascii="Tahoma" w:hAnsi="Tahoma" w:cs="Tahoma"/>
      <w:sz w:val="16"/>
      <w:szCs w:val="16"/>
    </w:rPr>
  </w:style>
  <w:style w:type="character" w:customStyle="1" w:styleId="BalloonTextChar">
    <w:name w:val="Balloon Text Char"/>
    <w:basedOn w:val="DefaultParagraphFont"/>
    <w:link w:val="BalloonText"/>
    <w:rsid w:val="00DD16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6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16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641"/>
    <w:rPr>
      <w:b/>
      <w:color w:val="660033"/>
      <w:spacing w:val="0"/>
    </w:rPr>
  </w:style>
  <w:style w:type="paragraph" w:customStyle="1" w:styleId="Nameditemlist">
    <w:name w:val="Named item list"/>
    <w:basedOn w:val="BodyText"/>
    <w:qFormat/>
    <w:rsid w:val="00DD16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2169</Words>
  <Characters>13587</Characters>
  <Application>Microsoft Office Word</Application>
  <DocSecurity>0</DocSecurity>
  <Lines>488</Lines>
  <Paragraphs>212</Paragraphs>
  <ScaleCrop>false</ScaleCrop>
  <Company>Author-it Software Corporation Ltd.</Company>
  <LinksUpToDate>false</LinksUpToDate>
  <CharactersWithSpaces>15643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UEENEEJ133A Design industrial refrigeration systems and select components</dc:title>
  <dc:subject>Approved</dc:subject>
  <dc:creator>E-OZ Training Standards</dc:creator>
  <cp:keywords>Release: 3</cp:keywords>
  <dc:description>Review Date: 12 April 2008</dc:description>
  <cp:lastModifiedBy>TPCMS</cp:lastModifiedBy>
  <cp:revision>3</cp:revision>
  <dcterms:created xsi:type="dcterms:W3CDTF">2013-08-14T07:28:00Z</dcterms:created>
  <dcterms:modified xsi:type="dcterms:W3CDTF">2013-08-14T07:28:00Z</dcterms:modified>
</cp:coreProperties>
</file>