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60E9" w:rsidP="00EA60E9">
      <w:pPr>
        <w:pStyle w:val="Title"/>
      </w:pPr>
      <w:r>
        <w:fldChar w:fldCharType="begin"/>
      </w:r>
      <w:r>
        <w:instrText xml:space="preserve"> TITLE   \* MERGEFORMAT </w:instrText>
      </w:r>
      <w:r>
        <w:fldChar w:fldCharType="separate"/>
      </w:r>
      <w:r>
        <w:t>UEENEEJ129A Establish heat loads for commercial refrigeration and/or air conditioning applications</w:t>
      </w:r>
      <w:r>
        <w:fldChar w:fldCharType="end"/>
      </w:r>
    </w:p>
    <w:p w:rsidR="00EA60E9" w:rsidP="00EA60E9">
      <w:pPr>
        <w:pStyle w:val="Version"/>
        <w:sectPr w:rsidSect="00C850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850C3" w:rsidP="00C850C3">
      <w:pPr>
        <w:pStyle w:val="SuperHeading"/>
      </w:pPr>
      <w:r w:rsidRPr="00C850C3">
        <w:t>UEENEEJ129A Establish heat loads for commercial refrigeration and/or air conditioning applications</w:t>
      </w:r>
    </w:p>
    <w:p w:rsidR="00000000" w:rsidRPr="00C850C3" w:rsidP="00C850C3">
      <w:pPr>
        <w:pStyle w:val="Heading1"/>
      </w:pPr>
      <w:bookmarkStart w:id="1" w:name="O_589782"/>
      <w:bookmarkEnd w:id="1"/>
      <w:r w:rsidRPr="00C850C3">
        <w:t>Modification History</w:t>
      </w:r>
    </w:p>
    <w:p w:rsidR="00000000" w:rsidRPr="00C850C3" w:rsidP="00C850C3">
      <w:pPr>
        <w:pStyle w:val="BodyText"/>
      </w:pPr>
      <w:r w:rsidRPr="00C850C3">
        <w:t>Not Applicable</w:t>
      </w:r>
    </w:p>
    <w:p w:rsidR="00000000" w:rsidRPr="00C850C3" w:rsidP="00C850C3">
      <w:pPr>
        <w:pStyle w:val="AllowPageBreak"/>
      </w:pPr>
    </w:p>
    <w:p w:rsidR="00000000" w:rsidRPr="00C850C3" w:rsidP="00C850C3">
      <w:pPr>
        <w:pStyle w:val="Heading1"/>
      </w:pPr>
      <w:bookmarkStart w:id="2" w:name="O_589781"/>
      <w:bookmarkEnd w:id="2"/>
      <w:r w:rsidRPr="00C850C3">
        <w:t>Unit Descriptor</w:t>
      </w:r>
    </w:p>
    <w:tbl>
      <w:tblPr>
        <w:tblW w:w="0" w:type="auto"/>
        <w:tblLayout w:type="fixed"/>
        <w:tblCellMar>
          <w:left w:w="62" w:type="dxa"/>
          <w:right w:w="62" w:type="dxa"/>
        </w:tblCellMar>
        <w:tblLook w:val="0000"/>
      </w:tblPr>
      <w:tblGrid>
        <w:gridCol w:w="2700"/>
        <w:gridCol w:w="5760"/>
      </w:tblGrid>
      <w:tr w:rsidTr="00EA60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rPr>
                <w:rStyle w:val="SpecialBold"/>
              </w:rPr>
              <w:t>1</w:t>
            </w:r>
            <w:r w:rsidRPr="00C850C3">
              <w:t xml:space="preserve">) </w:t>
            </w:r>
          </w:p>
          <w:p w:rsidR="00000000" w:rsidP="00C850C3">
            <w:pPr>
              <w:pStyle w:val="BodyText"/>
              <w:rPr>
                <w:lang w:val="en-NZ"/>
              </w:rPr>
            </w:pPr>
            <w:r w:rsidRPr="00C850C3">
              <w:rPr>
                <w:rStyle w:val="SpecialBold"/>
              </w:rPr>
              <w:t>1</w:t>
            </w:r>
            <w:r w:rsidRPr="00C850C3">
              <w:t>.</w:t>
            </w:r>
            <w:r w:rsidRPr="00C850C3">
              <w:rPr>
                <w:rStyle w:val="SpecialBold"/>
              </w:rPr>
              <w:t>1</w:t>
            </w:r>
            <w:r w:rsidRPr="00C850C3">
              <w:t xml:space="preserve">) </w:t>
            </w:r>
            <w:r w:rsidRPr="00C850C3">
              <w:rPr>
                <w:rStyle w:val="SpecialBold"/>
              </w:rPr>
              <w:t>Descriptor</w:t>
            </w:r>
          </w:p>
        </w:tc>
      </w:tr>
      <w:tr w:rsidTr="00EA60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t>This unit covers the determination of the heat loads for commercial refrigeration and/or air conditioning applications. It encompasses working safely; determining heat loads using quick selection, short form paper and computer based methods and documenting</w:t>
            </w:r>
            <w:r w:rsidRPr="00C850C3">
              <w:t xml:space="preserve"> results.</w:t>
            </w:r>
          </w:p>
        </w:tc>
      </w:tr>
    </w:tbl>
    <w:p w:rsidR="00EA60E9" w:rsidP="00C850C3">
      <w:pPr>
        <w:pStyle w:val="BodyText"/>
      </w:pPr>
    </w:p>
    <w:p w:rsidR="00EA60E9" w:rsidP="00C850C3">
      <w:pPr>
        <w:pStyle w:val="BodyText"/>
      </w:pPr>
    </w:p>
    <w:p w:rsidR="00000000" w:rsidRPr="00C850C3" w:rsidP="00C850C3">
      <w:pPr>
        <w:pStyle w:val="Heading1"/>
      </w:pPr>
      <w:bookmarkStart w:id="3" w:name="O_589780"/>
      <w:bookmarkEnd w:id="3"/>
      <w:r w:rsidRPr="00C850C3">
        <w:t>Application of the Unit</w:t>
      </w:r>
    </w:p>
    <w:tbl>
      <w:tblPr>
        <w:tblW w:w="0" w:type="auto"/>
        <w:tblLayout w:type="fixed"/>
        <w:tblCellMar>
          <w:left w:w="62" w:type="dxa"/>
          <w:right w:w="62" w:type="dxa"/>
        </w:tblCellMar>
        <w:tblLook w:val="0000"/>
      </w:tblPr>
      <w:tblGrid>
        <w:gridCol w:w="2700"/>
        <w:gridCol w:w="5760"/>
      </w:tblGrid>
      <w:tr w:rsidTr="00EA60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rPr>
                <w:rStyle w:val="SpecialBold"/>
              </w:rPr>
              <w:t>4</w:t>
            </w:r>
            <w:r w:rsidRPr="00C850C3">
              <w:t>)</w:t>
            </w:r>
          </w:p>
        </w:tc>
      </w:tr>
      <w:tr w:rsidTr="00EA60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t xml:space="preserve">This unit is intended as an additional competency to relevant competencies previously acquired. It is suitable for employment-based programs </w:t>
            </w:r>
            <w:r w:rsidRPr="00C850C3">
              <w:t>under an approved contract of training or institutional based delivery at the aligned AQF 4 level.</w:t>
            </w:r>
          </w:p>
        </w:tc>
      </w:tr>
    </w:tbl>
    <w:p w:rsidR="00EA60E9" w:rsidP="00C850C3">
      <w:pPr>
        <w:pStyle w:val="BodyText"/>
      </w:pPr>
    </w:p>
    <w:p w:rsidR="00EA60E9" w:rsidP="00C850C3">
      <w:pPr>
        <w:pStyle w:val="BodyText"/>
      </w:pPr>
    </w:p>
    <w:p w:rsidR="00000000" w:rsidRPr="00C850C3" w:rsidP="00C850C3">
      <w:pPr>
        <w:pStyle w:val="Heading1"/>
      </w:pPr>
      <w:bookmarkStart w:id="4" w:name="O_589779"/>
      <w:bookmarkEnd w:id="4"/>
      <w:r w:rsidRPr="00C850C3">
        <w:t>Licensing/Regulatory Information</w:t>
      </w:r>
    </w:p>
    <w:tbl>
      <w:tblPr>
        <w:tblW w:w="0" w:type="auto"/>
        <w:tblLayout w:type="fixed"/>
        <w:tblCellMar>
          <w:left w:w="62" w:type="dxa"/>
          <w:right w:w="62" w:type="dxa"/>
        </w:tblCellMar>
        <w:tblLook w:val="0000"/>
      </w:tblPr>
      <w:tblGrid>
        <w:gridCol w:w="8460"/>
      </w:tblGrid>
      <w:tr w:rsidTr="00EA60E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rPr>
                <w:rStyle w:val="SpecialBold"/>
              </w:rPr>
              <w:t>1</w:t>
            </w:r>
            <w:r w:rsidRPr="00C850C3">
              <w:t>.</w:t>
            </w:r>
            <w:r w:rsidRPr="00C850C3">
              <w:rPr>
                <w:rStyle w:val="SpecialBold"/>
              </w:rPr>
              <w:t>2</w:t>
            </w:r>
            <w:r w:rsidRPr="00C850C3">
              <w:t xml:space="preserve">) </w:t>
            </w:r>
            <w:r w:rsidRPr="00C850C3">
              <w:rPr>
                <w:rStyle w:val="SpecialBold"/>
              </w:rPr>
              <w:t>License to practice</w:t>
            </w:r>
          </w:p>
        </w:tc>
      </w:tr>
      <w:tr w:rsidTr="00EA60E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t>The skills and knowledge described in this unit require a license to practice in the workplace where plant and equipment operate at voltage above 50 V a.c. or 120 V d.c. In some States/Territories a licence is required to practise this unit in the workplac</w:t>
            </w:r>
            <w:r w:rsidRPr="00C850C3">
              <w:t>e subject to regulations for undertaking refrigeration and air conditioning work and in particular working with refrigerants. Practice in workplace and during training is also subject to regulations directly related to occupational health and safety and wh</w:t>
            </w:r>
            <w:r w:rsidRPr="00C850C3">
              <w:t>ere applicable contracts of training such as apprenticeships.</w:t>
            </w:r>
          </w:p>
          <w:p w:rsidR="00000000" w:rsidRPr="00C850C3" w:rsidP="00C850C3">
            <w:pPr>
              <w:pStyle w:val="BodyText"/>
            </w:pPr>
            <w:r w:rsidRPr="00C850C3">
              <w:t xml:space="preserve">Note: </w:t>
            </w:r>
            <w:r w:rsidRPr="00C850C3">
              <w:br/>
              <w:t>1. Compliance with permits may be required in various jurisdictions and typically relates to the operation of plant, machinery and equipment such as elevating work platforms, powder opera</w:t>
            </w:r>
            <w:r w:rsidRPr="00C850C3">
              <w:t>ted fixing tools, power operated tools, vehicles, road signage and traffic control, lifting equipment. Permits may also be required for some work environments such as confined spaces, working aloft, near live electrical apparatus and site rehabilitation.</w:t>
            </w:r>
            <w:r w:rsidRPr="00C850C3">
              <w:br/>
              <w:t>2</w:t>
            </w:r>
            <w:r w:rsidRPr="00C850C3">
              <w:t>. Compliance may be required in various jurisdictions relating to currency in First Aid, confined space, lifting and risk safety measures.</w:t>
            </w:r>
          </w:p>
        </w:tc>
      </w:tr>
    </w:tbl>
    <w:p w:rsidR="00EA60E9" w:rsidP="00C850C3">
      <w:pPr>
        <w:pStyle w:val="BodyText"/>
      </w:pPr>
    </w:p>
    <w:p w:rsidR="00EA60E9" w:rsidP="00C850C3">
      <w:pPr>
        <w:pStyle w:val="BodyText"/>
      </w:pPr>
    </w:p>
    <w:p w:rsidR="00000000" w:rsidRPr="00C850C3" w:rsidP="00C850C3">
      <w:pPr>
        <w:pStyle w:val="Heading1"/>
      </w:pPr>
      <w:bookmarkStart w:id="5" w:name="O_589778"/>
      <w:bookmarkEnd w:id="5"/>
      <w:r w:rsidRPr="00C850C3">
        <w:t>Pre-Requisites</w:t>
      </w:r>
    </w:p>
    <w:tbl>
      <w:tblPr>
        <w:tblW w:w="0" w:type="auto"/>
        <w:tblLayout w:type="fixed"/>
        <w:tblCellMar>
          <w:left w:w="62" w:type="dxa"/>
          <w:right w:w="62" w:type="dxa"/>
        </w:tblCellMar>
        <w:tblLook w:val="0000"/>
      </w:tblPr>
      <w:tblGrid>
        <w:gridCol w:w="2700"/>
        <w:gridCol w:w="5760"/>
      </w:tblGrid>
      <w:tr w:rsidTr="00EA60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rPr>
                <w:rStyle w:val="SpecialBold"/>
              </w:rPr>
              <w:t>Prerequisite Unit</w:t>
            </w:r>
            <w:r w:rsidRPr="00C850C3">
              <w:t>(</w:t>
            </w:r>
            <w:r w:rsidRPr="00C850C3">
              <w:rPr>
                <w:rStyle w:val="SpecialBold"/>
              </w:rPr>
              <w:t>s</w:t>
            </w:r>
            <w:r w:rsidRPr="00C850C3">
              <w:t>)</w:t>
            </w:r>
          </w:p>
        </w:tc>
        <w:tc>
          <w:tcPr>
            <w:tcW w:w="576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rPr>
                <w:rStyle w:val="SpecialBold"/>
              </w:rPr>
              <w:t>2</w:t>
            </w:r>
            <w:r w:rsidRPr="00C850C3">
              <w:t xml:space="preserve">) </w:t>
            </w:r>
          </w:p>
        </w:tc>
      </w:tr>
      <w:tr w:rsidTr="00EA60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850C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rPr>
                <w:rStyle w:val="SpecialBold"/>
              </w:rPr>
              <w:t>2</w:t>
            </w:r>
            <w:r w:rsidRPr="00C850C3">
              <w:t>.</w:t>
            </w:r>
            <w:r w:rsidRPr="00C850C3">
              <w:rPr>
                <w:rStyle w:val="SpecialBold"/>
              </w:rPr>
              <w:t>1</w:t>
            </w:r>
            <w:r w:rsidRPr="00C850C3">
              <w:t xml:space="preserve">) </w:t>
            </w:r>
            <w:r w:rsidRPr="00C850C3">
              <w:rPr>
                <w:rStyle w:val="SpecialBold"/>
              </w:rPr>
              <w:t>Competencies</w:t>
            </w:r>
          </w:p>
        </w:tc>
      </w:tr>
      <w:tr w:rsidTr="00EA60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t>Granting competency in this unit s</w:t>
            </w:r>
            <w:r w:rsidRPr="00C850C3">
              <w:t>hall be made only after competency in the following unit(s) has/have been confirmed.</w:t>
            </w:r>
          </w:p>
          <w:p w:rsidR="00000000" w:rsidRPr="00C850C3" w:rsidP="00C850C3">
            <w:pPr>
              <w:pStyle w:val="BodyText"/>
            </w:pPr>
            <w:r w:rsidRPr="00C850C3">
              <w:t>UEENEEJ127A Establish the thermodynamic parameters of refrigeration and air conditioning systems</w:t>
            </w:r>
          </w:p>
          <w:p w:rsidR="00000000" w:rsidRPr="00C850C3" w:rsidP="00C850C3">
            <w:pPr>
              <w:pStyle w:val="BodyText"/>
            </w:pPr>
            <w:r w:rsidRPr="00C850C3">
              <w:t>UEENEEJ192A Analyse the psychrometric performance of HVAC/R systems</w:t>
            </w:r>
          </w:p>
          <w:p w:rsidR="00000000" w:rsidRPr="00C850C3" w:rsidP="00C850C3">
            <w:pPr>
              <w:pStyle w:val="BodyText"/>
            </w:pPr>
            <w:r w:rsidRPr="00C850C3">
              <w:t xml:space="preserve">and </w:t>
            </w:r>
          </w:p>
          <w:p w:rsidR="00000000" w:rsidRPr="00C850C3" w:rsidP="00C850C3">
            <w:pPr>
              <w:pStyle w:val="BodyText"/>
            </w:pPr>
            <w:r w:rsidRPr="00C850C3">
              <w:t>U</w:t>
            </w:r>
            <w:r w:rsidRPr="00C850C3">
              <w:t>EENEEJ193A  Analyse the thermodynamic performance of HVAC/R systems</w:t>
            </w:r>
          </w:p>
          <w:p w:rsidR="00000000" w:rsidRPr="00C850C3" w:rsidP="00C850C3">
            <w:pPr>
              <w:pStyle w:val="BodyText"/>
            </w:pPr>
            <w:r w:rsidRPr="00C850C3">
              <w:t xml:space="preserve">or </w:t>
            </w:r>
          </w:p>
          <w:p w:rsidR="00000000" w:rsidRPr="00C850C3" w:rsidP="00C850C3">
            <w:pPr>
              <w:pStyle w:val="BodyText"/>
            </w:pPr>
            <w:r w:rsidRPr="00C850C3">
              <w:t xml:space="preserve">UEENEEJ109A Verify functionality and compliance of </w:t>
            </w:r>
            <w:r w:rsidRPr="00C850C3">
              <w:t>refrigeration and air conditioning installations</w:t>
            </w:r>
          </w:p>
          <w:p w:rsidR="00000000" w:rsidRPr="00C850C3" w:rsidP="00C850C3">
            <w:pPr>
              <w:pStyle w:val="BodyText"/>
            </w:pPr>
            <w:r w:rsidRPr="00C850C3">
              <w:t>UEENEEE101A Apply Occupational Health and Safety regulations, codes and practices in</w:t>
            </w:r>
            <w:r w:rsidRPr="00C850C3">
              <w:t xml:space="preserve"> the workplace</w:t>
            </w:r>
          </w:p>
          <w:p w:rsidR="00000000" w:rsidRPr="00C850C3" w:rsidP="00C850C3">
            <w:pPr>
              <w:pStyle w:val="BodyText"/>
            </w:pPr>
            <w:r w:rsidRPr="00C850C3">
              <w:t>UEENEEE102A Fabricate, assemble and dismantle utilities industry components</w:t>
            </w:r>
          </w:p>
          <w:p w:rsidR="00000000" w:rsidRPr="00C850C3" w:rsidP="00C850C3">
            <w:pPr>
              <w:pStyle w:val="BodyText"/>
            </w:pPr>
            <w:r w:rsidRPr="00C850C3">
              <w:t>UEENEEE003B Solve problems in extra-low voltage single path circuits</w:t>
            </w:r>
          </w:p>
          <w:p w:rsidR="00000000" w:rsidRPr="00C850C3" w:rsidP="00C850C3">
            <w:pPr>
              <w:pStyle w:val="BodyText"/>
            </w:pPr>
            <w:r w:rsidRPr="00C850C3">
              <w:t>UEENEEE105A Fix and secure electrotechnology equipment</w:t>
            </w:r>
          </w:p>
          <w:p w:rsidR="00000000" w:rsidRPr="00C850C3" w:rsidP="00C850C3">
            <w:pPr>
              <w:pStyle w:val="BodyText"/>
            </w:pPr>
            <w:r w:rsidRPr="00C850C3">
              <w:t>UEENEEE107A Use drawings, diagrams, sched</w:t>
            </w:r>
            <w:r w:rsidRPr="00C850C3">
              <w:t>ules, standards, codes and specifications</w:t>
            </w:r>
          </w:p>
          <w:p w:rsidR="00000000" w:rsidRPr="00C850C3" w:rsidP="00C850C3">
            <w:pPr>
              <w:pStyle w:val="BodyText"/>
            </w:pPr>
            <w:r w:rsidRPr="00C850C3">
              <w:t>UEENEEE137A Document and apply measures to control OHS risks associated with electrotechnology work</w:t>
            </w:r>
          </w:p>
          <w:p w:rsidR="00000000" w:rsidRPr="00C850C3" w:rsidP="00C850C3">
            <w:pPr>
              <w:pStyle w:val="BodyText"/>
            </w:pPr>
            <w:r w:rsidRPr="00C850C3">
              <w:t>UEENEEJ102A Prepare and connect refrigerant tubing and fittings</w:t>
            </w:r>
          </w:p>
          <w:p w:rsidR="00000000" w:rsidRPr="00C850C3" w:rsidP="00C850C3">
            <w:pPr>
              <w:pStyle w:val="BodyText"/>
            </w:pPr>
            <w:r w:rsidRPr="00C850C3">
              <w:t>UEENEEJ103A Establish the basic operating conditions of vapour compression systems</w:t>
            </w:r>
          </w:p>
          <w:p w:rsidR="00000000" w:rsidRPr="00C850C3" w:rsidP="00C850C3">
            <w:pPr>
              <w:pStyle w:val="BodyText"/>
            </w:pPr>
            <w:r w:rsidRPr="00C850C3">
              <w:t>UEENEEJ104A Establish the basic operating conditions of air conditioning systems</w:t>
            </w:r>
          </w:p>
          <w:p w:rsidR="00000000" w:rsidRPr="00C850C3" w:rsidP="00C850C3">
            <w:pPr>
              <w:pStyle w:val="BodyText"/>
            </w:pPr>
            <w:r w:rsidRPr="00C850C3">
              <w:t>UEENEEJ106A Install refrigerant pipe work, flow controls and accessories</w:t>
            </w:r>
          </w:p>
          <w:p w:rsidR="00000000" w:rsidRPr="00C850C3" w:rsidP="00C850C3">
            <w:pPr>
              <w:pStyle w:val="BodyText"/>
            </w:pPr>
            <w:r w:rsidRPr="00C850C3">
              <w:t>UEENEEJ107A Install</w:t>
            </w:r>
            <w:r w:rsidRPr="00C850C3">
              <w:t xml:space="preserve"> air conditioning and refrigeration systems, major components and associated equipment</w:t>
            </w:r>
          </w:p>
          <w:p w:rsidR="00000000" w:rsidRPr="00C850C3" w:rsidP="00C850C3">
            <w:pPr>
              <w:pStyle w:val="BodyText"/>
            </w:pPr>
            <w:r w:rsidRPr="00C850C3">
              <w:t>UEENEEJ108A Recover, pressure test, evacuate, charge and leak test refrigerants</w:t>
            </w:r>
          </w:p>
          <w:p w:rsidR="00000000" w:rsidRPr="00C850C3" w:rsidP="00C850C3">
            <w:pPr>
              <w:pStyle w:val="BodyText"/>
            </w:pPr>
            <w:r w:rsidRPr="00C850C3">
              <w:t>UEENEEJ110A Select refrigerant piping, accessories and associated controls</w:t>
            </w:r>
          </w:p>
          <w:p w:rsidR="00000000" w:rsidRPr="00C850C3" w:rsidP="00C850C3">
            <w:pPr>
              <w:pStyle w:val="BodyText"/>
            </w:pPr>
            <w:r w:rsidRPr="00C850C3">
              <w:t>UEENEEJ111A Di</w:t>
            </w:r>
            <w:r w:rsidRPr="00C850C3">
              <w:t>agnose and rectify faults in air conditioning and refrigeration systems and components</w:t>
            </w:r>
          </w:p>
          <w:p w:rsidR="00000000" w:rsidRPr="00C850C3" w:rsidP="00C850C3">
            <w:pPr>
              <w:pStyle w:val="BodyText"/>
            </w:pPr>
            <w:r w:rsidRPr="00C850C3">
              <w:t>UEENEEJ113A Commission air conditioning and refrigeration systems</w:t>
            </w:r>
          </w:p>
          <w:p w:rsidR="00000000" w:rsidRPr="00C850C3" w:rsidP="00C850C3">
            <w:pPr>
              <w:pStyle w:val="BodyText"/>
            </w:pPr>
            <w:r w:rsidRPr="00C850C3">
              <w:t>UEENEEJ153A Find and rectify faults motors and associated controls in refrigeration and air conditionin</w:t>
            </w:r>
            <w:r w:rsidRPr="00C850C3">
              <w:t>g systems</w:t>
            </w:r>
          </w:p>
          <w:p w:rsidR="00000000" w:rsidRPr="00C850C3" w:rsidP="00C850C3">
            <w:pPr>
              <w:pStyle w:val="BodyText"/>
            </w:pPr>
            <w:r w:rsidRPr="00C850C3">
              <w:t>UEENEEJ170A Diagnose and rectify faults in air conditioning and refrigeration control systems</w:t>
            </w:r>
          </w:p>
          <w:p w:rsidR="00000000" w:rsidRPr="00C850C3" w:rsidP="00C850C3">
            <w:pPr>
              <w:pStyle w:val="BodyText"/>
            </w:pPr>
            <w:r w:rsidRPr="00C850C3">
              <w:t>UEENEEJ194A Solve problems in low voltage refrigeration circuits</w:t>
            </w:r>
          </w:p>
          <w:p w:rsidR="00000000" w:rsidRPr="00C850C3" w:rsidP="00C850C3">
            <w:pPr>
              <w:pStyle w:val="BodyText"/>
            </w:pPr>
            <w:r w:rsidRPr="00C850C3">
              <w:t>UEENEEP012A Disconnect / reconnect composite appliances connected to low voltage instal</w:t>
            </w:r>
            <w:r w:rsidRPr="00C850C3">
              <w:t>lation wiring</w:t>
            </w:r>
          </w:p>
          <w:p w:rsidR="00000000" w:rsidRPr="00C850C3" w:rsidP="00C850C3">
            <w:pPr>
              <w:pStyle w:val="BodyText"/>
            </w:pPr>
            <w:r w:rsidRPr="00C850C3">
              <w:t>UEENEEP017A Locate and rectify faults in low voltage composite appliances using set procedures</w:t>
            </w:r>
          </w:p>
          <w:p w:rsidR="00000000" w:rsidRPr="00C850C3" w:rsidP="00C850C3">
            <w:pPr>
              <w:pStyle w:val="BodyText"/>
            </w:pPr>
            <w:r w:rsidRPr="00C850C3">
              <w:t>UEENEEP024A Attach cords and plugs to electrical equipment for connection to a single phase 230 Volt supply</w:t>
            </w:r>
          </w:p>
          <w:p w:rsidR="00000000" w:rsidRPr="00C850C3" w:rsidP="00C850C3">
            <w:pPr>
              <w:pStyle w:val="BodyText"/>
            </w:pPr>
            <w:r w:rsidRPr="00C850C3">
              <w:t>UEENEEP025A Attach cords, cables and pl</w:t>
            </w:r>
            <w:r w:rsidRPr="00C850C3">
              <w:t>ugs to electrical equipment for connection to 1000 Va.c. or 1500 Vd.c. supply</w:t>
            </w:r>
          </w:p>
        </w:tc>
      </w:tr>
    </w:tbl>
    <w:p w:rsidR="00EA60E9" w:rsidP="00C850C3">
      <w:pPr>
        <w:pStyle w:val="BodyText"/>
      </w:pPr>
    </w:p>
    <w:p w:rsidR="00EA60E9" w:rsidP="00C850C3">
      <w:pPr>
        <w:pStyle w:val="BodyText"/>
      </w:pPr>
    </w:p>
    <w:p w:rsidR="00000000" w:rsidRPr="00C850C3" w:rsidP="00C850C3">
      <w:pPr>
        <w:pStyle w:val="Heading1"/>
      </w:pPr>
      <w:bookmarkStart w:id="6" w:name="O_589777"/>
      <w:bookmarkEnd w:id="6"/>
      <w:r w:rsidRPr="00C850C3">
        <w:t>Employability Skills Information</w:t>
      </w:r>
    </w:p>
    <w:tbl>
      <w:tblPr>
        <w:tblW w:w="0" w:type="auto"/>
        <w:tblLayout w:type="fixed"/>
        <w:tblCellMar>
          <w:left w:w="62" w:type="dxa"/>
          <w:right w:w="62" w:type="dxa"/>
        </w:tblCellMar>
        <w:tblLook w:val="0000"/>
      </w:tblPr>
      <w:tblGrid>
        <w:gridCol w:w="2700"/>
        <w:gridCol w:w="5760"/>
      </w:tblGrid>
      <w:tr w:rsidTr="00EA60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rPr>
                <w:rStyle w:val="SpecialBold"/>
              </w:rPr>
              <w:t>3</w:t>
            </w:r>
            <w:r w:rsidRPr="00C850C3">
              <w:t>)</w:t>
            </w:r>
          </w:p>
          <w:p w:rsidR="00000000" w:rsidRPr="00C850C3" w:rsidP="00C850C3">
            <w:pPr>
              <w:pStyle w:val="BodyText"/>
            </w:pPr>
            <w:r w:rsidRPr="00C850C3">
              <w:t>This unit contains Employability Skills</w:t>
            </w:r>
          </w:p>
          <w:p w:rsidR="00000000" w:rsidRPr="00C850C3" w:rsidP="00C850C3">
            <w:pPr>
              <w:pStyle w:val="BodyText"/>
            </w:pPr>
            <w:r w:rsidRPr="00C850C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850C3">
              <w:t>requirements.</w:t>
            </w:r>
          </w:p>
        </w:tc>
      </w:tr>
    </w:tbl>
    <w:p w:rsidR="00EA60E9" w:rsidP="00C850C3">
      <w:pPr>
        <w:pStyle w:val="BodyText"/>
      </w:pPr>
    </w:p>
    <w:p w:rsidR="00EA60E9" w:rsidP="00C850C3">
      <w:pPr>
        <w:pStyle w:val="BodyText"/>
      </w:pPr>
    </w:p>
    <w:p w:rsidR="00000000" w:rsidRPr="00C850C3" w:rsidP="00C850C3">
      <w:pPr>
        <w:pStyle w:val="Heading1"/>
      </w:pPr>
      <w:bookmarkStart w:id="7" w:name="O_589776"/>
      <w:bookmarkEnd w:id="7"/>
      <w:r w:rsidRPr="00C850C3">
        <w:t>Elements and Performance Criteria Pre-Content</w:t>
      </w:r>
    </w:p>
    <w:tbl>
      <w:tblPr>
        <w:tblW w:w="0" w:type="auto"/>
        <w:tblLayout w:type="fixed"/>
        <w:tblCellMar>
          <w:left w:w="62" w:type="dxa"/>
          <w:right w:w="62" w:type="dxa"/>
        </w:tblCellMar>
        <w:tblLook w:val="0000"/>
      </w:tblPr>
      <w:tblGrid>
        <w:gridCol w:w="2268"/>
        <w:gridCol w:w="6240"/>
      </w:tblGrid>
      <w:tr w:rsidTr="00EA60E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rPr>
                <w:rStyle w:val="SpecialBold"/>
              </w:rPr>
              <w:t>6</w:t>
            </w:r>
            <w:r w:rsidRPr="00C850C3">
              <w:t>) Elements describe the essential outcomes of a unit</w:t>
            </w:r>
          </w:p>
        </w:tc>
        <w:tc>
          <w:tcPr>
            <w:tcW w:w="6240" w:type="dxa"/>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t>Performance criteria describe the required performance needed to demonstrate achievement of the element. Assessment of per</w:t>
            </w:r>
            <w:r w:rsidRPr="00C850C3">
              <w:t>formance is to be consistent with the evidence guide.</w:t>
            </w:r>
          </w:p>
        </w:tc>
      </w:tr>
    </w:tbl>
    <w:p w:rsidR="00000000" w:rsidRPr="00C850C3" w:rsidP="00C850C3">
      <w:pPr>
        <w:pStyle w:val="BodyText"/>
      </w:pPr>
    </w:p>
    <w:p w:rsidR="00000000" w:rsidRPr="00C850C3" w:rsidP="00C850C3">
      <w:pPr>
        <w:pStyle w:val="AllowPageBreak"/>
      </w:pPr>
    </w:p>
    <w:p w:rsidR="00000000" w:rsidRPr="00C850C3" w:rsidP="00C850C3">
      <w:pPr>
        <w:pStyle w:val="Heading1"/>
      </w:pPr>
      <w:bookmarkStart w:id="8" w:name="O_589775"/>
      <w:bookmarkEnd w:id="8"/>
      <w:r w:rsidRPr="00C850C3">
        <w:t>Elements and Performance Criteria</w:t>
      </w:r>
    </w:p>
    <w:tbl>
      <w:tblPr>
        <w:tblW w:w="0" w:type="auto"/>
        <w:tblLayout w:type="fixed"/>
        <w:tblCellMar>
          <w:left w:w="62" w:type="dxa"/>
          <w:right w:w="62" w:type="dxa"/>
        </w:tblCellMar>
        <w:tblLook w:val="0000"/>
      </w:tblPr>
      <w:tblGrid>
        <w:gridCol w:w="540"/>
        <w:gridCol w:w="1728"/>
        <w:gridCol w:w="900"/>
        <w:gridCol w:w="5340"/>
      </w:tblGrid>
      <w:tr w:rsidTr="00EA60E9">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rPr>
                <w:rStyle w:val="SpecialBold"/>
              </w:rPr>
              <w:t>ELEMENT</w:t>
            </w:r>
          </w:p>
        </w:tc>
        <w:tc>
          <w:tcPr>
            <w:tcW w:w="6240" w:type="dxa"/>
            <w:gridSpan w:val="2"/>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rPr>
                <w:rStyle w:val="SpecialBold"/>
              </w:rPr>
              <w:t>PERFORMANCE CRITERIA</w:t>
            </w:r>
          </w:p>
        </w:tc>
      </w:tr>
      <w:tr w:rsidTr="00EA60E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1</w:t>
            </w:r>
          </w:p>
        </w:tc>
        <w:tc>
          <w:tcPr>
            <w:tcW w:w="1728" w:type="dxa"/>
            <w:vMerge w:val="restart"/>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Prepare to determine the heat loads for commercial refrigeration and/</w:t>
            </w:r>
            <w:r w:rsidRPr="00C850C3">
              <w:rPr>
                <w:rStyle w:val="Underline"/>
              </w:rPr>
              <w:t>or</w:t>
            </w:r>
            <w:r w:rsidRPr="00C850C3">
              <w:t xml:space="preserve"> air conditioning applications.</w:t>
            </w:r>
          </w:p>
        </w:tc>
        <w:tc>
          <w:tcPr>
            <w:tcW w:w="90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1.1</w:t>
            </w:r>
          </w:p>
        </w:tc>
        <w:tc>
          <w:tcPr>
            <w:tcW w:w="534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OHS procedures for a given work area are identified, obtained and understood</w:t>
            </w:r>
          </w:p>
        </w:tc>
      </w:tr>
      <w:tr w:rsidTr="00EA60E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1.2</w:t>
            </w:r>
          </w:p>
        </w:tc>
        <w:tc>
          <w:tcPr>
            <w:tcW w:w="534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Established OHS risk control measures and procedures are followed in preparation for the work</w:t>
            </w:r>
          </w:p>
        </w:tc>
      </w:tr>
      <w:tr w:rsidTr="00EA60E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1.3</w:t>
            </w:r>
          </w:p>
        </w:tc>
        <w:tc>
          <w:tcPr>
            <w:tcW w:w="534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The extent of the heat load analysis is determined from project specifications and discussion with appropriate personnel</w:t>
            </w:r>
          </w:p>
        </w:tc>
      </w:tr>
      <w:tr w:rsidTr="00EA60E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1.4</w:t>
            </w:r>
          </w:p>
        </w:tc>
        <w:tc>
          <w:tcPr>
            <w:tcW w:w="534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Activities are planned to meet scheduled timelines in consultation with others involved in the work</w:t>
            </w:r>
          </w:p>
        </w:tc>
      </w:tr>
      <w:tr w:rsidTr="00EA60E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1.5</w:t>
            </w:r>
          </w:p>
        </w:tc>
        <w:tc>
          <w:tcPr>
            <w:tcW w:w="534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 xml:space="preserve">Effective strategies </w:t>
            </w:r>
            <w:r w:rsidRPr="00C850C3">
              <w:t xml:space="preserve">are determined to ensure solution development and implementation is carried out efficiently </w:t>
            </w:r>
          </w:p>
        </w:tc>
      </w:tr>
      <w:tr w:rsidTr="00EA60E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2</w:t>
            </w:r>
          </w:p>
        </w:tc>
        <w:tc>
          <w:tcPr>
            <w:tcW w:w="1728" w:type="dxa"/>
            <w:vMerge w:val="restart"/>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Determine the heat loads for commercial refrigeration and/or air conditioning applications.</w:t>
            </w:r>
          </w:p>
        </w:tc>
        <w:tc>
          <w:tcPr>
            <w:tcW w:w="90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2.1</w:t>
            </w:r>
          </w:p>
        </w:tc>
        <w:tc>
          <w:tcPr>
            <w:tcW w:w="534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OHS risk control measures and procedures for carrying out the work are followed.</w:t>
            </w:r>
          </w:p>
        </w:tc>
      </w:tr>
      <w:tr w:rsidTr="00EA60E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2.2</w:t>
            </w:r>
          </w:p>
        </w:tc>
        <w:tc>
          <w:tcPr>
            <w:tcW w:w="534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Knowledge of commercial refrigeration and/or air conditioning system operating parameters is applied when performing heat loads estimation</w:t>
            </w:r>
          </w:p>
        </w:tc>
      </w:tr>
      <w:tr w:rsidTr="00EA60E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2.3</w:t>
            </w:r>
          </w:p>
        </w:tc>
        <w:tc>
          <w:tcPr>
            <w:tcW w:w="534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Parameters, specifications and performance requirements in relation to commercial refrigeration and/or air conditioning system are set in accordance with established procedures</w:t>
            </w:r>
          </w:p>
        </w:tc>
      </w:tr>
      <w:tr w:rsidTr="00EA60E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2.4</w:t>
            </w:r>
          </w:p>
        </w:tc>
        <w:tc>
          <w:tcPr>
            <w:tcW w:w="534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Approaches to determine the heat loads are carried out to provide most e</w:t>
            </w:r>
            <w:r w:rsidRPr="00C850C3">
              <w:t>ffective solutions</w:t>
            </w:r>
          </w:p>
        </w:tc>
      </w:tr>
      <w:tr w:rsidTr="00EA60E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2.5</w:t>
            </w:r>
          </w:p>
        </w:tc>
        <w:tc>
          <w:tcPr>
            <w:tcW w:w="534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 xml:space="preserve">Unplanned events are dealt with safely and effectively consistent with regulatory requirements and enterprise policy </w:t>
            </w:r>
          </w:p>
        </w:tc>
      </w:tr>
      <w:tr w:rsidTr="00EA60E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2.6</w:t>
            </w:r>
          </w:p>
        </w:tc>
        <w:tc>
          <w:tcPr>
            <w:tcW w:w="534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Quality of work is monitored against personal performance agreement and/or established organisational or professional standards</w:t>
            </w:r>
          </w:p>
        </w:tc>
      </w:tr>
      <w:tr w:rsidTr="00EA60E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3</w:t>
            </w:r>
          </w:p>
        </w:tc>
        <w:tc>
          <w:tcPr>
            <w:tcW w:w="1728" w:type="dxa"/>
            <w:vMerge w:val="restart"/>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Complete and report heat loads for commercial refrigeration and /or air conditioning applications.</w:t>
            </w:r>
          </w:p>
        </w:tc>
        <w:tc>
          <w:tcPr>
            <w:tcW w:w="90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3.1</w:t>
            </w:r>
          </w:p>
        </w:tc>
        <w:tc>
          <w:tcPr>
            <w:tcW w:w="534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 xml:space="preserve">Heat load estimations </w:t>
            </w:r>
            <w:r w:rsidRPr="00C850C3">
              <w:t xml:space="preserve">is documented including details of all findings, calculations and assumptions </w:t>
            </w:r>
          </w:p>
        </w:tc>
      </w:tr>
      <w:tr w:rsidTr="00EA60E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3.2</w:t>
            </w:r>
          </w:p>
        </w:tc>
        <w:tc>
          <w:tcPr>
            <w:tcW w:w="534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Completed heat loads are submitted to an appropriate person to be checked for accuracy and compliance with project specifications and evaluated to determine whether perfo</w:t>
            </w:r>
            <w:r w:rsidRPr="00C850C3">
              <w:t xml:space="preserve">rmance requirements are  met </w:t>
            </w:r>
          </w:p>
        </w:tc>
      </w:tr>
      <w:tr w:rsidTr="00EA60E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3.3</w:t>
            </w:r>
          </w:p>
        </w:tc>
        <w:tc>
          <w:tcPr>
            <w:tcW w:w="534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 xml:space="preserve">Heat loads estimation is reported to appropriately personnel to establish appropriate action to be taken based on findings </w:t>
            </w:r>
          </w:p>
        </w:tc>
      </w:tr>
      <w:tr w:rsidTr="00EA60E9">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3.4</w:t>
            </w:r>
          </w:p>
        </w:tc>
        <w:tc>
          <w:tcPr>
            <w:tcW w:w="5340" w:type="dxa"/>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t>Quality of work is monitored against personal performance agreement and/or established organizational or professional standards</w:t>
            </w:r>
          </w:p>
        </w:tc>
      </w:tr>
    </w:tbl>
    <w:p w:rsidR="00000000" w:rsidRPr="00C850C3" w:rsidP="00C850C3">
      <w:pPr>
        <w:pStyle w:val="BodyText"/>
      </w:pPr>
    </w:p>
    <w:p w:rsidR="00000000" w:rsidRPr="00C850C3" w:rsidP="00C850C3">
      <w:pPr>
        <w:pStyle w:val="AllowPageBreak"/>
      </w:pPr>
    </w:p>
    <w:p w:rsidR="00000000" w:rsidRPr="00C850C3" w:rsidP="00C850C3">
      <w:pPr>
        <w:pStyle w:val="Heading1"/>
      </w:pPr>
      <w:bookmarkStart w:id="9" w:name="O_589774"/>
      <w:bookmarkEnd w:id="9"/>
      <w:r w:rsidRPr="00C850C3">
        <w:t>Required Skills and Knowledge</w:t>
      </w:r>
    </w:p>
    <w:tbl>
      <w:tblPr>
        <w:tblW w:w="0" w:type="auto"/>
        <w:tblLayout w:type="fixed"/>
        <w:tblCellMar>
          <w:left w:w="62" w:type="dxa"/>
          <w:right w:w="62" w:type="dxa"/>
        </w:tblCellMar>
        <w:tblLook w:val="0000"/>
      </w:tblPr>
      <w:tblGrid>
        <w:gridCol w:w="8508"/>
      </w:tblGrid>
      <w:tr w:rsidTr="00EA60E9">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rPr>
                <w:rStyle w:val="SpecialBold"/>
              </w:rPr>
              <w:t>REQUIRED SKILLS AND KNOWLEDGE</w:t>
            </w:r>
          </w:p>
        </w:tc>
      </w:tr>
      <w:tr w:rsidTr="00EA60E9">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rPr>
                <w:rStyle w:val="SpecialBold"/>
              </w:rPr>
              <w:t>7)</w:t>
            </w:r>
            <w:r w:rsidRPr="00C850C3">
              <w:t xml:space="preserve"> This describes the essential skills and knowledge and their level, required for this unit.</w:t>
            </w:r>
          </w:p>
        </w:tc>
      </w:tr>
      <w:tr w:rsidTr="00EA60E9">
        <w:tblPrEx>
          <w:tblW w:w="0" w:type="auto"/>
          <w:tblLayout w:type="fixed"/>
          <w:tblCellMar>
            <w:left w:w="62" w:type="dxa"/>
            <w:right w:w="62" w:type="dxa"/>
          </w:tblCellMar>
          <w:tblLook w:val="0000"/>
        </w:tblPrEx>
        <w:trPr>
          <w:trHeight w:val="46"/>
        </w:trPr>
        <w:tc>
          <w:tcPr>
            <w:tcW w:w="8508" w:type="dxa"/>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t xml:space="preserve">Evidence shall show that knowledge has been acquired of safe working practices and determining the heat loads for commercial refrigeration and/or air conditioning </w:t>
            </w:r>
            <w:r w:rsidRPr="00C850C3">
              <w:t xml:space="preserve">applications. </w:t>
            </w:r>
          </w:p>
          <w:p w:rsidR="00000000" w:rsidRPr="00C850C3" w:rsidP="00C850C3">
            <w:pPr>
              <w:pStyle w:val="BodyText"/>
            </w:pPr>
            <w:r w:rsidRPr="00C850C3">
              <w:t>All knowledge and skills detailed in this unit should be contextualised to current industry practices and technologies.</w:t>
            </w:r>
          </w:p>
          <w:p w:rsidR="00000000" w:rsidRPr="00C850C3" w:rsidP="00C850C3">
            <w:pPr>
              <w:pStyle w:val="BodyText"/>
            </w:pPr>
            <w:r w:rsidRPr="00C850C3">
              <w:rPr>
                <w:rStyle w:val="SpecialBold"/>
              </w:rPr>
              <w:t>KS01-EJ129A</w:t>
            </w:r>
            <w:r w:rsidRPr="00C850C3">
              <w:rPr>
                <w:rStyle w:val="SpecialBold"/>
              </w:rPr>
              <w:tab/>
              <w:t>Commercial refrigeration heat load estimating</w:t>
            </w:r>
          </w:p>
          <w:p w:rsidR="00000000" w:rsidRPr="00C850C3" w:rsidP="00C850C3">
            <w:pPr>
              <w:pStyle w:val="BodyText"/>
            </w:pPr>
            <w:r w:rsidRPr="00C850C3">
              <w:t>Evidence shall show an understanding of heat load estimating fo</w:t>
            </w:r>
            <w:r w:rsidRPr="00C850C3">
              <w:t>r commercial refrigeration applications, applying safe working practices and relevant Standards, Codes and Regulations to an extent indicated by the following aspects:</w:t>
            </w:r>
          </w:p>
          <w:p w:rsidR="00000000" w:rsidRPr="00C850C3" w:rsidP="00C850C3">
            <w:pPr>
              <w:pStyle w:val="BodyText"/>
            </w:pPr>
            <w:r w:rsidRPr="00C850C3">
              <w:t>T1.</w:t>
            </w:r>
            <w:r w:rsidRPr="00C850C3">
              <w:tab/>
              <w:t>Heat transfer</w:t>
            </w:r>
          </w:p>
          <w:p w:rsidR="00000000" w:rsidRPr="00C850C3" w:rsidP="00C850C3">
            <w:pPr>
              <w:pStyle w:val="ListBullet"/>
            </w:pPr>
            <w:r w:rsidRPr="00C850C3">
              <w:t>factors affecting heat transfer</w:t>
            </w:r>
          </w:p>
          <w:p w:rsidR="00000000" w:rsidRPr="00C850C3" w:rsidP="00C850C3">
            <w:pPr>
              <w:pStyle w:val="ListBullet"/>
            </w:pPr>
            <w:r w:rsidRPr="00C850C3">
              <w:t>insulation material characteristics</w:t>
            </w:r>
          </w:p>
          <w:p w:rsidR="00000000" w:rsidRPr="00C850C3" w:rsidP="00C850C3">
            <w:pPr>
              <w:pStyle w:val="ListBullet"/>
            </w:pPr>
            <w:r w:rsidRPr="00C850C3">
              <w:t>vapour barriers (seals)</w:t>
            </w:r>
          </w:p>
          <w:p w:rsidR="00000000" w:rsidRPr="00C850C3" w:rsidP="00C850C3">
            <w:pPr>
              <w:pStyle w:val="ListBullet"/>
            </w:pPr>
            <w:r w:rsidRPr="00C850C3">
              <w:t>ambient conditions</w:t>
            </w:r>
          </w:p>
          <w:p w:rsidR="00000000" w:rsidRPr="00C850C3" w:rsidP="00C850C3">
            <w:pPr>
              <w:pStyle w:val="ListBullet"/>
            </w:pPr>
            <w:r w:rsidRPr="00C850C3">
              <w:t>composite walls (heat flows)</w:t>
            </w:r>
          </w:p>
          <w:p w:rsidR="00000000" w:rsidRPr="00C850C3" w:rsidP="00C850C3">
            <w:pPr>
              <w:pStyle w:val="ListBullet"/>
            </w:pPr>
            <w:r w:rsidRPr="00C850C3">
              <w:t>types of common insulation</w:t>
            </w:r>
          </w:p>
          <w:p w:rsidR="00000000" w:rsidRPr="00C850C3" w:rsidP="00C850C3">
            <w:pPr>
              <w:pStyle w:val="ListBullet"/>
            </w:pPr>
            <w:r w:rsidRPr="00C850C3">
              <w:t>thermal conductivity</w:t>
            </w:r>
          </w:p>
          <w:p w:rsidR="00000000" w:rsidRPr="00C850C3" w:rsidP="00C850C3">
            <w:pPr>
              <w:pStyle w:val="ListBullet"/>
            </w:pPr>
            <w:r w:rsidRPr="00C850C3">
              <w:t>film factors</w:t>
            </w:r>
          </w:p>
          <w:p w:rsidR="00000000" w:rsidRPr="00C850C3" w:rsidP="00C850C3">
            <w:pPr>
              <w:pStyle w:val="BodyText"/>
            </w:pPr>
            <w:r w:rsidRPr="00C850C3">
              <w:t>T2.</w:t>
            </w:r>
            <w:r w:rsidRPr="00C850C3">
              <w:tab/>
              <w:t>Cabinet construction and design</w:t>
            </w:r>
          </w:p>
          <w:p w:rsidR="00000000" w:rsidRPr="00C850C3" w:rsidP="00C850C3">
            <w:pPr>
              <w:pStyle w:val="ListBullet"/>
            </w:pPr>
            <w:r w:rsidRPr="00C850C3">
              <w:t>deep freeze case</w:t>
            </w:r>
          </w:p>
          <w:p w:rsidR="00000000" w:rsidRPr="00C850C3" w:rsidP="00C850C3">
            <w:pPr>
              <w:pStyle w:val="ListBullet"/>
            </w:pPr>
            <w:r w:rsidRPr="00C850C3">
              <w:t>meat case</w:t>
            </w:r>
          </w:p>
          <w:p w:rsidR="00000000" w:rsidRPr="00C850C3" w:rsidP="00C850C3">
            <w:pPr>
              <w:pStyle w:val="ListBullet"/>
            </w:pPr>
            <w:r w:rsidRPr="00C850C3">
              <w:t>dairy case</w:t>
            </w:r>
          </w:p>
          <w:p w:rsidR="00000000" w:rsidRPr="00C850C3" w:rsidP="00C850C3">
            <w:pPr>
              <w:pStyle w:val="ListBullet"/>
            </w:pPr>
            <w:r w:rsidRPr="00C850C3">
              <w:t>fruit and vegetable case</w:t>
            </w:r>
          </w:p>
          <w:p w:rsidR="00000000" w:rsidRPr="00C850C3" w:rsidP="00C850C3">
            <w:pPr>
              <w:pStyle w:val="ListBullet"/>
            </w:pPr>
            <w:r w:rsidRPr="00C850C3">
              <w:t>drink cabinets</w:t>
            </w:r>
          </w:p>
          <w:p w:rsidR="00000000" w:rsidRPr="00C850C3" w:rsidP="00C850C3">
            <w:pPr>
              <w:pStyle w:val="BodyText"/>
            </w:pPr>
            <w:r w:rsidRPr="00C850C3">
              <w:t>T3.</w:t>
            </w:r>
            <w:r w:rsidRPr="00C850C3">
              <w:tab/>
              <w:t xml:space="preserve">Air </w:t>
            </w:r>
            <w:r w:rsidRPr="00C850C3">
              <w:t>change load</w:t>
            </w:r>
          </w:p>
          <w:p w:rsidR="00000000" w:rsidRPr="00C850C3" w:rsidP="00C850C3">
            <w:pPr>
              <w:pStyle w:val="ListBullet"/>
            </w:pPr>
            <w:r w:rsidRPr="00C850C3">
              <w:t>room volumes</w:t>
            </w:r>
          </w:p>
          <w:p w:rsidR="00000000" w:rsidRPr="00C850C3" w:rsidP="00C850C3">
            <w:pPr>
              <w:pStyle w:val="ListBullet"/>
            </w:pPr>
            <w:r w:rsidRPr="00C850C3">
              <w:t>room usage (average, medium, heavy)</w:t>
            </w:r>
          </w:p>
          <w:p w:rsidR="00000000" w:rsidRPr="00C850C3" w:rsidP="00C850C3">
            <w:pPr>
              <w:pStyle w:val="ListBullet"/>
            </w:pPr>
            <w:r w:rsidRPr="00C850C3">
              <w:t>heat removed from cooling air to refrigerated conditions</w:t>
            </w:r>
          </w:p>
          <w:p w:rsidR="00000000" w:rsidRPr="00C850C3" w:rsidP="00C850C3">
            <w:pPr>
              <w:pStyle w:val="ListBullet"/>
            </w:pPr>
            <w:r w:rsidRPr="00C850C3">
              <w:t>air curtains</w:t>
            </w:r>
          </w:p>
          <w:p w:rsidR="00000000" w:rsidRPr="00C850C3" w:rsidP="00C850C3">
            <w:pPr>
              <w:pStyle w:val="ListBullet"/>
            </w:pPr>
            <w:r w:rsidRPr="00C850C3">
              <w:t>temperature differences</w:t>
            </w:r>
          </w:p>
          <w:p w:rsidR="00000000" w:rsidRPr="00C850C3" w:rsidP="00C850C3">
            <w:pPr>
              <w:pStyle w:val="ListBullet"/>
            </w:pPr>
            <w:r w:rsidRPr="00C850C3">
              <w:t>door opening sizes</w:t>
            </w:r>
          </w:p>
          <w:p w:rsidR="00000000" w:rsidRPr="00C850C3" w:rsidP="00C850C3">
            <w:pPr>
              <w:pStyle w:val="ListBullet"/>
            </w:pPr>
            <w:r w:rsidRPr="00C850C3">
              <w:t>Tamm’s equation</w:t>
            </w:r>
          </w:p>
          <w:p w:rsidR="00000000" w:rsidRPr="00C850C3" w:rsidP="00C850C3">
            <w:pPr>
              <w:pStyle w:val="BodyText"/>
            </w:pPr>
            <w:r w:rsidRPr="00C850C3">
              <w:t>T4.</w:t>
            </w:r>
            <w:r w:rsidRPr="00C850C3">
              <w:tab/>
              <w:t>Product load</w:t>
            </w:r>
          </w:p>
          <w:p w:rsidR="00000000" w:rsidRPr="00C850C3" w:rsidP="00C850C3">
            <w:pPr>
              <w:pStyle w:val="ListBullet"/>
            </w:pPr>
            <w:r w:rsidRPr="00C850C3">
              <w:t>sensible heat</w:t>
            </w:r>
          </w:p>
          <w:p w:rsidR="00000000" w:rsidRPr="00C850C3" w:rsidP="00C850C3">
            <w:pPr>
              <w:pStyle w:val="ListBullet"/>
            </w:pPr>
            <w:r w:rsidRPr="00C850C3">
              <w:t>latent heat</w:t>
            </w:r>
          </w:p>
          <w:p w:rsidR="00000000" w:rsidRPr="00C850C3" w:rsidP="00C850C3">
            <w:pPr>
              <w:pStyle w:val="ListBullet"/>
            </w:pPr>
            <w:r w:rsidRPr="00C850C3">
              <w:t>heat of respiration</w:t>
            </w:r>
          </w:p>
          <w:p w:rsidR="00000000" w:rsidRPr="00C850C3" w:rsidP="00C850C3">
            <w:pPr>
              <w:pStyle w:val="ListBullet"/>
            </w:pPr>
            <w:r w:rsidRPr="00C850C3">
              <w:t>storage temperatures</w:t>
            </w:r>
          </w:p>
          <w:p w:rsidR="00000000" w:rsidRPr="00C850C3" w:rsidP="00C850C3">
            <w:pPr>
              <w:pStyle w:val="ListBullet"/>
            </w:pPr>
            <w:r w:rsidRPr="00C850C3">
              <w:t>unit running times</w:t>
            </w:r>
          </w:p>
          <w:p w:rsidR="00000000" w:rsidRPr="00C850C3" w:rsidP="00C850C3">
            <w:pPr>
              <w:pStyle w:val="ListBullet"/>
            </w:pPr>
            <w:r w:rsidRPr="00C850C3">
              <w:t>humidity</w:t>
            </w:r>
          </w:p>
          <w:p w:rsidR="00000000" w:rsidRPr="00C850C3" w:rsidP="00C850C3">
            <w:pPr>
              <w:pStyle w:val="ListBullet"/>
            </w:pPr>
            <w:r w:rsidRPr="00C850C3">
              <w:t>air flows</w:t>
            </w:r>
          </w:p>
          <w:p w:rsidR="00000000" w:rsidRPr="00C850C3" w:rsidP="00C850C3">
            <w:pPr>
              <w:pStyle w:val="ListBullet"/>
            </w:pPr>
            <w:r w:rsidRPr="00C850C3">
              <w:t>stacking of products</w:t>
            </w:r>
          </w:p>
          <w:p w:rsidR="00000000" w:rsidRPr="00C850C3" w:rsidP="00C850C3">
            <w:pPr>
              <w:pStyle w:val="ListBullet"/>
            </w:pPr>
            <w:r w:rsidRPr="00C850C3">
              <w:t>freeze, chill, thaw times</w:t>
            </w:r>
          </w:p>
          <w:p w:rsidR="00000000" w:rsidRPr="00C850C3" w:rsidP="00C850C3">
            <w:pPr>
              <w:pStyle w:val="BodyText"/>
            </w:pPr>
            <w:r w:rsidRPr="00C850C3">
              <w:t>T5.</w:t>
            </w:r>
            <w:r w:rsidRPr="00C850C3">
              <w:tab/>
              <w:t>Total freezer/cool room loads</w:t>
            </w:r>
          </w:p>
          <w:p w:rsidR="00000000" w:rsidRPr="00C850C3" w:rsidP="00C850C3">
            <w:pPr>
              <w:pStyle w:val="ListBullet"/>
            </w:pPr>
            <w:r w:rsidRPr="00C850C3">
              <w:t>wall load</w:t>
            </w:r>
          </w:p>
          <w:p w:rsidR="00000000" w:rsidRPr="00C850C3" w:rsidP="00C850C3">
            <w:pPr>
              <w:pStyle w:val="ListBullet"/>
            </w:pPr>
            <w:r w:rsidRPr="00C850C3">
              <w:t>air change load</w:t>
            </w:r>
          </w:p>
          <w:p w:rsidR="00000000" w:rsidRPr="00C850C3" w:rsidP="00C850C3">
            <w:pPr>
              <w:pStyle w:val="ListBullet"/>
            </w:pPr>
            <w:r w:rsidRPr="00C850C3">
              <w:t>product load</w:t>
            </w:r>
          </w:p>
          <w:p w:rsidR="00000000" w:rsidRPr="00C850C3" w:rsidP="00C850C3">
            <w:pPr>
              <w:pStyle w:val="ListBullet"/>
            </w:pPr>
            <w:r w:rsidRPr="00C850C3">
              <w:t>miscellaneous</w:t>
            </w:r>
          </w:p>
          <w:p w:rsidR="00000000" w:rsidRPr="00C850C3" w:rsidP="00C850C3">
            <w:pPr>
              <w:pStyle w:val="ListBullet"/>
            </w:pPr>
            <w:r w:rsidRPr="00C850C3">
              <w:t>total load, safety factor and unit running times</w:t>
            </w:r>
          </w:p>
          <w:p w:rsidR="00000000" w:rsidRPr="00C850C3" w:rsidP="00C850C3">
            <w:pPr>
              <w:pStyle w:val="ListBullet"/>
            </w:pPr>
            <w:r w:rsidRPr="00C850C3">
              <w:t>floor loads i</w:t>
            </w:r>
            <w:r w:rsidRPr="00C850C3">
              <w:t>n cool rooms</w:t>
            </w:r>
          </w:p>
          <w:p w:rsidR="00000000" w:rsidRPr="00C850C3" w:rsidP="00C850C3">
            <w:pPr>
              <w:pStyle w:val="ListBullet"/>
            </w:pPr>
            <w:r w:rsidRPr="00C850C3">
              <w:t>door opening loads (ASHRAE &amp; RADS methods)</w:t>
            </w:r>
          </w:p>
          <w:p w:rsidR="00000000" w:rsidRPr="00C850C3" w:rsidP="00C850C3">
            <w:pPr>
              <w:pStyle w:val="ListBullet"/>
            </w:pPr>
            <w:r w:rsidRPr="00C850C3">
              <w:t>door opening loads (for trucks)</w:t>
            </w:r>
          </w:p>
          <w:p w:rsidR="00000000" w:rsidRPr="00C850C3" w:rsidP="00C850C3">
            <w:pPr>
              <w:pStyle w:val="BodyText"/>
            </w:pPr>
            <w:r w:rsidRPr="00C850C3">
              <w:t>T6.</w:t>
            </w:r>
            <w:r w:rsidRPr="00C850C3">
              <w:tab/>
              <w:t>Process cooling loads</w:t>
            </w:r>
          </w:p>
          <w:p w:rsidR="00000000" w:rsidRPr="00C850C3" w:rsidP="00C850C3">
            <w:pPr>
              <w:pStyle w:val="ListBullet"/>
            </w:pPr>
            <w:r w:rsidRPr="00C850C3">
              <w:t>cooling chemical reactions</w:t>
            </w:r>
          </w:p>
          <w:p w:rsidR="00000000" w:rsidRPr="00C850C3" w:rsidP="00C850C3">
            <w:pPr>
              <w:pStyle w:val="ListBullet"/>
            </w:pPr>
            <w:r w:rsidRPr="00C850C3">
              <w:t>energy balance methods</w:t>
            </w:r>
          </w:p>
          <w:p w:rsidR="00000000" w:rsidRPr="00C850C3" w:rsidP="00C850C3">
            <w:pPr>
              <w:pStyle w:val="ListBullet"/>
            </w:pPr>
            <w:r w:rsidRPr="00C850C3">
              <w:t>sensible &amp; latent cooling of gases</w:t>
            </w:r>
          </w:p>
          <w:p w:rsidR="00000000" w:rsidRPr="00C850C3" w:rsidP="00C850C3">
            <w:pPr>
              <w:pStyle w:val="ListBullet"/>
            </w:pPr>
            <w:r w:rsidRPr="00C850C3">
              <w:t>sensible &amp; latent cooling of water vapour in gas streams</w:t>
            </w:r>
          </w:p>
          <w:p w:rsidR="00000000" w:rsidRPr="00C850C3" w:rsidP="00C850C3">
            <w:pPr>
              <w:pStyle w:val="BodyText"/>
            </w:pPr>
            <w:r w:rsidRPr="00C850C3">
              <w:t>T7.</w:t>
            </w:r>
            <w:r w:rsidRPr="00C850C3">
              <w:tab/>
              <w:t>Computer programs</w:t>
            </w:r>
          </w:p>
          <w:p w:rsidR="00000000" w:rsidRPr="00C850C3" w:rsidP="00C850C3">
            <w:pPr>
              <w:pStyle w:val="BodyText"/>
            </w:pPr>
            <w:r w:rsidRPr="00C850C3">
              <w:rPr>
                <w:rStyle w:val="SpecialBold"/>
              </w:rPr>
              <w:t>KS02-EJ129A</w:t>
            </w:r>
            <w:r w:rsidRPr="00C850C3">
              <w:rPr>
                <w:rStyle w:val="SpecialBold"/>
              </w:rPr>
              <w:tab/>
              <w:t>Commercial air conditioning heat load estimating</w:t>
            </w:r>
          </w:p>
          <w:p w:rsidR="00000000" w:rsidRPr="00C850C3" w:rsidP="00C850C3">
            <w:pPr>
              <w:pStyle w:val="BodyText"/>
            </w:pPr>
            <w:r w:rsidRPr="00C850C3">
              <w:t>Evidence shall show an understanding of heat load estimating for commercial air conditioning applications, applying safe working practices and relevant Standards, Codes and</w:t>
            </w:r>
            <w:r w:rsidRPr="00C850C3">
              <w:t xml:space="preserve"> Regulations to an extent indicated by the following aspects:</w:t>
            </w:r>
          </w:p>
          <w:p w:rsidR="00000000" w:rsidRPr="00C850C3" w:rsidP="00C850C3">
            <w:pPr>
              <w:pStyle w:val="BodyText"/>
            </w:pPr>
            <w:r w:rsidRPr="00C850C3">
              <w:t>T1.</w:t>
            </w:r>
            <w:r w:rsidRPr="00C850C3">
              <w:tab/>
              <w:t>Heat flow in buildings</w:t>
            </w:r>
          </w:p>
          <w:p w:rsidR="00000000" w:rsidRPr="00C850C3" w:rsidP="00C850C3">
            <w:pPr>
              <w:pStyle w:val="ListBullet"/>
            </w:pPr>
            <w:r w:rsidRPr="00C850C3">
              <w:t>conduction</w:t>
            </w:r>
          </w:p>
          <w:p w:rsidR="00000000" w:rsidRPr="00C850C3" w:rsidP="00C850C3">
            <w:pPr>
              <w:pStyle w:val="ListBullet"/>
            </w:pPr>
            <w:r w:rsidRPr="00C850C3">
              <w:t>convection</w:t>
            </w:r>
          </w:p>
          <w:p w:rsidR="00000000" w:rsidRPr="00C850C3" w:rsidP="00C850C3">
            <w:pPr>
              <w:pStyle w:val="ListBullet"/>
            </w:pPr>
            <w:r w:rsidRPr="00C850C3">
              <w:t>radiation</w:t>
            </w:r>
          </w:p>
          <w:p w:rsidR="00000000" w:rsidRPr="00C850C3" w:rsidP="00C850C3">
            <w:pPr>
              <w:pStyle w:val="ListBullet"/>
            </w:pPr>
            <w:r w:rsidRPr="00C850C3">
              <w:t>heat paths</w:t>
            </w:r>
          </w:p>
          <w:p w:rsidR="00000000" w:rsidRPr="00C850C3" w:rsidP="00C850C3">
            <w:pPr>
              <w:pStyle w:val="BodyText"/>
            </w:pPr>
            <w:r w:rsidRPr="00C850C3">
              <w:t>T2.</w:t>
            </w:r>
            <w:r w:rsidRPr="00C850C3">
              <w:tab/>
              <w:t>Thermal storage</w:t>
            </w:r>
          </w:p>
          <w:p w:rsidR="00000000" w:rsidRPr="00C850C3" w:rsidP="00C850C3">
            <w:pPr>
              <w:pStyle w:val="BodyText"/>
            </w:pPr>
            <w:r w:rsidRPr="00C850C3">
              <w:t>T3.</w:t>
            </w:r>
            <w:r w:rsidRPr="00C850C3">
              <w:tab/>
              <w:t>Different methods of calculations</w:t>
            </w:r>
          </w:p>
          <w:p w:rsidR="00000000" w:rsidRPr="00C850C3" w:rsidP="00C850C3">
            <w:pPr>
              <w:pStyle w:val="ListBullet"/>
            </w:pPr>
            <w:r w:rsidRPr="00C850C3">
              <w:t>ASHRAE</w:t>
            </w:r>
          </w:p>
          <w:p w:rsidR="00000000" w:rsidRPr="00C850C3" w:rsidP="00C850C3">
            <w:pPr>
              <w:pStyle w:val="ListBullet"/>
            </w:pPr>
            <w:r w:rsidRPr="00C850C3">
              <w:t>Carrier</w:t>
            </w:r>
          </w:p>
          <w:p w:rsidR="00000000" w:rsidRPr="00C850C3" w:rsidP="00C850C3">
            <w:pPr>
              <w:pStyle w:val="ListBullet"/>
            </w:pPr>
            <w:r w:rsidRPr="00C850C3">
              <w:t>finite difference</w:t>
            </w:r>
          </w:p>
          <w:p w:rsidR="00000000" w:rsidRPr="00C850C3" w:rsidP="00C850C3">
            <w:pPr>
              <w:pStyle w:val="BodyText"/>
            </w:pPr>
            <w:r w:rsidRPr="00C850C3">
              <w:t>T4.</w:t>
            </w:r>
            <w:r w:rsidRPr="00C850C3">
              <w:tab/>
              <w:t>U Values.</w:t>
            </w:r>
          </w:p>
          <w:p w:rsidR="00000000" w:rsidRPr="00C850C3" w:rsidP="00C850C3">
            <w:pPr>
              <w:pStyle w:val="BodyText"/>
            </w:pPr>
            <w:r w:rsidRPr="00C850C3">
              <w:t>T5.</w:t>
            </w:r>
            <w:r w:rsidRPr="00C850C3">
              <w:tab/>
              <w:t>Film coeffici</w:t>
            </w:r>
            <w:r w:rsidRPr="00C850C3">
              <w:t>ents.</w:t>
            </w:r>
          </w:p>
          <w:p w:rsidR="00000000" w:rsidRPr="00C850C3" w:rsidP="00C850C3">
            <w:pPr>
              <w:pStyle w:val="BodyText"/>
            </w:pPr>
            <w:r w:rsidRPr="00C850C3">
              <w:t>T6.</w:t>
            </w:r>
            <w:r w:rsidRPr="00C850C3">
              <w:tab/>
              <w:t>Solar heat</w:t>
            </w:r>
          </w:p>
          <w:p w:rsidR="00000000" w:rsidRPr="00C850C3" w:rsidP="00C850C3">
            <w:pPr>
              <w:pStyle w:val="ListBullet"/>
            </w:pPr>
            <w:r w:rsidRPr="00C850C3">
              <w:t>direct</w:t>
            </w:r>
          </w:p>
          <w:p w:rsidR="00000000" w:rsidRPr="00C850C3" w:rsidP="00C850C3">
            <w:pPr>
              <w:pStyle w:val="ListBullet"/>
            </w:pPr>
            <w:r w:rsidRPr="00C850C3">
              <w:t>diffuse</w:t>
            </w:r>
          </w:p>
          <w:p w:rsidR="00000000" w:rsidRPr="00C850C3" w:rsidP="00C850C3">
            <w:pPr>
              <w:pStyle w:val="ListBullet"/>
            </w:pPr>
            <w:r w:rsidRPr="00C850C3">
              <w:t>sol air temperature</w:t>
            </w:r>
          </w:p>
          <w:p w:rsidR="00000000" w:rsidRPr="00C850C3" w:rsidP="00C850C3">
            <w:pPr>
              <w:pStyle w:val="ListBullet"/>
            </w:pPr>
            <w:r w:rsidRPr="00C850C3">
              <w:t>sun position calculations</w:t>
            </w:r>
          </w:p>
          <w:p w:rsidR="00000000" w:rsidRPr="00C850C3" w:rsidP="00C850C3">
            <w:pPr>
              <w:pStyle w:val="BodyText"/>
            </w:pPr>
            <w:r w:rsidRPr="00C850C3">
              <w:t>T7.</w:t>
            </w:r>
            <w:r w:rsidRPr="00C850C3">
              <w:tab/>
              <w:t>Design conditions</w:t>
            </w:r>
          </w:p>
          <w:p w:rsidR="00000000" w:rsidRPr="00C850C3" w:rsidP="00C850C3">
            <w:pPr>
              <w:pStyle w:val="ListBullet"/>
            </w:pPr>
            <w:r w:rsidRPr="00C850C3">
              <w:t>outdoor</w:t>
            </w:r>
          </w:p>
          <w:p w:rsidR="00000000" w:rsidRPr="00C850C3" w:rsidP="00C850C3">
            <w:pPr>
              <w:pStyle w:val="ListBullet"/>
            </w:pPr>
            <w:r w:rsidRPr="00C850C3">
              <w:t>monthly/daily corrections</w:t>
            </w:r>
          </w:p>
          <w:p w:rsidR="00000000" w:rsidRPr="00C850C3" w:rsidP="00C850C3">
            <w:pPr>
              <w:pStyle w:val="ListBullet"/>
            </w:pPr>
            <w:r w:rsidRPr="00C850C3">
              <w:t>comfort/critical</w:t>
            </w:r>
          </w:p>
          <w:p w:rsidR="00000000" w:rsidRPr="00C850C3" w:rsidP="00C850C3">
            <w:pPr>
              <w:pStyle w:val="ListBullet"/>
            </w:pPr>
            <w:r w:rsidRPr="00C850C3">
              <w:t>indoor</w:t>
            </w:r>
          </w:p>
          <w:p w:rsidR="00000000" w:rsidRPr="00C850C3" w:rsidP="00C850C3">
            <w:pPr>
              <w:pStyle w:val="ListBullet"/>
            </w:pPr>
            <w:r w:rsidRPr="00C850C3">
              <w:t>effective temperature</w:t>
            </w:r>
          </w:p>
          <w:p w:rsidR="00000000" w:rsidRPr="00C850C3" w:rsidP="00C850C3">
            <w:pPr>
              <w:pStyle w:val="BodyText"/>
            </w:pPr>
            <w:r w:rsidRPr="00C850C3">
              <w:t>T8.</w:t>
            </w:r>
            <w:r w:rsidRPr="00C850C3">
              <w:tab/>
              <w:t>Thermal comfort.</w:t>
            </w:r>
          </w:p>
          <w:p w:rsidR="00000000" w:rsidRPr="00C850C3" w:rsidP="00C850C3">
            <w:pPr>
              <w:pStyle w:val="BodyText"/>
            </w:pPr>
            <w:r w:rsidRPr="00C850C3">
              <w:t>T9.</w:t>
            </w:r>
            <w:r w:rsidRPr="00C850C3">
              <w:tab/>
              <w:t>Space characteristics.</w:t>
            </w:r>
          </w:p>
          <w:p w:rsidR="00000000" w:rsidRPr="00C850C3" w:rsidP="00C850C3">
            <w:pPr>
              <w:pStyle w:val="BodyText"/>
            </w:pPr>
            <w:r w:rsidRPr="00C850C3">
              <w:t>T10.</w:t>
            </w:r>
            <w:r w:rsidRPr="00C850C3">
              <w:tab/>
            </w:r>
            <w:r w:rsidRPr="00C850C3">
              <w:t>Equipment location.</w:t>
            </w:r>
          </w:p>
          <w:p w:rsidR="00000000" w:rsidRPr="00C850C3" w:rsidP="00C850C3">
            <w:pPr>
              <w:pStyle w:val="BodyText"/>
            </w:pPr>
            <w:r w:rsidRPr="00C850C3">
              <w:t>T11.</w:t>
            </w:r>
            <w:r w:rsidRPr="00C850C3">
              <w:tab/>
              <w:t>Zoning</w:t>
            </w:r>
          </w:p>
          <w:p w:rsidR="00000000" w:rsidRPr="00C850C3" w:rsidP="00C850C3">
            <w:pPr>
              <w:pStyle w:val="BodyText"/>
            </w:pPr>
            <w:r w:rsidRPr="00C850C3">
              <w:t>T12.</w:t>
            </w:r>
            <w:r w:rsidRPr="00C850C3">
              <w:tab/>
              <w:t>Internal loads</w:t>
            </w:r>
          </w:p>
          <w:p w:rsidR="00000000" w:rsidRPr="00C850C3" w:rsidP="00C850C3">
            <w:pPr>
              <w:pStyle w:val="ListBullet"/>
            </w:pPr>
            <w:r w:rsidRPr="00C850C3">
              <w:t>lighting</w:t>
            </w:r>
          </w:p>
          <w:p w:rsidR="00000000" w:rsidRPr="00C850C3" w:rsidP="00C850C3">
            <w:pPr>
              <w:pStyle w:val="ListBullet"/>
            </w:pPr>
            <w:r w:rsidRPr="00C850C3">
              <w:t>equipment</w:t>
            </w:r>
          </w:p>
          <w:p w:rsidR="00000000" w:rsidRPr="00C850C3" w:rsidP="00C850C3">
            <w:pPr>
              <w:pStyle w:val="ListBullet"/>
            </w:pPr>
            <w:r w:rsidRPr="00C850C3">
              <w:t>people</w:t>
            </w:r>
          </w:p>
          <w:p w:rsidR="00000000" w:rsidRPr="00C850C3" w:rsidP="00C850C3">
            <w:pPr>
              <w:pStyle w:val="ListBullet"/>
            </w:pPr>
            <w:r w:rsidRPr="00C850C3">
              <w:t>load profiles</w:t>
            </w:r>
          </w:p>
          <w:p w:rsidR="00000000" w:rsidRPr="00C850C3" w:rsidP="00C850C3">
            <w:pPr>
              <w:pStyle w:val="ListBullet"/>
            </w:pPr>
            <w:r w:rsidRPr="00C850C3">
              <w:t>internal partitions</w:t>
            </w:r>
          </w:p>
          <w:p w:rsidR="00000000" w:rsidRPr="00C850C3" w:rsidP="00C850C3">
            <w:pPr>
              <w:pStyle w:val="BodyText"/>
            </w:pPr>
            <w:r w:rsidRPr="00C850C3">
              <w:t>T13.</w:t>
            </w:r>
            <w:r w:rsidRPr="00C850C3">
              <w:tab/>
              <w:t>Fresh air/AS 1668</w:t>
            </w:r>
          </w:p>
          <w:p w:rsidR="00000000" w:rsidRPr="00C850C3" w:rsidP="00C850C3">
            <w:pPr>
              <w:pStyle w:val="BodyText"/>
            </w:pPr>
            <w:r w:rsidRPr="00C850C3">
              <w:t>T14.</w:t>
            </w:r>
            <w:r w:rsidRPr="00C850C3">
              <w:tab/>
              <w:t>Calculation of fabric loads</w:t>
            </w:r>
          </w:p>
          <w:p w:rsidR="00000000" w:rsidRPr="00C850C3" w:rsidP="00C850C3">
            <w:pPr>
              <w:pStyle w:val="ListBullet"/>
            </w:pPr>
            <w:r w:rsidRPr="00C850C3">
              <w:t>walls</w:t>
            </w:r>
          </w:p>
          <w:p w:rsidR="00000000" w:rsidRPr="00C850C3" w:rsidP="00C850C3">
            <w:pPr>
              <w:pStyle w:val="ListBullet"/>
            </w:pPr>
            <w:r w:rsidRPr="00C850C3">
              <w:t>roofs</w:t>
            </w:r>
          </w:p>
          <w:p w:rsidR="00000000" w:rsidRPr="00C850C3" w:rsidP="00C850C3">
            <w:pPr>
              <w:pStyle w:val="ListBullet"/>
            </w:pPr>
            <w:r w:rsidRPr="00C850C3">
              <w:t>floors</w:t>
            </w:r>
          </w:p>
          <w:p w:rsidR="00000000" w:rsidRPr="00C850C3" w:rsidP="00C850C3">
            <w:pPr>
              <w:pStyle w:val="BodyText"/>
            </w:pPr>
            <w:r w:rsidRPr="00C850C3">
              <w:t>T15.</w:t>
            </w:r>
            <w:r w:rsidRPr="00C850C3">
              <w:tab/>
              <w:t>Windows</w:t>
            </w:r>
          </w:p>
          <w:p w:rsidR="00000000" w:rsidRPr="00C850C3" w:rsidP="00C850C3">
            <w:pPr>
              <w:pStyle w:val="ListBullet"/>
            </w:pPr>
            <w:r w:rsidRPr="00C850C3">
              <w:t>glass types and factors</w:t>
            </w:r>
          </w:p>
          <w:p w:rsidR="00000000" w:rsidRPr="00C850C3" w:rsidP="00C850C3">
            <w:pPr>
              <w:pStyle w:val="ListBullet"/>
            </w:pPr>
            <w:r w:rsidRPr="00C850C3">
              <w:t>shade factors</w:t>
            </w:r>
          </w:p>
          <w:p w:rsidR="00000000" w:rsidRPr="00C850C3" w:rsidP="00C850C3">
            <w:pPr>
              <w:pStyle w:val="ListBullet"/>
            </w:pPr>
            <w:r w:rsidRPr="00C850C3">
              <w:t>internal and external shading</w:t>
            </w:r>
          </w:p>
          <w:p w:rsidR="00000000" w:rsidRPr="00C850C3" w:rsidP="00C850C3">
            <w:pPr>
              <w:pStyle w:val="ListBullet"/>
            </w:pPr>
            <w:r w:rsidRPr="00C850C3">
              <w:t>shading from adjacent structures</w:t>
            </w:r>
          </w:p>
          <w:p w:rsidR="00000000" w:rsidRPr="00C850C3" w:rsidP="00C850C3">
            <w:pPr>
              <w:pStyle w:val="BodyText"/>
            </w:pPr>
            <w:r w:rsidRPr="00C850C3">
              <w:t>T16.</w:t>
            </w:r>
            <w:r w:rsidRPr="00C850C3">
              <w:tab/>
              <w:t>Air quantity calculation</w:t>
            </w:r>
          </w:p>
          <w:p w:rsidR="00000000" w:rsidRPr="00C850C3" w:rsidP="00C850C3">
            <w:pPr>
              <w:pStyle w:val="ListBullet"/>
            </w:pPr>
            <w:r w:rsidRPr="00C850C3">
              <w:t>psychrometrics</w:t>
            </w:r>
          </w:p>
          <w:p w:rsidR="00000000" w:rsidRPr="00C850C3" w:rsidP="00C850C3">
            <w:pPr>
              <w:pStyle w:val="ListBullet"/>
            </w:pPr>
            <w:r w:rsidRPr="00C850C3">
              <w:t>by-pass factor</w:t>
            </w:r>
          </w:p>
          <w:p w:rsidR="00000000" w:rsidRPr="00C850C3" w:rsidP="00C850C3">
            <w:pPr>
              <w:pStyle w:val="ListBullet"/>
            </w:pPr>
            <w:r w:rsidRPr="00C850C3">
              <w:t>coil load</w:t>
            </w:r>
          </w:p>
          <w:p w:rsidR="00000000" w:rsidRPr="00C850C3" w:rsidP="00C850C3">
            <w:pPr>
              <w:pStyle w:val="ListBullet"/>
            </w:pPr>
            <w:r w:rsidRPr="00C850C3">
              <w:t>VAV air quantities</w:t>
            </w:r>
          </w:p>
          <w:p w:rsidR="00000000" w:rsidRPr="00C850C3" w:rsidP="00C850C3">
            <w:pPr>
              <w:pStyle w:val="BodyText"/>
            </w:pPr>
            <w:r w:rsidRPr="00C850C3">
              <w:t>T17.</w:t>
            </w:r>
            <w:r w:rsidRPr="00C850C3">
              <w:tab/>
              <w:t>Piping and other losses.</w:t>
            </w:r>
          </w:p>
          <w:p w:rsidR="00000000" w:rsidRPr="00C850C3" w:rsidP="00C850C3">
            <w:pPr>
              <w:pStyle w:val="BodyText"/>
            </w:pPr>
            <w:r w:rsidRPr="00C850C3">
              <w:t>T18.</w:t>
            </w:r>
            <w:r w:rsidRPr="00C850C3">
              <w:tab/>
              <w:t>Refrigeration plant load.</w:t>
            </w:r>
          </w:p>
          <w:p w:rsidR="00000000" w:rsidRPr="00C850C3" w:rsidP="00C850C3">
            <w:pPr>
              <w:pStyle w:val="BodyText"/>
            </w:pPr>
            <w:r w:rsidRPr="00C850C3">
              <w:t>T19.</w:t>
            </w:r>
            <w:r w:rsidRPr="00C850C3">
              <w:tab/>
              <w:t>Computer software</w:t>
            </w:r>
          </w:p>
          <w:p w:rsidR="00000000" w:rsidRPr="00C850C3" w:rsidP="00C850C3">
            <w:pPr>
              <w:pStyle w:val="ListBullet"/>
            </w:pPr>
            <w:r w:rsidRPr="00C850C3">
              <w:t>responsible use</w:t>
            </w:r>
          </w:p>
        </w:tc>
      </w:tr>
    </w:tbl>
    <w:p w:rsidR="00EA60E9" w:rsidP="00C850C3">
      <w:pPr>
        <w:pStyle w:val="BodyText"/>
      </w:pPr>
    </w:p>
    <w:p w:rsidR="00EA60E9" w:rsidP="00C850C3">
      <w:pPr>
        <w:pStyle w:val="BodyText"/>
      </w:pPr>
    </w:p>
    <w:p w:rsidR="00000000" w:rsidRPr="00C850C3" w:rsidP="00C850C3">
      <w:pPr>
        <w:pStyle w:val="Heading1"/>
      </w:pPr>
      <w:bookmarkStart w:id="10" w:name="O_589773"/>
      <w:bookmarkEnd w:id="10"/>
      <w:r w:rsidRPr="00C850C3">
        <w:t>Evidence Guide</w:t>
      </w:r>
    </w:p>
    <w:tbl>
      <w:tblPr>
        <w:tblW w:w="0" w:type="auto"/>
        <w:tblLayout w:type="fixed"/>
        <w:tblCellMar>
          <w:left w:w="62" w:type="dxa"/>
          <w:right w:w="62" w:type="dxa"/>
        </w:tblCellMar>
        <w:tblLook w:val="0000"/>
      </w:tblPr>
      <w:tblGrid>
        <w:gridCol w:w="2160"/>
        <w:gridCol w:w="288"/>
        <w:gridCol w:w="540"/>
        <w:gridCol w:w="5520"/>
      </w:tblGrid>
      <w:tr w:rsidTr="00EA60E9">
        <w:tblPrEx>
          <w:tblW w:w="0" w:type="auto"/>
          <w:tblLayout w:type="fixed"/>
          <w:tblCellMar>
            <w:left w:w="62" w:type="dxa"/>
            <w:right w:w="62" w:type="dxa"/>
          </w:tblCellMar>
          <w:tblLook w:val="0000"/>
        </w:tblPrEx>
        <w:trPr>
          <w:tblHeader/>
        </w:trPr>
        <w:tc>
          <w:tcPr>
            <w:tcW w:w="8508" w:type="dxa"/>
            <w:gridSpan w:val="4"/>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rPr>
                <w:rStyle w:val="SpecialBold"/>
              </w:rPr>
              <w:t>EVIDENCE GUIDE</w:t>
            </w:r>
          </w:p>
        </w:tc>
      </w:tr>
      <w:tr w:rsidTr="00EA60E9">
        <w:tblPrEx>
          <w:tblW w:w="0" w:type="auto"/>
          <w:tblLayout w:type="fixed"/>
          <w:tblCellMar>
            <w:left w:w="62" w:type="dxa"/>
            <w:right w:w="62" w:type="dxa"/>
          </w:tblCellMar>
          <w:tblLook w:val="0000"/>
        </w:tblPrEx>
        <w:tc>
          <w:tcPr>
            <w:tcW w:w="8508" w:type="dxa"/>
            <w:gridSpan w:val="4"/>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rPr>
                <w:rStyle w:val="SpecialBold"/>
              </w:rPr>
              <w:t>9</w:t>
            </w:r>
            <w:r w:rsidRPr="00C850C3">
              <w:t>) The evidence guide provides advice on assessment and must be read in conjunction with the Performance Criteria, Required Skills and Knowledge, the Range Statement and the Assessment Guidelines for this</w:t>
            </w:r>
            <w:r w:rsidRPr="00C850C3">
              <w:t xml:space="preserve"> Training Package. .</w:t>
            </w:r>
          </w:p>
          <w:p w:rsidR="00000000" w:rsidP="00C850C3">
            <w:pPr>
              <w:pStyle w:val="BodyText"/>
              <w:rPr>
                <w:lang w:val="en-NZ"/>
              </w:rPr>
            </w:pPr>
            <w:r w:rsidRPr="00C850C3">
              <w:t>The Evidence Guide forms an integral part of this Unit. It must be used in conjunction with all parts of this unit and performed in accordance with the Assessment Guidelines of this Training Package.</w:t>
            </w:r>
          </w:p>
        </w:tc>
      </w:tr>
      <w:tr w:rsidTr="00EA6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rPr>
                <w:rStyle w:val="SpecialBold"/>
              </w:rPr>
              <w:t>Overview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rPr>
                <w:rStyle w:val="SpecialBold"/>
              </w:rPr>
              <w:t>9</w:t>
            </w:r>
            <w:r w:rsidRPr="00C850C3">
              <w:t>.</w:t>
            </w:r>
            <w:r w:rsidRPr="00C850C3">
              <w:rPr>
                <w:rStyle w:val="SpecialBold"/>
              </w:rPr>
              <w:t>1</w:t>
            </w:r>
            <w:r w:rsidRPr="00C850C3">
              <w:t xml:space="preserve">) </w:t>
            </w:r>
          </w:p>
          <w:p w:rsidR="00000000" w:rsidRPr="00C850C3" w:rsidP="00C850C3">
            <w:pPr>
              <w:pStyle w:val="BodyText"/>
            </w:pPr>
            <w:r w:rsidRPr="00C850C3">
              <w:t>Longitudinal competency development approaches to assessment, such as Profiling, require data to be reliably gathered in a form that can be consistently interpreted over time. This approach is best utilised in Apprenticeship programs and reduces assessment</w:t>
            </w:r>
            <w:r w:rsidRPr="00C850C3">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C850C3">
              <w:t>ncy in a realistically simulated work environment. In some circumstances, assessment in part or full can occur outside the workplace. However, it must be in accordance with industry and regulatory policy.</w:t>
            </w:r>
          </w:p>
          <w:p w:rsidR="00000000" w:rsidRPr="00C850C3" w:rsidP="00C850C3">
            <w:pPr>
              <w:pStyle w:val="BodyText"/>
            </w:pPr>
            <w:r w:rsidRPr="00C850C3">
              <w:t xml:space="preserve">Methods chosen for a particular assessment will be </w:t>
            </w:r>
            <w:r w:rsidRPr="00C850C3">
              <w:t>influenced by various factors. These include the extent of the assessment, the most effective locations for the assessment activities to take place, access to physical resources, additional safety measures that may be required and the critical nature of th</w:t>
            </w:r>
            <w:r w:rsidRPr="00C850C3">
              <w:t>e competencies being assessed.</w:t>
            </w:r>
          </w:p>
          <w:p w:rsidR="00000000" w:rsidRPr="00C850C3" w:rsidP="00C850C3">
            <w:pPr>
              <w:pStyle w:val="BodyText"/>
            </w:pPr>
            <w:r w:rsidRPr="00C850C3">
              <w:t>The critical safety nature of working with electricity, electrical equipment, gas or any other hazardous substance/material carries risk in deeming a person competent. Sources of evidence need to be 'rich' in nature to minimi</w:t>
            </w:r>
            <w:r w:rsidRPr="00C850C3">
              <w:t>se error in judgment.</w:t>
            </w:r>
          </w:p>
          <w:p w:rsidR="00000000" w:rsidP="00C850C3">
            <w:pPr>
              <w:pStyle w:val="BodyText"/>
              <w:rPr>
                <w:lang w:val="en-NZ"/>
              </w:rPr>
            </w:pPr>
            <w:r w:rsidRPr="00C850C3">
              <w:t>Activities associated with normal everyday work influence decisions about how/how much the data gathered will contribute to its 'richness'. Some skills are more critical to safety and operational requirements while the same skills may</w:t>
            </w:r>
            <w:r w:rsidRPr="00C850C3">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C850C3">
              <w:t>this Training Package.</w:t>
            </w:r>
          </w:p>
        </w:tc>
      </w:tr>
      <w:tr w:rsidTr="00EA60E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rPr>
                <w:rStyle w:val="SpecialBold"/>
              </w:rPr>
              <w:t>Critical aspects of evidence required to demonstrate competency in this unit</w:t>
            </w:r>
          </w:p>
        </w:tc>
        <w:tc>
          <w:tcPr>
            <w:tcW w:w="6348" w:type="dxa"/>
            <w:gridSpan w:val="3"/>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rPr>
                <w:rStyle w:val="SpecialBold"/>
              </w:rPr>
              <w:t>9</w:t>
            </w:r>
            <w:r w:rsidRPr="00C850C3">
              <w:t>.</w:t>
            </w:r>
            <w:r w:rsidRPr="00C850C3">
              <w:rPr>
                <w:rStyle w:val="SpecialBold"/>
              </w:rPr>
              <w:t>2</w:t>
            </w:r>
            <w:r w:rsidRPr="00C850C3">
              <w:t xml:space="preserve">) </w:t>
            </w:r>
          </w:p>
          <w:p w:rsidR="00000000" w:rsidP="00C850C3">
            <w:pPr>
              <w:pStyle w:val="BodyText"/>
              <w:rPr>
                <w:lang w:val="en-NZ"/>
              </w:rPr>
            </w:pPr>
            <w:r w:rsidRPr="00C850C3">
              <w:t>Before the critical aspects of evidence are considered all prerequisites must be met.</w:t>
            </w:r>
          </w:p>
        </w:tc>
      </w:tr>
      <w:tr w:rsidTr="00EA60E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C850C3">
            <w:pPr>
              <w:pStyle w:val="ListBullet"/>
              <w:rPr>
                <w:lang w:val="en-NZ"/>
              </w:rPr>
            </w:pPr>
            <w:r w:rsidRPr="00C850C3">
              <w:t>A representative body of work performance demonstrated within the timeframes typically expected of the discipline, work function and industrial environment. In particular this shall incorporate evidence that shows a candidate is able to:</w:t>
            </w:r>
          </w:p>
        </w:tc>
      </w:tr>
      <w:tr w:rsidTr="00EA6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C850C3" w:rsidP="00C850C3">
            <w:pPr>
              <w:pStyle w:val="ListBullet2"/>
            </w:pPr>
            <w:r w:rsidRPr="00C850C3">
              <w:t>Implement Occupational Health and Safety workplace procedures and practices including the use of risk control measures as specified in the performance criteria and range statement</w:t>
            </w:r>
          </w:p>
          <w:p w:rsidR="00000000" w:rsidRPr="00C850C3" w:rsidP="00C850C3">
            <w:pPr>
              <w:pStyle w:val="ListBullet2"/>
            </w:pPr>
            <w:r w:rsidRPr="00C850C3">
              <w:t>Apply sustainable energy principles and practices as specified in the perfor</w:t>
            </w:r>
            <w:r w:rsidRPr="00C850C3">
              <w:t>mance criteria and range statement</w:t>
            </w:r>
          </w:p>
          <w:p w:rsidR="00000000" w:rsidRPr="00C850C3" w:rsidP="00C850C3">
            <w:pPr>
              <w:pStyle w:val="ListBullet2"/>
            </w:pPr>
            <w:r w:rsidRPr="00C850C3">
              <w:t>Demonstrate an understanding of the essential knowledge and associated skills as described in this unit.  It may be required by some jurisdictions that RTOs provide a percentile graded result for the purpose of regulatory</w:t>
            </w:r>
            <w:r w:rsidRPr="00C850C3">
              <w:t xml:space="preserve"> or licensing requirements.</w:t>
            </w:r>
          </w:p>
          <w:p w:rsidR="00000000" w:rsidRPr="00C850C3" w:rsidP="00C850C3">
            <w:pPr>
              <w:pStyle w:val="ListBullet2"/>
            </w:pPr>
            <w:r w:rsidRPr="00C850C3">
              <w:t>Demonstrate an appropriate level of skills enabling employment</w:t>
            </w:r>
          </w:p>
          <w:p w:rsidR="00000000" w:rsidP="00C850C3">
            <w:pPr>
              <w:pStyle w:val="ListBullet2"/>
              <w:rPr>
                <w:lang w:val="en-NZ"/>
              </w:rPr>
            </w:pPr>
            <w:r w:rsidRPr="00C850C3">
              <w:t>Conduct work observing the relevant Anti Discrimination legislation, regulations, polices and workplace procedures</w:t>
            </w:r>
          </w:p>
        </w:tc>
      </w:tr>
      <w:tr w:rsidTr="00EA6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C850C3">
            <w:pPr>
              <w:pStyle w:val="ListBullet"/>
              <w:rPr>
                <w:lang w:val="en-NZ"/>
              </w:rPr>
            </w:pPr>
            <w:r w:rsidRPr="00C850C3">
              <w:t xml:space="preserve">Demonstrated consistent performance across a </w:t>
            </w:r>
            <w:r w:rsidRPr="00C850C3">
              <w:t>representative range of contexts from the prescribed items below:</w:t>
            </w:r>
          </w:p>
        </w:tc>
      </w:tr>
      <w:tr w:rsidTr="00EA6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C850C3">
            <w:pPr>
              <w:pStyle w:val="ListBullet2"/>
              <w:rPr>
                <w:lang w:val="en-NZ"/>
              </w:rPr>
            </w:pPr>
            <w:r w:rsidRPr="00C850C3">
              <w:t>Determine the heat loads for commercial refrigeration and/or air conditioning applications as described in 8) and including:</w:t>
            </w:r>
          </w:p>
        </w:tc>
      </w:tr>
      <w:tr w:rsidTr="00EA6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A</w:t>
            </w:r>
          </w:p>
        </w:tc>
        <w:tc>
          <w:tcPr>
            <w:tcW w:w="552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Establishing system parameters for heat load</w:t>
            </w:r>
          </w:p>
        </w:tc>
      </w:tr>
      <w:tr w:rsidTr="00EA6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B</w:t>
            </w:r>
          </w:p>
        </w:tc>
        <w:tc>
          <w:tcPr>
            <w:tcW w:w="552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Select appropriate head load calculation tools</w:t>
            </w:r>
          </w:p>
        </w:tc>
      </w:tr>
      <w:tr w:rsidTr="00EA6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C</w:t>
            </w:r>
          </w:p>
        </w:tc>
        <w:tc>
          <w:tcPr>
            <w:tcW w:w="552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Identifying heat loads accurately</w:t>
            </w:r>
          </w:p>
        </w:tc>
      </w:tr>
      <w:tr w:rsidTr="00EA6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D</w:t>
            </w:r>
          </w:p>
        </w:tc>
        <w:tc>
          <w:tcPr>
            <w:tcW w:w="552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Using calculation methods accurately</w:t>
            </w:r>
          </w:p>
        </w:tc>
      </w:tr>
      <w:tr w:rsidTr="00EA6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E</w:t>
            </w:r>
          </w:p>
        </w:tc>
        <w:tc>
          <w:tcPr>
            <w:tcW w:w="552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Documenting heat loads correctly</w:t>
            </w:r>
          </w:p>
        </w:tc>
      </w:tr>
      <w:tr w:rsidTr="00EA6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F</w:t>
            </w:r>
          </w:p>
        </w:tc>
        <w:tc>
          <w:tcPr>
            <w:tcW w:w="552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Dealing with unplanned events by drawing on essential knowledge and skills to provide appropriate solutions incorporated in the holistic assessment with the above listed items</w:t>
            </w:r>
          </w:p>
        </w:tc>
      </w:tr>
      <w:tr w:rsidTr="00EA6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 xml:space="preserve">Note: </w:t>
            </w:r>
            <w:r w:rsidRPr="00C850C3">
              <w:br/>
              <w:t>Successful completion of relevant vendor training may be used to contri</w:t>
            </w:r>
            <w:r w:rsidRPr="00C850C3">
              <w:t>bute to evidence on which competency is deemed. In these cases the alignment of outcomes of vendor training with performance criteria and critical aspects of evidence shall be clearly identified</w:t>
            </w:r>
          </w:p>
        </w:tc>
      </w:tr>
      <w:tr w:rsidTr="00EA6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rPr>
                <w:rStyle w:val="SpecialBold"/>
              </w:rPr>
              <w:t>Context of and specific resources for assessment</w:t>
            </w:r>
          </w:p>
        </w:tc>
        <w:tc>
          <w:tcPr>
            <w:tcW w:w="6348" w:type="dxa"/>
            <w:gridSpan w:val="3"/>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rPr>
                <w:rStyle w:val="SpecialBold"/>
              </w:rPr>
              <w:t>9</w:t>
            </w:r>
            <w:r w:rsidRPr="00C850C3">
              <w:t>.</w:t>
            </w:r>
            <w:r w:rsidRPr="00C850C3">
              <w:rPr>
                <w:rStyle w:val="SpecialBold"/>
              </w:rPr>
              <w:t>3</w:t>
            </w:r>
            <w:r w:rsidRPr="00C850C3">
              <w:t xml:space="preserve">) </w:t>
            </w:r>
          </w:p>
          <w:p w:rsidR="00000000" w:rsidRPr="00C850C3" w:rsidP="00C850C3">
            <w:pPr>
              <w:pStyle w:val="BodyText"/>
            </w:pPr>
            <w:r w:rsidRPr="00C850C3">
              <w:t>Thi</w:t>
            </w:r>
            <w:r w:rsidRPr="00C850C3">
              <w:t>s unit should be assessed as it relates to normal work practice using procedures, information and resources typical of a workplace. This should include:</w:t>
            </w:r>
          </w:p>
          <w:p w:rsidR="00000000" w:rsidRPr="00C850C3" w:rsidP="00C850C3">
            <w:pPr>
              <w:pStyle w:val="ListBullet"/>
            </w:pPr>
            <w:r w:rsidRPr="00C850C3">
              <w:t>OHS policy and work procedures and instructions.</w:t>
            </w:r>
          </w:p>
          <w:p w:rsidR="00000000" w:rsidRPr="00C850C3" w:rsidP="00C850C3">
            <w:pPr>
              <w:pStyle w:val="ListBullet"/>
            </w:pPr>
            <w:r w:rsidRPr="00C850C3">
              <w:t>Suitable work environment, facilities, equipment and materials to undertake actual work as prescribed by this unit.</w:t>
            </w:r>
          </w:p>
          <w:p w:rsidR="00000000" w:rsidRPr="00C850C3" w:rsidP="00C850C3">
            <w:pPr>
              <w:pStyle w:val="BodyText"/>
            </w:pPr>
            <w:r w:rsidRPr="00C850C3">
              <w:t>These should be part of the formal learning/assessment environment.</w:t>
            </w:r>
          </w:p>
          <w:p w:rsidR="00000000" w:rsidRPr="00C850C3" w:rsidP="00C850C3">
            <w:pPr>
              <w:pStyle w:val="BodyText"/>
            </w:pPr>
            <w:r w:rsidRPr="00C850C3">
              <w:t>Note:</w:t>
            </w:r>
          </w:p>
          <w:p w:rsidR="00000000" w:rsidP="00C850C3">
            <w:pPr>
              <w:pStyle w:val="BodyText"/>
              <w:rPr>
                <w:lang w:val="en-NZ"/>
              </w:rPr>
            </w:pPr>
            <w:r w:rsidRPr="00C850C3">
              <w:t>Where simulation is considered a suitable strategy for assessment,</w:t>
            </w:r>
            <w:r w:rsidRPr="00C850C3">
              <w:t xml:space="preserve"> conditions must be authentic and as far as possible reproduce and replicate the workplace and be consistent with the approved industry simulation policy.</w:t>
            </w:r>
          </w:p>
        </w:tc>
      </w:tr>
      <w:tr w:rsidTr="00EA6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Evidence should show demonstrated competency in determining the heat loads for commercial refrige</w:t>
            </w:r>
            <w:r w:rsidRPr="00C850C3">
              <w:t>ration and air conditioning applications.</w:t>
            </w:r>
          </w:p>
        </w:tc>
      </w:tr>
      <w:tr w:rsidTr="00EA6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rPr>
                <w:rStyle w:val="SpecialBold"/>
              </w:rPr>
              <w:t>Method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rPr>
                <w:rStyle w:val="SpecialBold"/>
              </w:rPr>
              <w:t>9</w:t>
            </w:r>
            <w:r w:rsidRPr="00C850C3">
              <w:t>.</w:t>
            </w:r>
            <w:r w:rsidRPr="00C850C3">
              <w:rPr>
                <w:rStyle w:val="SpecialBold"/>
              </w:rPr>
              <w:t>4</w:t>
            </w:r>
            <w:r w:rsidRPr="00C850C3">
              <w:t xml:space="preserve">) </w:t>
            </w:r>
          </w:p>
          <w:p w:rsidR="00000000" w:rsidRPr="00C850C3" w:rsidP="00C850C3">
            <w:pPr>
              <w:pStyle w:val="BodyText"/>
            </w:pPr>
            <w:r w:rsidRPr="00C850C3">
              <w:t>This unit shall be assessed by methods given in Volume 1, Part 3 'Assessment Guidelines'.</w:t>
            </w:r>
          </w:p>
          <w:p w:rsidR="00000000" w:rsidP="00C850C3">
            <w:pPr>
              <w:pStyle w:val="BodyText"/>
              <w:rPr>
                <w:lang w:val="en-NZ"/>
              </w:rPr>
            </w:pPr>
            <w:r w:rsidRPr="00C850C3">
              <w:t xml:space="preserve">Note: </w:t>
            </w:r>
            <w:r w:rsidRPr="00C850C3">
              <w:br/>
            </w:r>
            <w:r w:rsidRPr="00C850C3">
              <w:t>Competent performance with inherent safe working practices is expected in the Industry to which this unit applies. This requires assessment in a structured environment which is intended primarily for learning/assessment and incorporates all necessary equip</w:t>
            </w:r>
            <w:r w:rsidRPr="00C850C3">
              <w:t>ment and facilities for learners to develop and demonstrate the essential knowledge and skills described in this unit.</w:t>
            </w:r>
          </w:p>
        </w:tc>
      </w:tr>
      <w:tr w:rsidTr="00EA60E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rPr>
                <w:rStyle w:val="SpecialBold"/>
              </w:rPr>
              <w:t>Concurrent assessment and relationship with other units</w:t>
            </w:r>
          </w:p>
        </w:tc>
        <w:tc>
          <w:tcPr>
            <w:tcW w:w="6348" w:type="dxa"/>
            <w:gridSpan w:val="3"/>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rPr>
                <w:rStyle w:val="SpecialBold"/>
              </w:rPr>
              <w:t>9</w:t>
            </w:r>
            <w:r w:rsidRPr="00C850C3">
              <w:t>.</w:t>
            </w:r>
            <w:r w:rsidRPr="00C850C3">
              <w:rPr>
                <w:rStyle w:val="SpecialBold"/>
              </w:rPr>
              <w:t>5</w:t>
            </w:r>
            <w:r w:rsidRPr="00C850C3">
              <w:t>)</w:t>
            </w:r>
          </w:p>
        </w:tc>
      </w:tr>
      <w:tr w:rsidTr="00EA60E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t>There are no concurrent assessment recommendations for this unit.</w:t>
            </w:r>
          </w:p>
        </w:tc>
      </w:tr>
    </w:tbl>
    <w:p w:rsidR="00EA60E9" w:rsidP="00C850C3">
      <w:pPr>
        <w:pStyle w:val="BodyText"/>
      </w:pPr>
    </w:p>
    <w:p w:rsidR="00EA60E9" w:rsidP="00C850C3">
      <w:pPr>
        <w:pStyle w:val="BodyText"/>
      </w:pPr>
    </w:p>
    <w:p w:rsidR="00000000" w:rsidRPr="00C850C3" w:rsidP="00C850C3">
      <w:pPr>
        <w:pStyle w:val="Heading1"/>
      </w:pPr>
      <w:bookmarkStart w:id="11" w:name="O_589772"/>
      <w:bookmarkEnd w:id="11"/>
      <w:r w:rsidRPr="00C850C3">
        <w:t>Range Statement</w:t>
      </w:r>
    </w:p>
    <w:tbl>
      <w:tblPr>
        <w:tblW w:w="0" w:type="auto"/>
        <w:tblLayout w:type="fixed"/>
        <w:tblCellMar>
          <w:left w:w="62" w:type="dxa"/>
          <w:right w:w="62" w:type="dxa"/>
        </w:tblCellMar>
        <w:tblLook w:val="0000"/>
      </w:tblPr>
      <w:tblGrid>
        <w:gridCol w:w="8508"/>
      </w:tblGrid>
      <w:tr w:rsidTr="00EA60E9">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rPr>
                <w:rStyle w:val="SpecialBold"/>
              </w:rPr>
              <w:t>RANGE STATEMENT</w:t>
            </w:r>
          </w:p>
        </w:tc>
      </w:tr>
      <w:tr w:rsidTr="00EA60E9">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rPr>
                <w:rStyle w:val="SpecialBold"/>
              </w:rPr>
              <w:t>8</w:t>
            </w:r>
            <w:r w:rsidRPr="00C850C3">
              <w:t xml:space="preserve">) This relates to the unit as a whole providing the range of contexts and conditions to which the performance criteria apply. It allows for different work environments and situations that will affect </w:t>
            </w:r>
            <w:r w:rsidRPr="00C850C3">
              <w:t>performance.</w:t>
            </w:r>
          </w:p>
        </w:tc>
      </w:tr>
      <w:tr w:rsidTr="00EA60E9">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This unit must be demonstrated in relation to determining heat loads using quick selection short form paper and/or computer based methods for a refrigeration and/or air conditioning system.</w:t>
            </w:r>
          </w:p>
        </w:tc>
      </w:tr>
      <w:tr w:rsidTr="00EA60E9">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t>Generic terms used thro</w:t>
            </w:r>
            <w:r w:rsidRPr="00C850C3">
              <w:t>ughout this Vocational Standard shall be regarded as part of the Range Statement in which competency is demonstrated. The definition of these and other terms that apply are given in Volume 2, Part 2.1.</w:t>
            </w:r>
          </w:p>
        </w:tc>
      </w:tr>
    </w:tbl>
    <w:p w:rsidR="00EA60E9" w:rsidP="00C850C3">
      <w:pPr>
        <w:pStyle w:val="BodyText"/>
      </w:pPr>
    </w:p>
    <w:p w:rsidR="00EA60E9" w:rsidP="00C850C3">
      <w:pPr>
        <w:pStyle w:val="BodyText"/>
      </w:pPr>
    </w:p>
    <w:p w:rsidR="00000000" w:rsidRPr="00C850C3" w:rsidP="00C850C3">
      <w:pPr>
        <w:pStyle w:val="Heading1"/>
      </w:pPr>
      <w:bookmarkStart w:id="12" w:name="O_589771"/>
      <w:bookmarkEnd w:id="12"/>
      <w:r w:rsidRPr="00C850C3">
        <w:t>Unit Sector(s)</w:t>
      </w:r>
    </w:p>
    <w:p w:rsidR="00000000" w:rsidRPr="00C850C3" w:rsidP="00C850C3">
      <w:pPr>
        <w:pStyle w:val="BodyText"/>
      </w:pPr>
      <w:r w:rsidRPr="00C850C3">
        <w:t>Not Applicable</w:t>
      </w:r>
    </w:p>
    <w:p w:rsidR="00000000" w:rsidRPr="00C850C3" w:rsidP="00C850C3">
      <w:pPr>
        <w:pStyle w:val="AllowPageBreak"/>
      </w:pPr>
    </w:p>
    <w:p w:rsidR="00000000" w:rsidRPr="00C850C3" w:rsidP="00C850C3">
      <w:pPr>
        <w:pStyle w:val="Heading1"/>
      </w:pPr>
      <w:bookmarkStart w:id="13" w:name="O_589770"/>
      <w:bookmarkEnd w:id="13"/>
      <w:r w:rsidRPr="00C850C3">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A60E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rPr>
                <w:rStyle w:val="SpecialBold"/>
              </w:rPr>
              <w:t>2</w:t>
            </w:r>
            <w:r w:rsidRPr="00C850C3">
              <w:t>.</w:t>
            </w:r>
            <w:r w:rsidRPr="00C850C3">
              <w:rPr>
                <w:rStyle w:val="SpecialBold"/>
              </w:rPr>
              <w:t>2</w:t>
            </w:r>
            <w:r w:rsidRPr="00C850C3">
              <w:t xml:space="preserve">) </w:t>
            </w:r>
            <w:r w:rsidRPr="00C850C3">
              <w:rPr>
                <w:rStyle w:val="SpecialBold"/>
              </w:rPr>
              <w:t>Literacy and numeracy skills</w:t>
            </w:r>
          </w:p>
          <w:p w:rsidR="00000000" w:rsidP="00C850C3">
            <w:pPr>
              <w:pStyle w:val="BodyText"/>
              <w:rPr>
                <w:lang w:val="en-NZ"/>
              </w:rPr>
            </w:pPr>
            <w:r w:rsidRPr="00C850C3">
              <w:t>Participants are best equipped to achieve competency in this unit if they have reading, writing and numeracy skills indicated by the following scales. Description of each scale is given in Volume 2, Part 3 'Literacy and Numeracy'</w:t>
            </w:r>
          </w:p>
        </w:tc>
      </w:tr>
      <w:tr w:rsidTr="00EA60E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Reading</w:t>
            </w:r>
          </w:p>
        </w:tc>
        <w:tc>
          <w:tcPr>
            <w:tcW w:w="1182"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4</w:t>
            </w:r>
          </w:p>
        </w:tc>
        <w:tc>
          <w:tcPr>
            <w:tcW w:w="1739"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Writing</w:t>
            </w:r>
          </w:p>
        </w:tc>
        <w:tc>
          <w:tcPr>
            <w:tcW w:w="1182"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4</w:t>
            </w:r>
          </w:p>
        </w:tc>
        <w:tc>
          <w:tcPr>
            <w:tcW w:w="1721"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t>Numeracy</w:t>
            </w:r>
          </w:p>
        </w:tc>
        <w:tc>
          <w:tcPr>
            <w:tcW w:w="1182" w:type="dxa"/>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t>4</w:t>
            </w:r>
          </w:p>
        </w:tc>
      </w:tr>
    </w:tbl>
    <w:p w:rsidR="00EA60E9" w:rsidP="00C850C3">
      <w:pPr>
        <w:pStyle w:val="BodyText"/>
      </w:pPr>
    </w:p>
    <w:p w:rsidR="00EA60E9" w:rsidP="00C850C3">
      <w:pPr>
        <w:pStyle w:val="BodyText"/>
      </w:pPr>
    </w:p>
    <w:p w:rsidR="00000000" w:rsidRPr="00C850C3" w:rsidP="00C850C3">
      <w:pPr>
        <w:pStyle w:val="Heading1"/>
      </w:pPr>
      <w:bookmarkStart w:id="14" w:name="O_589769"/>
      <w:bookmarkEnd w:id="14"/>
      <w:r w:rsidRPr="00C850C3">
        <w:t>2.2) Literacy and numeracy skills</w:t>
      </w:r>
    </w:p>
    <w:tbl>
      <w:tblPr>
        <w:tblW w:w="0" w:type="auto"/>
        <w:tblLayout w:type="fixed"/>
        <w:tblCellMar>
          <w:left w:w="62" w:type="dxa"/>
          <w:right w:w="62" w:type="dxa"/>
        </w:tblCellMar>
        <w:tblLook w:val="0000"/>
      </w:tblPr>
      <w:tblGrid>
        <w:gridCol w:w="2700"/>
        <w:gridCol w:w="5760"/>
      </w:tblGrid>
      <w:tr w:rsidTr="00EA60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850C3">
            <w:pPr>
              <w:pStyle w:val="BodyText"/>
              <w:rPr>
                <w:lang w:val="en-NZ"/>
              </w:rPr>
            </w:pPr>
            <w:r w:rsidRPr="00C850C3">
              <w:rPr>
                <w:rStyle w:val="SpecialBold"/>
              </w:rPr>
              <w:t>5</w:t>
            </w:r>
            <w:r w:rsidRPr="00C850C3">
              <w:t>)</w:t>
            </w:r>
          </w:p>
        </w:tc>
      </w:tr>
      <w:tr w:rsidTr="00EA60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50C3" w:rsidP="00C850C3">
            <w:pPr>
              <w:pStyle w:val="BodyText"/>
            </w:pPr>
            <w:r w:rsidRPr="00C850C3">
              <w:t>Refrigeration and Air Conditioning</w:t>
            </w:r>
          </w:p>
        </w:tc>
      </w:tr>
    </w:tbl>
    <w:p w:rsidR="00EA60E9" w:rsidP="00C850C3">
      <w:pPr>
        <w:pStyle w:val="BodyText"/>
      </w:pPr>
    </w:p>
    <w:p w:rsidR="00EA60E9" w:rsidP="00C850C3">
      <w:pPr>
        <w:pStyle w:val="BodyText"/>
      </w:pPr>
    </w:p>
    <w:p w:rsidR="00000000" w:rsidRPr="00C850C3" w:rsidP="00C850C3"/>
    <w:sectPr w:rsidSect="00C850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0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0C3" w:rsidRPr="00EA60E9" w:rsidP="00EA60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0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0E9" w:rsidP="00C850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A60E9" w:rsidP="00C850C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EA60E9" w:rsidP="00C850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0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0C3" w:rsidRPr="00EA60E9" w:rsidP="00EA60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0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0E9" w:rsidRPr="002D2AF8" w:rsidP="00C850C3">
    <w:pPr>
      <w:pStyle w:val="Header"/>
      <w:framePr w:wrap="around"/>
    </w:pPr>
    <w:r>
      <w:fldChar w:fldCharType="begin"/>
    </w:r>
    <w:r>
      <w:instrText xml:space="preserve"> TITLE   \* MERGEFORMAT </w:instrText>
    </w:r>
    <w:r>
      <w:fldChar w:fldCharType="separate"/>
    </w:r>
    <w:r>
      <w:t>UEENEEJ129A Establish heat loads for commercial refrigeration and/or air conditioning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EA60E9" w:rsidP="00C850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6AC4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0CDE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D4DD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0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50C3"/>
    <w:pPr>
      <w:spacing w:before="360" w:after="60"/>
      <w:outlineLvl w:val="0"/>
    </w:pPr>
    <w:rPr>
      <w:sz w:val="32"/>
    </w:rPr>
  </w:style>
  <w:style w:type="paragraph" w:styleId="Heading2">
    <w:name w:val="heading 2"/>
    <w:basedOn w:val="HeadingBase"/>
    <w:next w:val="BodyText"/>
    <w:link w:val="Heading2Char"/>
    <w:qFormat/>
    <w:rsid w:val="00C850C3"/>
    <w:pPr>
      <w:keepLines/>
      <w:spacing w:before="240" w:after="120"/>
      <w:outlineLvl w:val="1"/>
    </w:pPr>
    <w:rPr>
      <w:sz w:val="28"/>
      <w:szCs w:val="40"/>
    </w:rPr>
  </w:style>
  <w:style w:type="paragraph" w:styleId="Heading3">
    <w:name w:val="heading 3"/>
    <w:basedOn w:val="HeadingBase"/>
    <w:next w:val="BodyText"/>
    <w:link w:val="Heading3Char"/>
    <w:qFormat/>
    <w:rsid w:val="00C850C3"/>
    <w:pPr>
      <w:spacing w:before="180" w:after="120"/>
      <w:outlineLvl w:val="2"/>
    </w:pPr>
    <w:rPr>
      <w:spacing w:val="-10"/>
      <w:kern w:val="32"/>
    </w:rPr>
  </w:style>
  <w:style w:type="paragraph" w:styleId="Heading4">
    <w:name w:val="heading 4"/>
    <w:basedOn w:val="HeadingBase"/>
    <w:next w:val="BodyText"/>
    <w:link w:val="Heading4Char"/>
    <w:qFormat/>
    <w:rsid w:val="00C850C3"/>
    <w:pPr>
      <w:spacing w:before="160" w:after="120"/>
      <w:outlineLvl w:val="3"/>
    </w:pPr>
    <w:rPr>
      <w:sz w:val="22"/>
    </w:rPr>
  </w:style>
  <w:style w:type="paragraph" w:styleId="Heading5">
    <w:name w:val="heading 5"/>
    <w:basedOn w:val="HeadingBase"/>
    <w:next w:val="Normal"/>
    <w:link w:val="Heading5Char"/>
    <w:qFormat/>
    <w:rsid w:val="00C850C3"/>
    <w:pPr>
      <w:spacing w:before="80"/>
      <w:outlineLvl w:val="4"/>
    </w:pPr>
    <w:rPr>
      <w:color w:val="918585"/>
      <w:sz w:val="20"/>
    </w:rPr>
  </w:style>
  <w:style w:type="paragraph" w:styleId="Heading6">
    <w:name w:val="heading 6"/>
    <w:basedOn w:val="HeadingBase"/>
    <w:next w:val="Normal"/>
    <w:link w:val="Heading6Char"/>
    <w:qFormat/>
    <w:rsid w:val="00C850C3"/>
    <w:pPr>
      <w:spacing w:before="60"/>
      <w:outlineLvl w:val="5"/>
    </w:pPr>
    <w:rPr>
      <w:color w:val="918585"/>
      <w:sz w:val="20"/>
    </w:rPr>
  </w:style>
  <w:style w:type="paragraph" w:styleId="Heading7">
    <w:name w:val="heading 7"/>
    <w:basedOn w:val="Normal"/>
    <w:next w:val="Normal"/>
    <w:link w:val="Heading7Char"/>
    <w:qFormat/>
    <w:rsid w:val="00C850C3"/>
    <w:pPr>
      <w:ind w:left="720"/>
      <w:outlineLvl w:val="6"/>
    </w:pPr>
    <w:rPr>
      <w:i/>
    </w:rPr>
  </w:style>
  <w:style w:type="paragraph" w:styleId="Heading8">
    <w:name w:val="heading 8"/>
    <w:basedOn w:val="Normal"/>
    <w:next w:val="Normal"/>
    <w:link w:val="Heading8Char"/>
    <w:qFormat/>
    <w:rsid w:val="00C850C3"/>
    <w:pPr>
      <w:ind w:left="720"/>
      <w:outlineLvl w:val="7"/>
    </w:pPr>
    <w:rPr>
      <w:i/>
    </w:rPr>
  </w:style>
  <w:style w:type="paragraph" w:styleId="Heading9">
    <w:name w:val="heading 9"/>
    <w:basedOn w:val="Normal"/>
    <w:next w:val="Normal"/>
    <w:link w:val="Heading9Char"/>
    <w:qFormat/>
    <w:rsid w:val="00C850C3"/>
    <w:pPr>
      <w:ind w:left="720"/>
      <w:outlineLvl w:val="8"/>
    </w:pPr>
    <w:rPr>
      <w:i/>
    </w:rPr>
  </w:style>
  <w:style w:type="character" w:default="1" w:styleId="DefaultParagraphFont">
    <w:name w:val="Default Paragraph Font"/>
    <w:uiPriority w:val="1"/>
    <w:unhideWhenUsed/>
    <w:rsid w:val="00C850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0C3"/>
  </w:style>
  <w:style w:type="character" w:customStyle="1" w:styleId="Heading1Char">
    <w:name w:val="Heading 1 Char"/>
    <w:basedOn w:val="DefaultParagraphFont"/>
    <w:link w:val="Heading1"/>
    <w:rsid w:val="00C850C3"/>
    <w:rPr>
      <w:rFonts w:ascii="Times New Roman" w:eastAsia="Times New Roman" w:hAnsi="Times New Roman" w:cs="Times New Roman"/>
      <w:b/>
      <w:sz w:val="32"/>
      <w:szCs w:val="20"/>
      <w:lang w:eastAsia="en-US"/>
    </w:rPr>
  </w:style>
  <w:style w:type="paragraph" w:styleId="BodyText">
    <w:name w:val="Body Text"/>
    <w:basedOn w:val="Normal"/>
    <w:link w:val="BodyTextChar"/>
    <w:rsid w:val="00C850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50C3"/>
    <w:rPr>
      <w:rFonts w:ascii="Times New Roman" w:eastAsia="Times New Roman" w:hAnsi="Times New Roman" w:cs="Times New Roman"/>
      <w:sz w:val="24"/>
      <w:lang w:eastAsia="en-US"/>
    </w:rPr>
  </w:style>
  <w:style w:type="paragraph" w:styleId="ListBullet">
    <w:name w:val="List Bullet"/>
    <w:basedOn w:val="List"/>
    <w:rsid w:val="00C850C3"/>
    <w:pPr>
      <w:numPr>
        <w:numId w:val="13"/>
      </w:numPr>
      <w:tabs>
        <w:tab w:val="clear" w:pos="340"/>
      </w:tabs>
      <w:spacing w:before="40" w:after="40"/>
    </w:pPr>
  </w:style>
  <w:style w:type="character" w:customStyle="1" w:styleId="SpecialBold">
    <w:name w:val="Special Bold"/>
    <w:basedOn w:val="DefaultParagraphFont"/>
    <w:rsid w:val="00C850C3"/>
    <w:rPr>
      <w:b/>
      <w:spacing w:val="0"/>
    </w:rPr>
  </w:style>
  <w:style w:type="paragraph" w:styleId="ListBullet2">
    <w:name w:val="List Bullet 2"/>
    <w:basedOn w:val="List2"/>
    <w:rsid w:val="00C850C3"/>
    <w:pPr>
      <w:numPr>
        <w:numId w:val="14"/>
      </w:numPr>
      <w:tabs>
        <w:tab w:val="clear" w:pos="680"/>
      </w:tabs>
    </w:pPr>
  </w:style>
  <w:style w:type="paragraph" w:customStyle="1" w:styleId="SuperHeading">
    <w:name w:val="SuperHeading"/>
    <w:basedOn w:val="Normal"/>
    <w:rsid w:val="00C850C3"/>
    <w:pPr>
      <w:spacing w:before="240" w:after="120"/>
      <w:outlineLvl w:val="0"/>
    </w:pPr>
    <w:rPr>
      <w:rFonts w:ascii="Times New Roman" w:hAnsi="Times New Roman"/>
      <w:b/>
      <w:sz w:val="32"/>
    </w:rPr>
  </w:style>
  <w:style w:type="paragraph" w:customStyle="1" w:styleId="AllowPageBreak">
    <w:name w:val="AllowPageBreak"/>
    <w:rsid w:val="00C850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C850C3"/>
    <w:rPr>
      <w:u w:val="single"/>
    </w:rPr>
  </w:style>
  <w:style w:type="character" w:customStyle="1" w:styleId="Heading2Char">
    <w:name w:val="Heading 2 Char"/>
    <w:basedOn w:val="DefaultParagraphFont"/>
    <w:link w:val="Heading2"/>
    <w:rsid w:val="00C850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50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50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50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50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0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50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50C3"/>
    <w:rPr>
      <w:rFonts w:ascii="Courier New" w:eastAsia="Times New Roman" w:hAnsi="Courier New" w:cs="Times New Roman"/>
      <w:i/>
      <w:szCs w:val="20"/>
      <w:lang w:eastAsia="en-US"/>
    </w:rPr>
  </w:style>
  <w:style w:type="paragraph" w:customStyle="1" w:styleId="HeadingBase">
    <w:name w:val="Heading Base"/>
    <w:rsid w:val="00C850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0C3"/>
    <w:pPr>
      <w:tabs>
        <w:tab w:val="right" w:leader="dot" w:pos="9072"/>
      </w:tabs>
      <w:ind w:left="567"/>
    </w:pPr>
    <w:rPr>
      <w:szCs w:val="22"/>
    </w:rPr>
  </w:style>
  <w:style w:type="paragraph" w:customStyle="1" w:styleId="TOCBase">
    <w:name w:val="TOC Base"/>
    <w:rsid w:val="00C850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0C3"/>
    <w:pPr>
      <w:tabs>
        <w:tab w:val="right" w:leader="dot" w:pos="9072"/>
      </w:tabs>
      <w:spacing w:before="40" w:after="40"/>
      <w:ind w:left="284"/>
    </w:pPr>
    <w:rPr>
      <w:rFonts w:ascii="Times New Roman" w:hAnsi="Times New Roman"/>
    </w:rPr>
  </w:style>
  <w:style w:type="paragraph" w:styleId="TOC1">
    <w:name w:val="toc 1"/>
    <w:basedOn w:val="TOCBase"/>
    <w:next w:val="Normal"/>
    <w:rsid w:val="00C850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50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50C3"/>
    <w:rPr>
      <w:rFonts w:ascii="Times New Roman" w:eastAsia="Times New Roman" w:hAnsi="Times New Roman" w:cs="Times New Roman"/>
      <w:sz w:val="16"/>
      <w:lang w:eastAsia="en-US"/>
    </w:rPr>
  </w:style>
  <w:style w:type="paragraph" w:styleId="Title">
    <w:name w:val="Title"/>
    <w:basedOn w:val="HeadingBase"/>
    <w:link w:val="TitleChar"/>
    <w:qFormat/>
    <w:rsid w:val="00C850C3"/>
    <w:pPr>
      <w:spacing w:before="5040"/>
      <w:jc w:val="center"/>
    </w:pPr>
    <w:rPr>
      <w:sz w:val="48"/>
      <w:szCs w:val="72"/>
      <w:lang w:val="en-US"/>
    </w:rPr>
  </w:style>
  <w:style w:type="character" w:customStyle="1" w:styleId="TitleChar">
    <w:name w:val="Title Char"/>
    <w:basedOn w:val="DefaultParagraphFont"/>
    <w:link w:val="Title"/>
    <w:rsid w:val="00C850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0C3"/>
    <w:pPr>
      <w:tabs>
        <w:tab w:val="left" w:pos="3600"/>
        <w:tab w:val="left" w:pos="3958"/>
      </w:tabs>
    </w:pPr>
  </w:style>
  <w:style w:type="paragraph" w:styleId="List">
    <w:name w:val="List"/>
    <w:basedOn w:val="BodyText"/>
    <w:next w:val="BodyText"/>
    <w:rsid w:val="00C850C3"/>
    <w:pPr>
      <w:tabs>
        <w:tab w:val="left" w:pos="340"/>
      </w:tabs>
      <w:spacing w:before="60" w:after="60"/>
      <w:ind w:left="340" w:hanging="340"/>
    </w:pPr>
  </w:style>
  <w:style w:type="paragraph" w:customStyle="1" w:styleId="Note">
    <w:name w:val="Note"/>
    <w:basedOn w:val="BodyText"/>
    <w:rsid w:val="00C850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50C3"/>
    <w:pPr>
      <w:framePr w:wrap="auto" w:hAnchor="text" w:y="6049"/>
    </w:pPr>
    <w:rPr>
      <w:color w:val="000000"/>
      <w:sz w:val="40"/>
    </w:rPr>
  </w:style>
  <w:style w:type="paragraph" w:customStyle="1" w:styleId="TOCTitle">
    <w:name w:val="TOCTitle"/>
    <w:basedOn w:val="Heading1"/>
    <w:rsid w:val="00C850C3"/>
    <w:pPr>
      <w:spacing w:after="240"/>
      <w:jc w:val="center"/>
      <w:outlineLvl w:val="9"/>
    </w:pPr>
    <w:rPr>
      <w:caps/>
    </w:rPr>
  </w:style>
  <w:style w:type="paragraph" w:customStyle="1" w:styleId="Version">
    <w:name w:val="Version"/>
    <w:rsid w:val="00C850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50C3"/>
    <w:pPr>
      <w:keepNext w:val="0"/>
      <w:tabs>
        <w:tab w:val="right" w:pos="4176"/>
      </w:tabs>
      <w:ind w:left="198" w:hanging="198"/>
    </w:pPr>
    <w:rPr>
      <w:rFonts w:ascii="Garamond" w:hAnsi="Garamond"/>
    </w:rPr>
  </w:style>
  <w:style w:type="paragraph" w:styleId="IndexHeading">
    <w:name w:val="index heading"/>
    <w:basedOn w:val="Normal"/>
    <w:next w:val="Index1"/>
    <w:semiHidden/>
    <w:rsid w:val="00C850C3"/>
    <w:pPr>
      <w:spacing w:before="120" w:after="120"/>
    </w:pPr>
    <w:rPr>
      <w:rFonts w:ascii="Arial" w:hAnsi="Arial"/>
      <w:b/>
      <w:color w:val="918585"/>
      <w:sz w:val="24"/>
    </w:rPr>
  </w:style>
  <w:style w:type="paragraph" w:styleId="Header">
    <w:name w:val="header"/>
    <w:basedOn w:val="Normal"/>
    <w:link w:val="HeaderChar"/>
    <w:rsid w:val="00C850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50C3"/>
    <w:rPr>
      <w:rFonts w:ascii="Times New Roman" w:eastAsia="Times New Roman" w:hAnsi="Times New Roman" w:cs="Times New Roman"/>
      <w:sz w:val="16"/>
      <w:szCs w:val="20"/>
      <w:lang w:val="en-GB" w:eastAsia="en-US"/>
    </w:rPr>
  </w:style>
  <w:style w:type="paragraph" w:customStyle="1" w:styleId="Chapter">
    <w:name w:val="Chapter"/>
    <w:basedOn w:val="Normal"/>
    <w:rsid w:val="00C850C3"/>
    <w:pPr>
      <w:spacing w:before="240"/>
    </w:pPr>
    <w:rPr>
      <w:rFonts w:ascii="Times New Roman" w:hAnsi="Times New Roman"/>
      <w:smallCaps/>
      <w:spacing w:val="80"/>
      <w:sz w:val="28"/>
    </w:rPr>
  </w:style>
  <w:style w:type="paragraph" w:customStyle="1" w:styleId="InChapter">
    <w:name w:val="InChapter"/>
    <w:basedOn w:val="Heading3"/>
    <w:rsid w:val="00C850C3"/>
    <w:pPr>
      <w:spacing w:after="240"/>
      <w:outlineLvl w:val="9"/>
    </w:pPr>
    <w:rPr>
      <w:noProof/>
    </w:rPr>
  </w:style>
  <w:style w:type="paragraph" w:styleId="Index2">
    <w:name w:val="index 2"/>
    <w:basedOn w:val="Normal"/>
    <w:next w:val="Normal"/>
    <w:semiHidden/>
    <w:rsid w:val="00C850C3"/>
    <w:pPr>
      <w:tabs>
        <w:tab w:val="right" w:pos="4176"/>
      </w:tabs>
      <w:ind w:left="568" w:hanging="284"/>
    </w:pPr>
    <w:rPr>
      <w:rFonts w:ascii="Garamond" w:hAnsi="Garamond"/>
    </w:rPr>
  </w:style>
  <w:style w:type="paragraph" w:customStyle="1" w:styleId="Byline">
    <w:name w:val="Byline"/>
    <w:rsid w:val="00C850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0C3"/>
    <w:pPr>
      <w:tabs>
        <w:tab w:val="clear" w:pos="3600"/>
        <w:tab w:val="clear" w:pos="3958"/>
      </w:tabs>
      <w:jc w:val="right"/>
    </w:pPr>
  </w:style>
  <w:style w:type="character" w:styleId="Emphasis">
    <w:name w:val="Emphasis"/>
    <w:basedOn w:val="DefaultParagraphFont"/>
    <w:qFormat/>
    <w:rsid w:val="00C850C3"/>
    <w:rPr>
      <w:i/>
    </w:rPr>
  </w:style>
  <w:style w:type="paragraph" w:styleId="Caption">
    <w:name w:val="caption"/>
    <w:basedOn w:val="BodyText"/>
    <w:next w:val="Normal"/>
    <w:qFormat/>
    <w:rsid w:val="00C850C3"/>
    <w:pPr>
      <w:framePr w:w="2268" w:hSpace="181" w:vSpace="181" w:wrap="around" w:vAnchor="text" w:hAnchor="page" w:x="1135" w:y="285" w:anchorLock="1"/>
    </w:pPr>
    <w:rPr>
      <w:i/>
    </w:rPr>
  </w:style>
  <w:style w:type="paragraph" w:customStyle="1" w:styleId="MiniTOCTitle">
    <w:name w:val="MiniTOCTitle"/>
    <w:basedOn w:val="Heading4"/>
    <w:rsid w:val="00C850C3"/>
    <w:pPr>
      <w:spacing w:before="240"/>
      <w:outlineLvl w:val="9"/>
    </w:pPr>
    <w:rPr>
      <w:noProof/>
      <w:sz w:val="24"/>
    </w:rPr>
  </w:style>
  <w:style w:type="paragraph" w:customStyle="1" w:styleId="MiniTOCItem">
    <w:name w:val="MiniTOCItem"/>
    <w:basedOn w:val="ListBullet"/>
    <w:rsid w:val="00C850C3"/>
    <w:pPr>
      <w:numPr>
        <w:numId w:val="0"/>
      </w:numPr>
      <w:tabs>
        <w:tab w:val="right" w:leader="dot" w:pos="6521"/>
      </w:tabs>
      <w:spacing w:before="0" w:after="0"/>
    </w:pPr>
  </w:style>
  <w:style w:type="paragraph" w:customStyle="1" w:styleId="TOFTitle">
    <w:name w:val="TOFTitle"/>
    <w:basedOn w:val="TOCTitle"/>
    <w:rsid w:val="00C850C3"/>
  </w:style>
  <w:style w:type="paragraph" w:styleId="TableofFigures">
    <w:name w:val="table of figures"/>
    <w:basedOn w:val="Normal"/>
    <w:next w:val="Normal"/>
    <w:semiHidden/>
    <w:rsid w:val="00C850C3"/>
    <w:pPr>
      <w:tabs>
        <w:tab w:val="right" w:leader="dot" w:pos="9072"/>
      </w:tabs>
      <w:ind w:left="970" w:hanging="403"/>
    </w:pPr>
    <w:rPr>
      <w:rFonts w:ascii="Times New Roman" w:hAnsi="Times New Roman"/>
      <w:b/>
    </w:rPr>
  </w:style>
  <w:style w:type="paragraph" w:styleId="ListNumber">
    <w:name w:val="List Number"/>
    <w:basedOn w:val="List"/>
    <w:rsid w:val="00C850C3"/>
    <w:pPr>
      <w:numPr>
        <w:numId w:val="11"/>
      </w:numPr>
    </w:pPr>
  </w:style>
  <w:style w:type="character" w:customStyle="1" w:styleId="WingdingSymbols">
    <w:name w:val="Wingding Symbols"/>
    <w:rsid w:val="00C850C3"/>
    <w:rPr>
      <w:rFonts w:ascii="Wingdings" w:hAnsi="Wingdings"/>
    </w:rPr>
  </w:style>
  <w:style w:type="paragraph" w:customStyle="1" w:styleId="TableHeading">
    <w:name w:val="Table Heading"/>
    <w:basedOn w:val="HeadingBase"/>
    <w:rsid w:val="00C850C3"/>
    <w:pPr>
      <w:keepLines/>
      <w:pBdr>
        <w:bottom w:val="single" w:sz="6" w:space="1" w:color="918585"/>
      </w:pBdr>
      <w:spacing w:before="240"/>
    </w:pPr>
  </w:style>
  <w:style w:type="character" w:customStyle="1" w:styleId="HotSpot">
    <w:name w:val="HotSpot"/>
    <w:rsid w:val="00C850C3"/>
    <w:rPr>
      <w:color w:val="0033CC"/>
      <w:u w:val="none"/>
    </w:rPr>
  </w:style>
  <w:style w:type="paragraph" w:customStyle="1" w:styleId="BodyTextRight">
    <w:name w:val="Body Text Right"/>
    <w:basedOn w:val="BodyText"/>
    <w:rsid w:val="00C850C3"/>
    <w:pPr>
      <w:spacing w:before="0" w:after="0"/>
      <w:jc w:val="right"/>
    </w:pPr>
  </w:style>
  <w:style w:type="paragraph" w:styleId="Index3">
    <w:name w:val="index 3"/>
    <w:basedOn w:val="ListNumber2"/>
    <w:next w:val="Normal"/>
    <w:semiHidden/>
    <w:rsid w:val="00C850C3"/>
    <w:pPr>
      <w:numPr>
        <w:numId w:val="0"/>
      </w:numPr>
      <w:tabs>
        <w:tab w:val="right" w:leader="dot" w:pos="4176"/>
      </w:tabs>
    </w:pPr>
  </w:style>
  <w:style w:type="paragraph" w:styleId="ListNumber2">
    <w:name w:val="List Number 2"/>
    <w:basedOn w:val="List2"/>
    <w:rsid w:val="00C850C3"/>
    <w:pPr>
      <w:numPr>
        <w:numId w:val="10"/>
      </w:numPr>
      <w:tabs>
        <w:tab w:val="clear" w:pos="1060"/>
      </w:tabs>
    </w:pPr>
  </w:style>
  <w:style w:type="paragraph" w:customStyle="1" w:styleId="MarginNote">
    <w:name w:val="Margin Note"/>
    <w:basedOn w:val="BodyText"/>
    <w:rsid w:val="00C850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50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50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50C3"/>
    <w:rPr>
      <w:sz w:val="32"/>
    </w:rPr>
  </w:style>
  <w:style w:type="paragraph" w:customStyle="1" w:styleId="HeadingProcedure">
    <w:name w:val="Heading Procedure"/>
    <w:basedOn w:val="HeadingBase"/>
    <w:next w:val="Normal"/>
    <w:rsid w:val="00C850C3"/>
    <w:pPr>
      <w:tabs>
        <w:tab w:val="left" w:pos="0"/>
      </w:tabs>
      <w:spacing w:before="120" w:after="60"/>
    </w:pPr>
    <w:rPr>
      <w:i/>
      <w:color w:val="918585"/>
      <w:sz w:val="22"/>
    </w:rPr>
  </w:style>
  <w:style w:type="paragraph" w:customStyle="1" w:styleId="TableBodyText">
    <w:name w:val="Table Body Text"/>
    <w:basedOn w:val="BodyText"/>
    <w:rsid w:val="00C850C3"/>
    <w:pPr>
      <w:spacing w:before="60" w:after="60"/>
    </w:pPr>
  </w:style>
  <w:style w:type="paragraph" w:styleId="ListContinue">
    <w:name w:val="List Continue"/>
    <w:basedOn w:val="List"/>
    <w:rsid w:val="00C850C3"/>
    <w:pPr>
      <w:ind w:firstLine="0"/>
    </w:pPr>
  </w:style>
  <w:style w:type="paragraph" w:customStyle="1" w:styleId="ListNote">
    <w:name w:val="List Note"/>
    <w:basedOn w:val="List"/>
    <w:rsid w:val="00C850C3"/>
    <w:pPr>
      <w:pBdr>
        <w:top w:val="single" w:sz="6" w:space="2" w:color="918585"/>
        <w:bottom w:val="single" w:sz="6" w:space="2" w:color="918585"/>
      </w:pBdr>
      <w:tabs>
        <w:tab w:val="left" w:pos="1021"/>
      </w:tabs>
      <w:ind w:firstLine="0"/>
    </w:pPr>
  </w:style>
  <w:style w:type="paragraph" w:customStyle="1" w:styleId="Warning">
    <w:name w:val="Warning"/>
    <w:basedOn w:val="BodyText"/>
    <w:rsid w:val="00C850C3"/>
    <w:pPr>
      <w:shd w:val="clear" w:color="auto" w:fill="D9D9D9"/>
      <w:tabs>
        <w:tab w:val="left" w:pos="992"/>
      </w:tabs>
      <w:ind w:left="119" w:right="119"/>
    </w:pPr>
    <w:rPr>
      <w:sz w:val="20"/>
    </w:rPr>
  </w:style>
  <w:style w:type="paragraph" w:customStyle="1" w:styleId="MarginIcons">
    <w:name w:val="Margin Icons"/>
    <w:basedOn w:val="BodyText"/>
    <w:rsid w:val="00C850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50C3"/>
    <w:rPr>
      <w:rFonts w:ascii="Courier New" w:hAnsi="Courier New"/>
    </w:rPr>
  </w:style>
  <w:style w:type="paragraph" w:customStyle="1" w:styleId="NoteBullet">
    <w:name w:val="Note Bullet"/>
    <w:basedOn w:val="Note"/>
    <w:rsid w:val="00C850C3"/>
    <w:pPr>
      <w:tabs>
        <w:tab w:val="clear" w:pos="680"/>
      </w:tabs>
      <w:spacing w:before="60" w:after="60"/>
    </w:pPr>
  </w:style>
  <w:style w:type="paragraph" w:customStyle="1" w:styleId="SubHeading2">
    <w:name w:val="SubHeading2"/>
    <w:basedOn w:val="HeadingBase"/>
    <w:rsid w:val="00C850C3"/>
    <w:pPr>
      <w:spacing w:before="240" w:after="60"/>
    </w:pPr>
    <w:rPr>
      <w:sz w:val="20"/>
    </w:rPr>
  </w:style>
  <w:style w:type="paragraph" w:customStyle="1" w:styleId="SubHeading1">
    <w:name w:val="SubHeading1"/>
    <w:basedOn w:val="HeadingBase"/>
    <w:rsid w:val="00C850C3"/>
    <w:pPr>
      <w:spacing w:before="240" w:after="60"/>
    </w:pPr>
    <w:rPr>
      <w:color w:val="918585"/>
      <w:sz w:val="22"/>
    </w:rPr>
  </w:style>
  <w:style w:type="paragraph" w:customStyle="1" w:styleId="SideHeading">
    <w:name w:val="Side Heading"/>
    <w:basedOn w:val="HeadingBase"/>
    <w:rsid w:val="00C850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0C3"/>
    <w:pPr>
      <w:numPr>
        <w:numId w:val="12"/>
      </w:numPr>
    </w:pPr>
  </w:style>
  <w:style w:type="paragraph" w:styleId="PlainText">
    <w:name w:val="Plain Text"/>
    <w:basedOn w:val="Normal"/>
    <w:link w:val="PlainTextChar"/>
    <w:rsid w:val="00C850C3"/>
    <w:rPr>
      <w:sz w:val="20"/>
    </w:rPr>
  </w:style>
  <w:style w:type="character" w:customStyle="1" w:styleId="PlainTextChar">
    <w:name w:val="Plain Text Char"/>
    <w:basedOn w:val="DefaultParagraphFont"/>
    <w:link w:val="PlainText"/>
    <w:rsid w:val="00C850C3"/>
    <w:rPr>
      <w:rFonts w:ascii="Courier New" w:eastAsia="Times New Roman" w:hAnsi="Courier New" w:cs="Times New Roman"/>
      <w:sz w:val="20"/>
      <w:szCs w:val="20"/>
      <w:lang w:eastAsia="en-US"/>
    </w:rPr>
  </w:style>
  <w:style w:type="character" w:customStyle="1" w:styleId="MenuOption">
    <w:name w:val="Menu Option"/>
    <w:basedOn w:val="DefaultParagraphFont"/>
    <w:rsid w:val="00C850C3"/>
    <w:rPr>
      <w:b/>
      <w:smallCaps/>
    </w:rPr>
  </w:style>
  <w:style w:type="paragraph" w:customStyle="1" w:styleId="TableListNumber">
    <w:name w:val="Table List Number"/>
    <w:basedOn w:val="ListNumber"/>
    <w:rsid w:val="00C850C3"/>
    <w:pPr>
      <w:numPr>
        <w:numId w:val="0"/>
      </w:numPr>
    </w:pPr>
  </w:style>
  <w:style w:type="paragraph" w:styleId="TOC4">
    <w:name w:val="toc 4"/>
    <w:basedOn w:val="TOCBase"/>
    <w:next w:val="Normal"/>
    <w:semiHidden/>
    <w:rsid w:val="00C850C3"/>
    <w:pPr>
      <w:tabs>
        <w:tab w:val="right" w:leader="dot" w:pos="9071"/>
      </w:tabs>
      <w:ind w:left="1701"/>
    </w:pPr>
  </w:style>
  <w:style w:type="paragraph" w:customStyle="1" w:styleId="ListAlpha">
    <w:name w:val="List Alpha"/>
    <w:basedOn w:val="List"/>
    <w:rsid w:val="00C850C3"/>
    <w:pPr>
      <w:numPr>
        <w:numId w:val="9"/>
      </w:numPr>
    </w:pPr>
  </w:style>
  <w:style w:type="paragraph" w:customStyle="1" w:styleId="ListAlpha2">
    <w:name w:val="List Alpha 2"/>
    <w:basedOn w:val="List2"/>
    <w:rsid w:val="00C850C3"/>
    <w:pPr>
      <w:numPr>
        <w:numId w:val="8"/>
      </w:numPr>
    </w:pPr>
  </w:style>
  <w:style w:type="paragraph" w:styleId="List2">
    <w:name w:val="List 2"/>
    <w:basedOn w:val="BodyText"/>
    <w:rsid w:val="00C850C3"/>
    <w:pPr>
      <w:tabs>
        <w:tab w:val="left" w:pos="680"/>
      </w:tabs>
      <w:spacing w:before="60" w:after="60"/>
      <w:ind w:left="680" w:hanging="340"/>
    </w:pPr>
  </w:style>
  <w:style w:type="paragraph" w:styleId="List3">
    <w:name w:val="List 3"/>
    <w:basedOn w:val="BodyText"/>
    <w:rsid w:val="00C850C3"/>
    <w:pPr>
      <w:tabs>
        <w:tab w:val="left" w:pos="1021"/>
      </w:tabs>
      <w:spacing w:before="60" w:after="60"/>
      <w:ind w:left="1020" w:hanging="340"/>
    </w:pPr>
  </w:style>
  <w:style w:type="paragraph" w:styleId="List4">
    <w:name w:val="List 4"/>
    <w:basedOn w:val="BodyText"/>
    <w:rsid w:val="00C850C3"/>
    <w:pPr>
      <w:tabs>
        <w:tab w:val="left" w:pos="1361"/>
      </w:tabs>
      <w:spacing w:before="60" w:after="60"/>
      <w:ind w:left="1361" w:hanging="340"/>
    </w:pPr>
  </w:style>
  <w:style w:type="paragraph" w:styleId="List5">
    <w:name w:val="List 5"/>
    <w:basedOn w:val="BodyText"/>
    <w:rsid w:val="00C850C3"/>
    <w:pPr>
      <w:tabs>
        <w:tab w:val="left" w:pos="1701"/>
      </w:tabs>
      <w:spacing w:before="60" w:after="60"/>
      <w:ind w:left="1701" w:hanging="340"/>
    </w:pPr>
  </w:style>
  <w:style w:type="paragraph" w:styleId="ListBullet3">
    <w:name w:val="List Bullet 3"/>
    <w:basedOn w:val="List3"/>
    <w:rsid w:val="00C850C3"/>
    <w:pPr>
      <w:numPr>
        <w:numId w:val="15"/>
      </w:numPr>
      <w:tabs>
        <w:tab w:val="clear" w:pos="1021"/>
      </w:tabs>
      <w:ind w:left="1037" w:hanging="357"/>
    </w:pPr>
  </w:style>
  <w:style w:type="paragraph" w:styleId="ListBullet4">
    <w:name w:val="List Bullet 4"/>
    <w:basedOn w:val="List4"/>
    <w:rsid w:val="00C850C3"/>
    <w:pPr>
      <w:numPr>
        <w:numId w:val="3"/>
      </w:numPr>
    </w:pPr>
  </w:style>
  <w:style w:type="paragraph" w:styleId="ListBullet5">
    <w:name w:val="List Bullet 5"/>
    <w:basedOn w:val="List5"/>
    <w:rsid w:val="00C850C3"/>
    <w:pPr>
      <w:numPr>
        <w:numId w:val="4"/>
      </w:numPr>
    </w:pPr>
  </w:style>
  <w:style w:type="paragraph" w:styleId="ListContinue2">
    <w:name w:val="List Continue 2"/>
    <w:basedOn w:val="List2"/>
    <w:rsid w:val="00C850C3"/>
    <w:pPr>
      <w:ind w:firstLine="0"/>
    </w:pPr>
  </w:style>
  <w:style w:type="paragraph" w:styleId="ListContinue3">
    <w:name w:val="List Continue 3"/>
    <w:basedOn w:val="List3"/>
    <w:rsid w:val="00C850C3"/>
    <w:pPr>
      <w:ind w:left="1021" w:firstLine="0"/>
    </w:pPr>
  </w:style>
  <w:style w:type="paragraph" w:styleId="ListContinue4">
    <w:name w:val="List Continue 4"/>
    <w:basedOn w:val="List4"/>
    <w:rsid w:val="00C850C3"/>
    <w:pPr>
      <w:ind w:firstLine="0"/>
    </w:pPr>
  </w:style>
  <w:style w:type="paragraph" w:styleId="ListContinue5">
    <w:name w:val="List Continue 5"/>
    <w:basedOn w:val="List5"/>
    <w:rsid w:val="00C850C3"/>
    <w:pPr>
      <w:ind w:firstLine="0"/>
    </w:pPr>
  </w:style>
  <w:style w:type="paragraph" w:styleId="ListNumber3">
    <w:name w:val="List Number 3"/>
    <w:basedOn w:val="List3"/>
    <w:rsid w:val="00C850C3"/>
    <w:pPr>
      <w:numPr>
        <w:numId w:val="5"/>
      </w:numPr>
    </w:pPr>
  </w:style>
  <w:style w:type="paragraph" w:styleId="ListNumber4">
    <w:name w:val="List Number 4"/>
    <w:basedOn w:val="List4"/>
    <w:rsid w:val="00C850C3"/>
    <w:pPr>
      <w:numPr>
        <w:numId w:val="6"/>
      </w:numPr>
    </w:pPr>
  </w:style>
  <w:style w:type="paragraph" w:styleId="ListNumber5">
    <w:name w:val="List Number 5"/>
    <w:basedOn w:val="List5"/>
    <w:rsid w:val="00C850C3"/>
    <w:pPr>
      <w:numPr>
        <w:numId w:val="7"/>
      </w:numPr>
    </w:pPr>
  </w:style>
  <w:style w:type="paragraph" w:styleId="BlockText">
    <w:name w:val="Block Text"/>
    <w:basedOn w:val="Normal"/>
    <w:rsid w:val="00C850C3"/>
    <w:pPr>
      <w:spacing w:after="120"/>
      <w:ind w:left="1440" w:right="1440"/>
    </w:pPr>
  </w:style>
  <w:style w:type="character" w:customStyle="1" w:styleId="Subscript">
    <w:name w:val="Subscript"/>
    <w:basedOn w:val="DefaultParagraphFont"/>
    <w:rsid w:val="00C850C3"/>
    <w:rPr>
      <w:sz w:val="16"/>
      <w:vertAlign w:val="subscript"/>
    </w:rPr>
  </w:style>
  <w:style w:type="character" w:customStyle="1" w:styleId="Superscript">
    <w:name w:val="Superscript"/>
    <w:basedOn w:val="DefaultParagraphFont"/>
    <w:rsid w:val="00C850C3"/>
    <w:rPr>
      <w:sz w:val="16"/>
      <w:vertAlign w:val="superscript"/>
    </w:rPr>
  </w:style>
  <w:style w:type="character" w:customStyle="1" w:styleId="Symbols">
    <w:name w:val="Symbols"/>
    <w:basedOn w:val="DefaultParagraphFont"/>
    <w:rsid w:val="00C850C3"/>
    <w:rPr>
      <w:rFonts w:ascii="Symbol" w:hAnsi="Symbol"/>
    </w:rPr>
  </w:style>
  <w:style w:type="character" w:customStyle="1" w:styleId="MenuOptions">
    <w:name w:val="Menu Options"/>
    <w:basedOn w:val="DefaultParagraphFont"/>
    <w:rsid w:val="00C850C3"/>
    <w:rPr>
      <w:rFonts w:ascii="Arial Narrow" w:hAnsi="Arial Narrow"/>
      <w:smallCaps/>
    </w:rPr>
  </w:style>
  <w:style w:type="character" w:customStyle="1" w:styleId="Buttons">
    <w:name w:val="Buttons"/>
    <w:basedOn w:val="DefaultParagraphFont"/>
    <w:rsid w:val="00C850C3"/>
    <w:rPr>
      <w:b/>
    </w:rPr>
  </w:style>
  <w:style w:type="character" w:customStyle="1" w:styleId="Underlined">
    <w:name w:val="Underlined"/>
    <w:basedOn w:val="DefaultParagraphFont"/>
    <w:rsid w:val="00C850C3"/>
    <w:rPr>
      <w:u w:val="single"/>
    </w:rPr>
  </w:style>
  <w:style w:type="paragraph" w:customStyle="1" w:styleId="TableBodyTextRight">
    <w:name w:val="Table Body Text Right"/>
    <w:basedOn w:val="TableBodyText"/>
    <w:rsid w:val="00C850C3"/>
    <w:pPr>
      <w:widowControl w:val="0"/>
      <w:autoSpaceDE w:val="0"/>
      <w:autoSpaceDN w:val="0"/>
      <w:adjustRightInd w:val="0"/>
      <w:jc w:val="right"/>
    </w:pPr>
    <w:rPr>
      <w:rFonts w:cs="Arial"/>
      <w:szCs w:val="18"/>
    </w:rPr>
  </w:style>
  <w:style w:type="paragraph" w:customStyle="1" w:styleId="CopyrightText">
    <w:name w:val="Copyright Text"/>
    <w:basedOn w:val="BodyText"/>
    <w:rsid w:val="00C850C3"/>
    <w:rPr>
      <w:sz w:val="18"/>
    </w:rPr>
  </w:style>
  <w:style w:type="paragraph" w:customStyle="1" w:styleId="BodySmallRight">
    <w:name w:val="Body Small Right"/>
    <w:basedOn w:val="BodyTextRight"/>
    <w:rsid w:val="00C850C3"/>
    <w:rPr>
      <w:sz w:val="18"/>
      <w:szCs w:val="18"/>
    </w:rPr>
  </w:style>
  <w:style w:type="paragraph" w:customStyle="1" w:styleId="MarginEdition">
    <w:name w:val="Margin Edition"/>
    <w:basedOn w:val="MarginNote"/>
    <w:rsid w:val="00C850C3"/>
    <w:pPr>
      <w:spacing w:before="0" w:after="0"/>
    </w:pPr>
    <w:rPr>
      <w:rFonts w:ascii="Times New Roman" w:hAnsi="Times New Roman"/>
      <w:color w:val="999999"/>
    </w:rPr>
  </w:style>
  <w:style w:type="paragraph" w:customStyle="1" w:styleId="Spacer">
    <w:name w:val="Spacer"/>
    <w:basedOn w:val="Normal"/>
    <w:rsid w:val="00C850C3"/>
    <w:rPr>
      <w:sz w:val="2"/>
      <w:szCs w:val="2"/>
    </w:rPr>
  </w:style>
  <w:style w:type="character" w:customStyle="1" w:styleId="Small">
    <w:name w:val="Small"/>
    <w:basedOn w:val="DefaultParagraphFont"/>
    <w:rsid w:val="00C850C3"/>
    <w:rPr>
      <w:sz w:val="16"/>
    </w:rPr>
  </w:style>
  <w:style w:type="paragraph" w:customStyle="1" w:styleId="WideTable">
    <w:name w:val="Wide Table"/>
    <w:basedOn w:val="Normal"/>
    <w:rsid w:val="00C850C3"/>
    <w:pPr>
      <w:ind w:left="-1418"/>
    </w:pPr>
    <w:rPr>
      <w:sz w:val="2"/>
      <w:szCs w:val="2"/>
    </w:rPr>
  </w:style>
  <w:style w:type="character" w:styleId="PageNumber">
    <w:name w:val="page number"/>
    <w:basedOn w:val="DefaultParagraphFont"/>
    <w:rsid w:val="00C850C3"/>
  </w:style>
  <w:style w:type="paragraph" w:styleId="Quote">
    <w:name w:val="Quote"/>
    <w:basedOn w:val="Heading1"/>
    <w:link w:val="QuoteChar"/>
    <w:qFormat/>
    <w:rsid w:val="00C850C3"/>
    <w:rPr>
      <w:b w:val="0"/>
      <w:sz w:val="72"/>
      <w:szCs w:val="72"/>
      <w:lang w:val="en-NZ"/>
    </w:rPr>
  </w:style>
  <w:style w:type="character" w:customStyle="1" w:styleId="QuoteChar">
    <w:name w:val="Quote Char"/>
    <w:basedOn w:val="DefaultParagraphFont"/>
    <w:link w:val="Quote"/>
    <w:rsid w:val="00C850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0C3"/>
    <w:pPr>
      <w:pageBreakBefore/>
    </w:pPr>
  </w:style>
  <w:style w:type="paragraph" w:customStyle="1" w:styleId="Border">
    <w:name w:val="Border"/>
    <w:basedOn w:val="Normal"/>
    <w:qFormat/>
    <w:rsid w:val="00C850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50C3"/>
    <w:rPr>
      <w:b/>
      <w:bCs/>
      <w:i/>
      <w:iCs/>
      <w:color w:val="auto"/>
    </w:rPr>
  </w:style>
  <w:style w:type="paragraph" w:styleId="IntenseQuote">
    <w:name w:val="Intense Quote"/>
    <w:basedOn w:val="Normal"/>
    <w:next w:val="Normal"/>
    <w:link w:val="IntenseQuoteChar"/>
    <w:uiPriority w:val="30"/>
    <w:qFormat/>
    <w:rsid w:val="00C850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50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50C3"/>
    <w:rPr>
      <w:smallCaps/>
      <w:color w:val="auto"/>
      <w:u w:val="single"/>
    </w:rPr>
  </w:style>
  <w:style w:type="character" w:styleId="IntenseReference">
    <w:name w:val="Intense Reference"/>
    <w:basedOn w:val="DefaultParagraphFont"/>
    <w:uiPriority w:val="32"/>
    <w:qFormat/>
    <w:rsid w:val="00C850C3"/>
    <w:rPr>
      <w:b/>
      <w:bCs/>
      <w:smallCaps/>
      <w:color w:val="auto"/>
      <w:spacing w:val="5"/>
      <w:u w:val="single"/>
    </w:rPr>
  </w:style>
  <w:style w:type="paragraph" w:customStyle="1" w:styleId="2ColumnHeading">
    <w:name w:val="2Column Heading"/>
    <w:basedOn w:val="BodyText"/>
    <w:qFormat/>
    <w:rsid w:val="00C850C3"/>
    <w:pPr>
      <w:spacing w:after="60"/>
      <w:ind w:left="-2268"/>
    </w:pPr>
    <w:rPr>
      <w:b/>
    </w:rPr>
  </w:style>
  <w:style w:type="paragraph" w:customStyle="1" w:styleId="Heading1TOC">
    <w:name w:val="Heading1 TOC"/>
    <w:basedOn w:val="Normal"/>
    <w:qFormat/>
    <w:rsid w:val="00C850C3"/>
    <w:pPr>
      <w:spacing w:before="240" w:after="120"/>
    </w:pPr>
    <w:rPr>
      <w:rFonts w:ascii="Times New Roman" w:hAnsi="Times New Roman"/>
      <w:b/>
      <w:sz w:val="32"/>
    </w:rPr>
  </w:style>
  <w:style w:type="paragraph" w:customStyle="1" w:styleId="Heading2TOC">
    <w:name w:val="Heading2 TOC"/>
    <w:basedOn w:val="Normal"/>
    <w:qFormat/>
    <w:rsid w:val="00C850C3"/>
    <w:pPr>
      <w:spacing w:before="240" w:after="60"/>
    </w:pPr>
    <w:rPr>
      <w:rFonts w:ascii="Times New Roman" w:hAnsi="Times New Roman"/>
      <w:b/>
      <w:sz w:val="28"/>
    </w:rPr>
  </w:style>
  <w:style w:type="character" w:customStyle="1" w:styleId="BoldandItalics">
    <w:name w:val="Bold and Italics"/>
    <w:qFormat/>
    <w:rsid w:val="00C850C3"/>
    <w:rPr>
      <w:b/>
      <w:i/>
      <w:u w:val="none"/>
    </w:rPr>
  </w:style>
  <w:style w:type="paragraph" w:styleId="BalloonText">
    <w:name w:val="Balloon Text"/>
    <w:basedOn w:val="Normal"/>
    <w:link w:val="BalloonTextChar"/>
    <w:rsid w:val="00C850C3"/>
    <w:rPr>
      <w:rFonts w:ascii="Tahoma" w:hAnsi="Tahoma" w:cs="Tahoma"/>
      <w:sz w:val="16"/>
      <w:szCs w:val="16"/>
    </w:rPr>
  </w:style>
  <w:style w:type="character" w:customStyle="1" w:styleId="BalloonTextChar">
    <w:name w:val="Balloon Text Char"/>
    <w:basedOn w:val="DefaultParagraphFont"/>
    <w:link w:val="BalloonText"/>
    <w:rsid w:val="00C850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50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50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50C3"/>
    <w:rPr>
      <w:b/>
      <w:color w:val="660033"/>
      <w:spacing w:val="0"/>
    </w:rPr>
  </w:style>
  <w:style w:type="paragraph" w:customStyle="1" w:styleId="Nameditemlist">
    <w:name w:val="Named item list"/>
    <w:basedOn w:val="BodyText"/>
    <w:qFormat/>
    <w:rsid w:val="00C850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2448</Words>
  <Characters>15155</Characters>
  <Application>Microsoft Office Word</Application>
  <DocSecurity>0</DocSecurity>
  <Lines>568</Lines>
  <Paragraphs>278</Paragraphs>
  <ScaleCrop>false</ScaleCrop>
  <Company>Author-it Software Corporation Ltd.</Company>
  <LinksUpToDate>false</LinksUpToDate>
  <CharactersWithSpaces>17430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UEENEEJ129A Establish heat loads for commercial refrigeration and/or air conditioning applications</dc:title>
  <dc:subject>Approved</dc:subject>
  <dc:creator>E-OZ Training Standards</dc:creator>
  <cp:keywords>Release: 3</cp:keywords>
  <dc:description>Review Date: 12 April 2008</dc:description>
  <cp:lastModifiedBy>TPCMS</cp:lastModifiedBy>
  <cp:revision>3</cp:revision>
  <dcterms:created xsi:type="dcterms:W3CDTF">2013-08-14T06:40:00Z</dcterms:created>
  <dcterms:modified xsi:type="dcterms:W3CDTF">2013-08-14T06:40:00Z</dcterms:modified>
</cp:coreProperties>
</file>