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5E09" w:rsidP="00225E09">
      <w:pPr>
        <w:pStyle w:val="Title"/>
      </w:pPr>
      <w:r>
        <w:fldChar w:fldCharType="begin"/>
      </w:r>
      <w:r>
        <w:instrText xml:space="preserve"> TITLE   \* MERGEFORMAT </w:instrText>
      </w:r>
      <w:r>
        <w:fldChar w:fldCharType="separate"/>
      </w:r>
      <w:r>
        <w:t>UEENEEJ127A Establish the thermodynamic parameters of refrigeration and air conditioning systems</w:t>
      </w:r>
      <w:r>
        <w:fldChar w:fldCharType="end"/>
      </w:r>
    </w:p>
    <w:p w:rsidR="00225E09" w:rsidP="00225E09">
      <w:pPr>
        <w:pStyle w:val="Version"/>
        <w:sectPr w:rsidSect="00B173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17342" w:rsidP="00B17342">
      <w:pPr>
        <w:pStyle w:val="SuperHeading"/>
      </w:pPr>
      <w:r w:rsidRPr="00B17342">
        <w:t>UEENEEJ127A Establish the thermodynamic parameters of refrigeration and air conditioning systems</w:t>
      </w:r>
    </w:p>
    <w:p w:rsidR="00000000" w:rsidRPr="00B17342" w:rsidP="00B17342">
      <w:pPr>
        <w:pStyle w:val="Heading1"/>
      </w:pPr>
      <w:bookmarkStart w:id="1" w:name="O_589752"/>
      <w:bookmarkEnd w:id="1"/>
      <w:r w:rsidRPr="00B17342">
        <w:t>Modification History</w:t>
      </w:r>
    </w:p>
    <w:p w:rsidR="00000000" w:rsidRPr="00B17342" w:rsidP="00B17342">
      <w:pPr>
        <w:pStyle w:val="BodyText"/>
      </w:pPr>
      <w:r w:rsidRPr="00B17342">
        <w:t>Not Applicable</w:t>
      </w:r>
    </w:p>
    <w:p w:rsidR="00000000" w:rsidRPr="00B17342" w:rsidP="00B17342">
      <w:pPr>
        <w:pStyle w:val="AllowPageBreak"/>
      </w:pPr>
    </w:p>
    <w:p w:rsidR="00000000" w:rsidRPr="00B17342" w:rsidP="00B17342">
      <w:pPr>
        <w:pStyle w:val="Heading1"/>
      </w:pPr>
      <w:bookmarkStart w:id="2" w:name="O_589751"/>
      <w:bookmarkEnd w:id="2"/>
      <w:r w:rsidRPr="00B17342">
        <w:t>Unit Descriptor</w:t>
      </w:r>
    </w:p>
    <w:tbl>
      <w:tblPr>
        <w:tblW w:w="0" w:type="auto"/>
        <w:tblLayout w:type="fixed"/>
        <w:tblCellMar>
          <w:left w:w="62" w:type="dxa"/>
          <w:right w:w="62" w:type="dxa"/>
        </w:tblCellMar>
        <w:tblLook w:val="0000"/>
      </w:tblPr>
      <w:tblGrid>
        <w:gridCol w:w="2701"/>
        <w:gridCol w:w="5759"/>
      </w:tblGrid>
      <w:tr w:rsidTr="00225E09">
        <w:tblPrEx>
          <w:tblW w:w="0" w:type="auto"/>
          <w:tblLayout w:type="fixed"/>
          <w:tblCellMar>
            <w:left w:w="62" w:type="dxa"/>
            <w:right w:w="62" w:type="dxa"/>
          </w:tblCellMar>
          <w:tblLook w:val="0000"/>
        </w:tblPrEx>
        <w:trPr>
          <w:tblHeader/>
        </w:trPr>
        <w:tc>
          <w:tcPr>
            <w:tcW w:w="2701"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rPr>
                <w:rStyle w:val="SpecialBold"/>
              </w:rPr>
              <w:t>Unit Descriptor</w:t>
            </w:r>
          </w:p>
        </w:tc>
        <w:tc>
          <w:tcPr>
            <w:tcW w:w="5759"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rPr>
                <w:rStyle w:val="SpecialBold"/>
              </w:rPr>
              <w:t>1</w:t>
            </w:r>
            <w:r w:rsidRPr="00B17342">
              <w:t xml:space="preserve">) </w:t>
            </w:r>
          </w:p>
          <w:p w:rsidR="00000000" w:rsidP="00B17342">
            <w:pPr>
              <w:pStyle w:val="BodyText"/>
              <w:rPr>
                <w:lang w:val="en-NZ"/>
              </w:rPr>
            </w:pPr>
            <w:r w:rsidRPr="00B17342">
              <w:rPr>
                <w:rStyle w:val="SpecialBold"/>
              </w:rPr>
              <w:t>1</w:t>
            </w:r>
            <w:r w:rsidRPr="00B17342">
              <w:t>.</w:t>
            </w:r>
            <w:r w:rsidRPr="00B17342">
              <w:rPr>
                <w:rStyle w:val="SpecialBold"/>
              </w:rPr>
              <w:t>1</w:t>
            </w:r>
            <w:r w:rsidRPr="00B17342">
              <w:t xml:space="preserve">) </w:t>
            </w:r>
            <w:r w:rsidRPr="00B17342">
              <w:rPr>
                <w:rStyle w:val="SpecialBold"/>
              </w:rPr>
              <w:t>Descriptor</w:t>
            </w:r>
          </w:p>
        </w:tc>
      </w:tr>
      <w:tr w:rsidTr="00225E09">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59"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t>This unit covers the determination of the thermodynamic parameters of refrigeration and air conditioning systems. It encompasses working safely, determining thermodynamic parameters of using measurement and basic calculation methods and documenting results</w:t>
            </w:r>
            <w:r w:rsidRPr="00B17342">
              <w:t>.</w:t>
            </w:r>
          </w:p>
        </w:tc>
      </w:tr>
    </w:tbl>
    <w:p w:rsidR="00225E09" w:rsidP="00B17342">
      <w:pPr>
        <w:pStyle w:val="BodyText"/>
      </w:pPr>
    </w:p>
    <w:p w:rsidR="00225E09" w:rsidP="00B17342">
      <w:pPr>
        <w:pStyle w:val="BodyText"/>
      </w:pPr>
    </w:p>
    <w:p w:rsidR="00000000" w:rsidRPr="00B17342" w:rsidP="00B17342">
      <w:pPr>
        <w:pStyle w:val="Heading1"/>
      </w:pPr>
      <w:bookmarkStart w:id="3" w:name="O_589750"/>
      <w:bookmarkEnd w:id="3"/>
      <w:r w:rsidRPr="00B17342">
        <w:t>Application of the Unit</w:t>
      </w:r>
    </w:p>
    <w:tbl>
      <w:tblPr>
        <w:tblW w:w="0" w:type="auto"/>
        <w:tblLayout w:type="fixed"/>
        <w:tblCellMar>
          <w:left w:w="62" w:type="dxa"/>
          <w:right w:w="62" w:type="dxa"/>
        </w:tblCellMar>
        <w:tblLook w:val="0000"/>
      </w:tblPr>
      <w:tblGrid>
        <w:gridCol w:w="2701"/>
        <w:gridCol w:w="5759"/>
      </w:tblGrid>
      <w:tr w:rsidTr="00225E09">
        <w:tblPrEx>
          <w:tblW w:w="0" w:type="auto"/>
          <w:tblLayout w:type="fixed"/>
          <w:tblCellMar>
            <w:left w:w="62" w:type="dxa"/>
            <w:right w:w="62" w:type="dxa"/>
          </w:tblCellMar>
          <w:tblLook w:val="0000"/>
        </w:tblPrEx>
        <w:trPr>
          <w:tblHeader/>
        </w:trPr>
        <w:tc>
          <w:tcPr>
            <w:tcW w:w="2701"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rPr>
                <w:rStyle w:val="SpecialBold"/>
              </w:rPr>
              <w:t>Application of the Unit</w:t>
            </w:r>
          </w:p>
        </w:tc>
        <w:tc>
          <w:tcPr>
            <w:tcW w:w="5759"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rPr>
                <w:rStyle w:val="SpecialBold"/>
              </w:rPr>
              <w:t>4</w:t>
            </w:r>
            <w:r w:rsidRPr="00B17342">
              <w:t>)</w:t>
            </w:r>
          </w:p>
        </w:tc>
      </w:tr>
      <w:tr w:rsidTr="00225E09">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59"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t xml:space="preserve">This unit is intended as an additional competency to relevant competencies previously acquired. It is suitable for employment-based programs </w:t>
            </w:r>
            <w:r w:rsidRPr="00B17342">
              <w:t>under an approved contract of training or institutional based delivery at the aligned AQF 4 level.</w:t>
            </w:r>
          </w:p>
        </w:tc>
      </w:tr>
    </w:tbl>
    <w:p w:rsidR="00225E09" w:rsidP="00B17342">
      <w:pPr>
        <w:pStyle w:val="BodyText"/>
      </w:pPr>
    </w:p>
    <w:p w:rsidR="00225E09" w:rsidP="00B17342">
      <w:pPr>
        <w:pStyle w:val="BodyText"/>
      </w:pPr>
    </w:p>
    <w:p w:rsidR="00000000" w:rsidRPr="00B17342" w:rsidP="00B17342">
      <w:pPr>
        <w:pStyle w:val="Heading1"/>
      </w:pPr>
      <w:bookmarkStart w:id="4" w:name="O_589749"/>
      <w:bookmarkEnd w:id="4"/>
      <w:r w:rsidRPr="00B17342">
        <w:t>Licensing/Regulatory Information</w:t>
      </w:r>
    </w:p>
    <w:tbl>
      <w:tblPr>
        <w:tblW w:w="0" w:type="auto"/>
        <w:tblLayout w:type="fixed"/>
        <w:tblCellMar>
          <w:left w:w="62" w:type="dxa"/>
          <w:right w:w="62" w:type="dxa"/>
        </w:tblCellMar>
        <w:tblLook w:val="0000"/>
      </w:tblPr>
      <w:tblGrid>
        <w:gridCol w:w="8460"/>
      </w:tblGrid>
      <w:tr w:rsidTr="00225E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rPr>
                <w:rStyle w:val="SpecialBold"/>
              </w:rPr>
              <w:t>1</w:t>
            </w:r>
            <w:r w:rsidRPr="00B17342">
              <w:t>.</w:t>
            </w:r>
            <w:r w:rsidRPr="00B17342">
              <w:rPr>
                <w:rStyle w:val="SpecialBold"/>
              </w:rPr>
              <w:t>2</w:t>
            </w:r>
            <w:r w:rsidRPr="00B17342">
              <w:t xml:space="preserve">) </w:t>
            </w:r>
            <w:r w:rsidRPr="00B17342">
              <w:rPr>
                <w:rStyle w:val="SpecialBold"/>
              </w:rPr>
              <w:t>License to practice</w:t>
            </w:r>
          </w:p>
        </w:tc>
      </w:tr>
      <w:tr w:rsidTr="00225E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t>The skills and knowledge described in this unit require a license to practice in the workplace where plant and equipment operate at voltage above 50 V a.c. or 120 V d.c. In some States/Territories a licence is required to practise this unit in the workplac</w:t>
            </w:r>
            <w:r w:rsidRPr="00B17342">
              <w:t>e subject to regulations for undertaking refrigeration and air conditioning work and in particular working with refrigerants. Practice in workplace and during training is also subject to regulations directly related to occupational health and safety and wh</w:t>
            </w:r>
            <w:r w:rsidRPr="00B17342">
              <w:t>ere applicable contracts of training such as apprenticeships.</w:t>
            </w:r>
          </w:p>
          <w:p w:rsidR="00000000" w:rsidRPr="00B17342" w:rsidP="00B17342">
            <w:pPr>
              <w:pStyle w:val="BodyText"/>
            </w:pPr>
            <w:r w:rsidRPr="00B17342">
              <w:t xml:space="preserve">Note: </w:t>
            </w:r>
            <w:r w:rsidRPr="00B17342">
              <w:br/>
              <w:t>1. Compliance with permits may be required in various jurisdictions and typically relates to the operation of plant, machinery and equipment such as elevating work platforms, powder opera</w:t>
            </w:r>
            <w:r w:rsidRPr="00B17342">
              <w:t>ted fixing tools, power operated tools, vehicles, road signage and traffic control, lifting equipment. Permits may also be required for some work environments such as confined spaces, working aloft, near live electrical apparatus and site rehabilitation.</w:t>
            </w:r>
            <w:r w:rsidRPr="00B17342">
              <w:br/>
              <w:t>2</w:t>
            </w:r>
            <w:r w:rsidRPr="00B17342">
              <w:t>. Compliance may be required in various jurisdictions relating to currency in First Aid, confined space, lifting and risk safety measures.</w:t>
            </w:r>
          </w:p>
        </w:tc>
      </w:tr>
    </w:tbl>
    <w:p w:rsidR="00225E09" w:rsidP="00B17342">
      <w:pPr>
        <w:pStyle w:val="BodyText"/>
      </w:pPr>
    </w:p>
    <w:p w:rsidR="00225E09" w:rsidP="00B17342">
      <w:pPr>
        <w:pStyle w:val="BodyText"/>
      </w:pPr>
    </w:p>
    <w:p w:rsidR="00000000" w:rsidRPr="00B17342" w:rsidP="00B17342">
      <w:pPr>
        <w:pStyle w:val="Heading1"/>
      </w:pPr>
      <w:bookmarkStart w:id="5" w:name="O_589748"/>
      <w:bookmarkEnd w:id="5"/>
      <w:r w:rsidRPr="00B17342">
        <w:t>Pre-Requisites</w:t>
      </w:r>
    </w:p>
    <w:tbl>
      <w:tblPr>
        <w:tblW w:w="0" w:type="auto"/>
        <w:tblLayout w:type="fixed"/>
        <w:tblCellMar>
          <w:left w:w="62" w:type="dxa"/>
          <w:right w:w="62" w:type="dxa"/>
        </w:tblCellMar>
        <w:tblLook w:val="0000"/>
      </w:tblPr>
      <w:tblGrid>
        <w:gridCol w:w="2701"/>
        <w:gridCol w:w="5759"/>
      </w:tblGrid>
      <w:tr w:rsidTr="00225E09">
        <w:tblPrEx>
          <w:tblW w:w="0" w:type="auto"/>
          <w:tblLayout w:type="fixed"/>
          <w:tblCellMar>
            <w:left w:w="62" w:type="dxa"/>
            <w:right w:w="62" w:type="dxa"/>
          </w:tblCellMar>
          <w:tblLook w:val="0000"/>
        </w:tblPrEx>
        <w:trPr>
          <w:tblHeader/>
        </w:trPr>
        <w:tc>
          <w:tcPr>
            <w:tcW w:w="2701"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rPr>
                <w:rStyle w:val="SpecialBold"/>
              </w:rPr>
              <w:t>Prerequisite Unit</w:t>
            </w:r>
            <w:r w:rsidRPr="00B17342">
              <w:t>(</w:t>
            </w:r>
            <w:r w:rsidRPr="00B17342">
              <w:rPr>
                <w:rStyle w:val="SpecialBold"/>
              </w:rPr>
              <w:t>s</w:t>
            </w:r>
            <w:r w:rsidRPr="00B17342">
              <w:t>)</w:t>
            </w:r>
          </w:p>
        </w:tc>
        <w:tc>
          <w:tcPr>
            <w:tcW w:w="5759"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rPr>
                <w:rStyle w:val="SpecialBold"/>
              </w:rPr>
              <w:t>2</w:t>
            </w:r>
            <w:r w:rsidRPr="00B17342">
              <w:t xml:space="preserve">) </w:t>
            </w:r>
          </w:p>
        </w:tc>
      </w:tr>
      <w:tr w:rsidTr="00225E09">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rsidRPr="00B17342">
            <w:pPr>
              <w:pStyle w:val="BodyText"/>
              <w:keepNext w:val="0"/>
              <w:keepLines w:val="0"/>
              <w:contextualSpacing w:val="0"/>
            </w:pPr>
          </w:p>
        </w:tc>
        <w:tc>
          <w:tcPr>
            <w:tcW w:w="5759"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rPr>
                <w:rStyle w:val="SpecialBold"/>
              </w:rPr>
              <w:t>2</w:t>
            </w:r>
            <w:r w:rsidRPr="00B17342">
              <w:t>.</w:t>
            </w:r>
            <w:r w:rsidRPr="00B17342">
              <w:rPr>
                <w:rStyle w:val="SpecialBold"/>
              </w:rPr>
              <w:t>1</w:t>
            </w:r>
            <w:r w:rsidRPr="00B17342">
              <w:t xml:space="preserve">) </w:t>
            </w:r>
            <w:r w:rsidRPr="00B17342">
              <w:rPr>
                <w:rStyle w:val="SpecialBold"/>
              </w:rPr>
              <w:t>Competencies</w:t>
            </w:r>
          </w:p>
        </w:tc>
      </w:tr>
      <w:tr w:rsidTr="00225E09">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59"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t>Granting competency in this unit shall be made only after competency in the following unit(s) has/have been confirmed.</w:t>
            </w:r>
          </w:p>
          <w:p w:rsidR="00000000" w:rsidRPr="00B17342" w:rsidP="00B17342">
            <w:pPr>
              <w:pStyle w:val="BodyText"/>
            </w:pPr>
            <w:r w:rsidRPr="00B17342">
              <w:t>UEENEEJ192A  Analyse the psychrometric performance of HVAC/R systems</w:t>
            </w:r>
          </w:p>
          <w:p w:rsidR="00000000" w:rsidRPr="00B17342" w:rsidP="00B17342">
            <w:pPr>
              <w:pStyle w:val="BodyText"/>
            </w:pPr>
            <w:r w:rsidRPr="00B17342">
              <w:t>UEENEEJ193A Analyse the thermodynamic performance of HVAC/R systems</w:t>
            </w:r>
          </w:p>
          <w:p w:rsidR="00000000" w:rsidRPr="00B17342" w:rsidP="00B17342">
            <w:pPr>
              <w:pStyle w:val="BodyText"/>
            </w:pPr>
            <w:r w:rsidRPr="00B17342">
              <w:t>OR</w:t>
            </w:r>
          </w:p>
          <w:p w:rsidR="00000000" w:rsidRPr="00B17342" w:rsidP="00B17342">
            <w:pPr>
              <w:pStyle w:val="BodyText"/>
            </w:pPr>
            <w:r w:rsidRPr="00B17342">
              <w:t>UEENEEJ109A Verify functionality and compliance of refrigeration and air conditioning installations</w:t>
            </w:r>
          </w:p>
          <w:p w:rsidR="00000000" w:rsidRPr="00B17342" w:rsidP="00B17342">
            <w:pPr>
              <w:pStyle w:val="BodyText"/>
            </w:pPr>
            <w:r w:rsidRPr="00B17342">
              <w:t>UEENEEE101A Apply Occupational Health and Safety regulations, codes and practices in the workplace</w:t>
            </w:r>
          </w:p>
          <w:p w:rsidR="00000000" w:rsidRPr="00B17342" w:rsidP="00B17342">
            <w:pPr>
              <w:pStyle w:val="BodyText"/>
            </w:pPr>
            <w:r w:rsidRPr="00B17342">
              <w:t>UEENEEE102A Fabricate, assemble and dismantle utilitie</w:t>
            </w:r>
            <w:r w:rsidRPr="00B17342">
              <w:t>s industry components</w:t>
            </w:r>
          </w:p>
          <w:p w:rsidR="00000000" w:rsidRPr="00B17342" w:rsidP="00B17342">
            <w:pPr>
              <w:pStyle w:val="BodyText"/>
            </w:pPr>
            <w:r w:rsidRPr="00B17342">
              <w:t>UEENEEE003B Solve problems in extra-low voltage single path circuits</w:t>
            </w:r>
          </w:p>
          <w:p w:rsidR="00000000" w:rsidRPr="00B17342" w:rsidP="00B17342">
            <w:pPr>
              <w:pStyle w:val="BodyText"/>
            </w:pPr>
            <w:r w:rsidRPr="00B17342">
              <w:t>UEENEEE105A Fix and secure electrotechnology equipment</w:t>
            </w:r>
          </w:p>
          <w:p w:rsidR="00000000" w:rsidRPr="00B17342" w:rsidP="00B17342">
            <w:pPr>
              <w:pStyle w:val="BodyText"/>
            </w:pPr>
            <w:r w:rsidRPr="00B17342">
              <w:t>UEENEEE107A Use drawings, diagrams, schedules, standards, codes and specifications</w:t>
            </w:r>
          </w:p>
          <w:p w:rsidR="00000000" w:rsidRPr="00B17342" w:rsidP="00B17342">
            <w:pPr>
              <w:pStyle w:val="BodyText"/>
            </w:pPr>
            <w:r w:rsidRPr="00B17342">
              <w:t>UEENEEE137A Document and ap</w:t>
            </w:r>
            <w:r w:rsidRPr="00B17342">
              <w:t>ply measures to control OHS risks associated with electrotechnology work</w:t>
            </w:r>
          </w:p>
          <w:p w:rsidR="00000000" w:rsidRPr="00B17342" w:rsidP="00B17342">
            <w:pPr>
              <w:pStyle w:val="BodyText"/>
            </w:pPr>
            <w:r w:rsidRPr="00B17342">
              <w:t>UEENEEJ102A Prepare and connect refrigerant tubing and fittings</w:t>
            </w:r>
          </w:p>
          <w:p w:rsidR="00000000" w:rsidRPr="00B17342" w:rsidP="00B17342">
            <w:pPr>
              <w:pStyle w:val="BodyText"/>
            </w:pPr>
            <w:r w:rsidRPr="00B17342">
              <w:t>UEENEEJ103A Establish the basic operating conditions of vapour compression systems</w:t>
            </w:r>
          </w:p>
          <w:p w:rsidR="00000000" w:rsidRPr="00B17342" w:rsidP="00B17342">
            <w:pPr>
              <w:pStyle w:val="BodyText"/>
            </w:pPr>
            <w:r w:rsidRPr="00B17342">
              <w:t>UEENEEJ104A Establish the basic operating conditions of air conditioning systems</w:t>
            </w:r>
          </w:p>
          <w:p w:rsidR="00000000" w:rsidRPr="00B17342" w:rsidP="00B17342">
            <w:pPr>
              <w:pStyle w:val="BodyText"/>
            </w:pPr>
            <w:r w:rsidRPr="00B17342">
              <w:t>UEENEEJ106A Install refrigerant pipe work, flow controls and accessories</w:t>
            </w:r>
          </w:p>
          <w:p w:rsidR="00000000" w:rsidRPr="00B17342" w:rsidP="00B17342">
            <w:pPr>
              <w:pStyle w:val="BodyText"/>
            </w:pPr>
            <w:r w:rsidRPr="00B17342">
              <w:t>UEENEEJ107A Install air conditioning and refrigeration systems, major components and associated equipm</w:t>
            </w:r>
            <w:r w:rsidRPr="00B17342">
              <w:t>ent</w:t>
            </w:r>
          </w:p>
          <w:p w:rsidR="00000000" w:rsidRPr="00B17342" w:rsidP="00B17342">
            <w:pPr>
              <w:pStyle w:val="BodyText"/>
            </w:pPr>
            <w:r w:rsidRPr="00B17342">
              <w:t>UEENEEJ108A Recover, pressure test, evacuate, charge and leak test refrigerants</w:t>
            </w:r>
          </w:p>
          <w:p w:rsidR="00000000" w:rsidRPr="00B17342" w:rsidP="00B17342">
            <w:pPr>
              <w:pStyle w:val="BodyText"/>
            </w:pPr>
            <w:r w:rsidRPr="00B17342">
              <w:t>UEENEEJ110A Select refrigerant piping, accessories and associated controls</w:t>
            </w:r>
          </w:p>
          <w:p w:rsidR="00000000" w:rsidRPr="00B17342" w:rsidP="00B17342">
            <w:pPr>
              <w:pStyle w:val="BodyText"/>
            </w:pPr>
            <w:r w:rsidRPr="00B17342">
              <w:t>UEENEEJ111A Diagnose and rectify faults in air conditioning and refrigeration systems and compone</w:t>
            </w:r>
            <w:r w:rsidRPr="00B17342">
              <w:t>nts</w:t>
            </w:r>
          </w:p>
          <w:p w:rsidR="00000000" w:rsidRPr="00B17342" w:rsidP="00B17342">
            <w:pPr>
              <w:pStyle w:val="BodyText"/>
            </w:pPr>
            <w:r w:rsidRPr="00B17342">
              <w:t>UEENEEJ113A Commission air conditioning and refrigeration systems</w:t>
            </w:r>
          </w:p>
          <w:p w:rsidR="00000000" w:rsidRPr="00B17342" w:rsidP="00B17342">
            <w:pPr>
              <w:pStyle w:val="BodyText"/>
            </w:pPr>
            <w:r w:rsidRPr="00B17342">
              <w:t>UEENEEJ153A Find and rectify faults motors and associated controls in refrigeration and air conditioning systems</w:t>
            </w:r>
          </w:p>
          <w:p w:rsidR="00000000" w:rsidRPr="00B17342" w:rsidP="00B17342">
            <w:pPr>
              <w:pStyle w:val="BodyText"/>
            </w:pPr>
            <w:r w:rsidRPr="00B17342">
              <w:t>UEENEEJ170A Diagnose and rectify faults in air conditioning and refrigera</w:t>
            </w:r>
            <w:r w:rsidRPr="00B17342">
              <w:t>tion control systems</w:t>
            </w:r>
          </w:p>
          <w:p w:rsidR="00000000" w:rsidRPr="00B17342" w:rsidP="00B17342">
            <w:pPr>
              <w:pStyle w:val="BodyText"/>
            </w:pPr>
            <w:r w:rsidRPr="00B17342">
              <w:t>UEENEEJ194A Solve problems in low voltage refrigeration circuits</w:t>
            </w:r>
          </w:p>
          <w:p w:rsidR="00000000" w:rsidRPr="00B17342" w:rsidP="00B17342">
            <w:pPr>
              <w:pStyle w:val="BodyText"/>
            </w:pPr>
            <w:r w:rsidRPr="00B17342">
              <w:t>UEENEEP012A Disconnect / reconnect composite appliances connected to low voltage installation wiring</w:t>
            </w:r>
          </w:p>
          <w:p w:rsidR="00000000" w:rsidRPr="00B17342" w:rsidP="00B17342">
            <w:pPr>
              <w:pStyle w:val="BodyText"/>
            </w:pPr>
            <w:r w:rsidRPr="00B17342">
              <w:t>UEENEEP017A Locate and rectify faults in low voltage composite applia</w:t>
            </w:r>
            <w:r w:rsidRPr="00B17342">
              <w:t>nces using set procedures</w:t>
            </w:r>
          </w:p>
          <w:p w:rsidR="00000000" w:rsidRPr="00B17342" w:rsidP="00B17342">
            <w:pPr>
              <w:pStyle w:val="BodyText"/>
            </w:pPr>
            <w:r w:rsidRPr="00B17342">
              <w:t>UEENEEP024A Attach cords and plugs to electrical equipment for connection to a single phase 230 Volt supply</w:t>
            </w:r>
          </w:p>
          <w:p w:rsidR="00000000" w:rsidRPr="00B17342" w:rsidP="00B17342">
            <w:pPr>
              <w:pStyle w:val="BodyText"/>
            </w:pPr>
            <w:r w:rsidRPr="00B17342">
              <w:t>UEENEEP025A Attach cords, cables and plugs to electrical equipment for connection to 1000 Va.c. or 1500 Vd.c. supply</w:t>
            </w:r>
          </w:p>
        </w:tc>
      </w:tr>
    </w:tbl>
    <w:p w:rsidR="00225E09" w:rsidP="00B17342">
      <w:pPr>
        <w:pStyle w:val="BodyText"/>
      </w:pPr>
    </w:p>
    <w:p w:rsidR="00225E09" w:rsidP="00B17342">
      <w:pPr>
        <w:pStyle w:val="BodyText"/>
      </w:pPr>
    </w:p>
    <w:p w:rsidR="00000000" w:rsidRPr="00B17342" w:rsidP="00B17342">
      <w:pPr>
        <w:pStyle w:val="Heading1"/>
      </w:pPr>
      <w:bookmarkStart w:id="6" w:name="O_589747"/>
      <w:bookmarkEnd w:id="6"/>
      <w:r w:rsidRPr="00B17342">
        <w:t>Employability Skills Information</w:t>
      </w:r>
    </w:p>
    <w:tbl>
      <w:tblPr>
        <w:tblW w:w="0" w:type="auto"/>
        <w:tblLayout w:type="fixed"/>
        <w:tblCellMar>
          <w:left w:w="62" w:type="dxa"/>
          <w:right w:w="62" w:type="dxa"/>
        </w:tblCellMar>
        <w:tblLook w:val="0000"/>
      </w:tblPr>
      <w:tblGrid>
        <w:gridCol w:w="2701"/>
        <w:gridCol w:w="5759"/>
      </w:tblGrid>
      <w:tr w:rsidTr="00225E09">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rPr>
                <w:rStyle w:val="SpecialBold"/>
              </w:rPr>
              <w:t>Employability Skills</w:t>
            </w:r>
          </w:p>
        </w:tc>
        <w:tc>
          <w:tcPr>
            <w:tcW w:w="5759"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rPr>
                <w:rStyle w:val="SpecialBold"/>
              </w:rPr>
              <w:t>3</w:t>
            </w:r>
            <w:r w:rsidRPr="00B17342">
              <w:t>)</w:t>
            </w:r>
          </w:p>
          <w:p w:rsidR="00000000" w:rsidRPr="00B17342" w:rsidP="00B17342">
            <w:pPr>
              <w:pStyle w:val="BodyText"/>
            </w:pPr>
            <w:r w:rsidRPr="00B17342">
              <w:t>This unit contains Employability Skills</w:t>
            </w:r>
          </w:p>
          <w:p w:rsidR="00000000" w:rsidRPr="00B17342" w:rsidP="00B17342">
            <w:pPr>
              <w:pStyle w:val="BodyText"/>
            </w:pPr>
            <w:r w:rsidRPr="00B17342">
              <w:t>The required outcomes described in this unit of competency contain applicable facets of Employability Sk</w:t>
            </w:r>
            <w:r w:rsidRPr="00B17342">
              <w:t>ills. The Employability Skills Summary of the qualification in which this unit of competency is packaged will assist in identifying Employability Skill requirements.</w:t>
            </w:r>
          </w:p>
        </w:tc>
      </w:tr>
    </w:tbl>
    <w:p w:rsidR="00225E09" w:rsidP="00B17342">
      <w:pPr>
        <w:pStyle w:val="BodyText"/>
      </w:pPr>
    </w:p>
    <w:p w:rsidR="00225E09" w:rsidP="00B17342">
      <w:pPr>
        <w:pStyle w:val="BodyText"/>
      </w:pPr>
    </w:p>
    <w:p w:rsidR="00000000" w:rsidRPr="00B17342" w:rsidP="00B17342">
      <w:pPr>
        <w:pStyle w:val="Heading1"/>
      </w:pPr>
      <w:bookmarkStart w:id="7" w:name="O_589746"/>
      <w:bookmarkEnd w:id="7"/>
      <w:r w:rsidRPr="00B17342">
        <w:t>Elements and Performance Criteria Pre-Content</w:t>
      </w:r>
    </w:p>
    <w:tbl>
      <w:tblPr>
        <w:tblW w:w="0" w:type="auto"/>
        <w:tblLayout w:type="fixed"/>
        <w:tblCellMar>
          <w:left w:w="62" w:type="dxa"/>
          <w:right w:w="62" w:type="dxa"/>
        </w:tblCellMar>
        <w:tblLook w:val="0000"/>
      </w:tblPr>
      <w:tblGrid>
        <w:gridCol w:w="2318"/>
        <w:gridCol w:w="6142"/>
      </w:tblGrid>
      <w:tr w:rsidTr="00225E09">
        <w:tblPrEx>
          <w:tblW w:w="0" w:type="auto"/>
          <w:tblLayout w:type="fixed"/>
          <w:tblCellMar>
            <w:left w:w="62" w:type="dxa"/>
            <w:right w:w="62" w:type="dxa"/>
          </w:tblCellMar>
          <w:tblLook w:val="0000"/>
        </w:tblPrEx>
        <w:tc>
          <w:tcPr>
            <w:tcW w:w="2318"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rPr>
                <w:rStyle w:val="SpecialBold"/>
              </w:rPr>
              <w:t>6</w:t>
            </w:r>
            <w:r w:rsidRPr="00B17342">
              <w:t>) Elements describe the</w:t>
            </w:r>
            <w:r w:rsidRPr="00B17342">
              <w:t xml:space="preserve"> essential outcomes of a unit</w:t>
            </w:r>
          </w:p>
        </w:tc>
        <w:tc>
          <w:tcPr>
            <w:tcW w:w="6142"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t>Performance criteria describe the required performance needed to demonstrate achievement of the element. Assessment of performance is to be consistent with the evidence guide.</w:t>
            </w:r>
          </w:p>
        </w:tc>
      </w:tr>
    </w:tbl>
    <w:p w:rsidR="00000000" w:rsidRPr="00B17342" w:rsidP="00B17342">
      <w:pPr>
        <w:pStyle w:val="BodyText"/>
      </w:pPr>
    </w:p>
    <w:p w:rsidR="00000000" w:rsidRPr="00B17342" w:rsidP="00B17342">
      <w:pPr>
        <w:pStyle w:val="AllowPageBreak"/>
      </w:pPr>
    </w:p>
    <w:p w:rsidR="00000000" w:rsidRPr="00B17342" w:rsidP="00B17342">
      <w:pPr>
        <w:pStyle w:val="Heading1"/>
      </w:pPr>
      <w:bookmarkStart w:id="8" w:name="O_589745"/>
      <w:bookmarkEnd w:id="8"/>
      <w:r w:rsidRPr="00B17342">
        <w:t>Elements and Performance Criter</w:t>
      </w:r>
      <w:r w:rsidRPr="00B17342">
        <w:t>ia</w:t>
      </w:r>
    </w:p>
    <w:tbl>
      <w:tblPr>
        <w:tblW w:w="0" w:type="auto"/>
        <w:tblLayout w:type="fixed"/>
        <w:tblCellMar>
          <w:left w:w="62" w:type="dxa"/>
          <w:right w:w="62" w:type="dxa"/>
        </w:tblCellMar>
        <w:tblLook w:val="0000"/>
      </w:tblPr>
      <w:tblGrid>
        <w:gridCol w:w="526"/>
        <w:gridCol w:w="1792"/>
        <w:gridCol w:w="874"/>
        <w:gridCol w:w="5268"/>
      </w:tblGrid>
      <w:tr w:rsidTr="00225E09">
        <w:tblPrEx>
          <w:tblW w:w="0" w:type="auto"/>
          <w:tblLayout w:type="fixed"/>
          <w:tblCellMar>
            <w:left w:w="62" w:type="dxa"/>
            <w:right w:w="62" w:type="dxa"/>
          </w:tblCellMar>
          <w:tblLook w:val="0000"/>
        </w:tblPrEx>
        <w:trPr>
          <w:tblHeader/>
        </w:trPr>
        <w:tc>
          <w:tcPr>
            <w:tcW w:w="2318" w:type="dxa"/>
            <w:gridSpan w:val="2"/>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rPr>
                <w:rStyle w:val="SpecialBold"/>
              </w:rPr>
              <w:t>ELEMENT</w:t>
            </w:r>
          </w:p>
        </w:tc>
        <w:tc>
          <w:tcPr>
            <w:tcW w:w="6142" w:type="dxa"/>
            <w:gridSpan w:val="2"/>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rPr>
                <w:rStyle w:val="SpecialBold"/>
              </w:rPr>
              <w:t>PERFORMANCE CRITERIA</w:t>
            </w:r>
          </w:p>
        </w:tc>
      </w:tr>
      <w:tr w:rsidTr="00225E09">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1</w:t>
            </w:r>
          </w:p>
        </w:tc>
        <w:tc>
          <w:tcPr>
            <w:tcW w:w="1792" w:type="dxa"/>
            <w:vMerge w:val="restart"/>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Prepare to determine thermodynamic parameters of refrigeration and air conditioning systems</w:t>
            </w:r>
          </w:p>
        </w:tc>
        <w:tc>
          <w:tcPr>
            <w:tcW w:w="8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1.1</w:t>
            </w:r>
          </w:p>
        </w:tc>
        <w:tc>
          <w:tcPr>
            <w:tcW w:w="5268"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 xml:space="preserve">OHS procedures for a given work area are identified, identified, obtained and understood </w:t>
            </w:r>
          </w:p>
        </w:tc>
      </w:tr>
      <w:tr w:rsidTr="00225E09">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1.2</w:t>
            </w:r>
          </w:p>
        </w:tc>
        <w:tc>
          <w:tcPr>
            <w:tcW w:w="5268"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Established OHS risk control measures and procedures are followed in preparation for the work.</w:t>
            </w:r>
          </w:p>
        </w:tc>
      </w:tr>
      <w:tr w:rsidTr="00225E09">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1.3</w:t>
            </w:r>
          </w:p>
        </w:tc>
        <w:tc>
          <w:tcPr>
            <w:tcW w:w="5268"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The expected operating conditions are obtained from documentation or from work supervisor to establish the scope of work to be undertaken.</w:t>
            </w:r>
          </w:p>
        </w:tc>
      </w:tr>
      <w:tr w:rsidTr="00225E09">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1.4</w:t>
            </w:r>
          </w:p>
        </w:tc>
        <w:tc>
          <w:tcPr>
            <w:tcW w:w="5268"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 xml:space="preserve">Advice is sought from the work supervisor to ensure the work is coordinated effectively with others. </w:t>
            </w:r>
          </w:p>
        </w:tc>
      </w:tr>
      <w:tr w:rsidTr="00225E09">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1.5</w:t>
            </w:r>
          </w:p>
        </w:tc>
        <w:tc>
          <w:tcPr>
            <w:tcW w:w="5268"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Tools, equipment and testing devices needed to determine the basic operating conditions are obtained and checked for correct operation and safety</w:t>
            </w:r>
          </w:p>
        </w:tc>
      </w:tr>
      <w:tr w:rsidTr="00225E09">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1.6</w:t>
            </w:r>
          </w:p>
        </w:tc>
        <w:tc>
          <w:tcPr>
            <w:tcW w:w="5268"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The expected operating conditions are obtained from documentation or from work supervisor to establish the scope of work to be undertaken.</w:t>
            </w:r>
          </w:p>
        </w:tc>
      </w:tr>
      <w:tr w:rsidTr="00225E09">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2</w:t>
            </w:r>
          </w:p>
        </w:tc>
        <w:tc>
          <w:tcPr>
            <w:tcW w:w="1792" w:type="dxa"/>
            <w:vMerge w:val="restart"/>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Determine thermodynamic parameters of refrigeration and air conditioning systems</w:t>
            </w:r>
          </w:p>
        </w:tc>
        <w:tc>
          <w:tcPr>
            <w:tcW w:w="8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2.1</w:t>
            </w:r>
          </w:p>
        </w:tc>
        <w:tc>
          <w:tcPr>
            <w:tcW w:w="5268"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Established OHS risk co</w:t>
            </w:r>
            <w:r w:rsidRPr="00B17342">
              <w:t>ntrol measures and procedures for carrying out the work are followed.</w:t>
            </w:r>
          </w:p>
        </w:tc>
      </w:tr>
      <w:tr w:rsidTr="00225E09">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2.2</w:t>
            </w:r>
          </w:p>
        </w:tc>
        <w:tc>
          <w:tcPr>
            <w:tcW w:w="5268"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Measurement of thermodynamic system operating parameters is conducted in strict accordance with OHS requirements and established safety procedures</w:t>
            </w:r>
          </w:p>
        </w:tc>
      </w:tr>
      <w:tr w:rsidTr="00225E09">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2.3</w:t>
            </w:r>
          </w:p>
        </w:tc>
        <w:tc>
          <w:tcPr>
            <w:tcW w:w="5268"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System is checked and isolated where necessary, in strict accordance OHS requirements and procedures</w:t>
            </w:r>
          </w:p>
        </w:tc>
      </w:tr>
      <w:tr w:rsidTr="00225E09">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2.4</w:t>
            </w:r>
          </w:p>
        </w:tc>
        <w:tc>
          <w:tcPr>
            <w:tcW w:w="5268"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Established procedures are used to determine actual and specified range of thermodynamic parameters from measured and calculated values as they appl</w:t>
            </w:r>
            <w:r w:rsidRPr="00B17342">
              <w:t xml:space="preserve">y to particular refrigeration or air conditioning systems. </w:t>
            </w:r>
          </w:p>
        </w:tc>
      </w:tr>
      <w:tr w:rsidTr="00225E09">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2.5</w:t>
            </w:r>
          </w:p>
        </w:tc>
        <w:tc>
          <w:tcPr>
            <w:tcW w:w="5268"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Established methods for dealing with unexpected situations are discussed with appropriate person or persons and documented.</w:t>
            </w:r>
          </w:p>
        </w:tc>
      </w:tr>
      <w:tr w:rsidTr="00225E09">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2.6</w:t>
            </w:r>
          </w:p>
        </w:tc>
        <w:tc>
          <w:tcPr>
            <w:tcW w:w="5268"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Unexpected situations are dealt with safely and with the approval of an authorised person.</w:t>
            </w:r>
          </w:p>
        </w:tc>
      </w:tr>
      <w:tr w:rsidTr="00225E09">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2.7</w:t>
            </w:r>
          </w:p>
        </w:tc>
        <w:tc>
          <w:tcPr>
            <w:tcW w:w="5268"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Thermodynamic parameters are determined without damage to apparatus, circuits, the surrounding environment or services and using sustainable energy practices.</w:t>
            </w:r>
          </w:p>
        </w:tc>
      </w:tr>
      <w:tr w:rsidTr="00225E09">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3</w:t>
            </w:r>
          </w:p>
        </w:tc>
        <w:tc>
          <w:tcPr>
            <w:tcW w:w="1792" w:type="dxa"/>
            <w:vMerge w:val="restart"/>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 xml:space="preserve">Document determined thermodynamic parameters </w:t>
            </w:r>
          </w:p>
        </w:tc>
        <w:tc>
          <w:tcPr>
            <w:tcW w:w="8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3.1</w:t>
            </w:r>
          </w:p>
        </w:tc>
        <w:tc>
          <w:tcPr>
            <w:tcW w:w="5268"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OHS work completion risk control measures and procedures are followed.</w:t>
            </w:r>
          </w:p>
        </w:tc>
      </w:tr>
      <w:tr w:rsidTr="00225E09">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3.2</w:t>
            </w:r>
          </w:p>
        </w:tc>
        <w:tc>
          <w:tcPr>
            <w:tcW w:w="5268"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 xml:space="preserve">Work site and equipment is cleaned and made safe in accordance with established procedures. </w:t>
            </w:r>
          </w:p>
        </w:tc>
      </w:tr>
      <w:tr w:rsidTr="00225E09">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3.3</w:t>
            </w:r>
          </w:p>
        </w:tc>
        <w:tc>
          <w:tcPr>
            <w:tcW w:w="5268"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Thermodynamic parameters are documented including identification of any parameter that is not within the specified range for the system.</w:t>
            </w:r>
          </w:p>
        </w:tc>
      </w:tr>
      <w:tr w:rsidTr="00225E09">
        <w:tblPrEx>
          <w:tblW w:w="0" w:type="auto"/>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9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3.4</w:t>
            </w:r>
          </w:p>
        </w:tc>
        <w:tc>
          <w:tcPr>
            <w:tcW w:w="5268"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t>Work supervisor is notified of the completion of the work in accordance with established procedures.</w:t>
            </w:r>
          </w:p>
        </w:tc>
      </w:tr>
    </w:tbl>
    <w:p w:rsidR="00225E09" w:rsidP="00B17342">
      <w:pPr>
        <w:pStyle w:val="BodyText"/>
      </w:pPr>
    </w:p>
    <w:p w:rsidR="00225E09" w:rsidP="00B17342">
      <w:pPr>
        <w:pStyle w:val="BodyText"/>
      </w:pPr>
    </w:p>
    <w:p w:rsidR="00000000" w:rsidRPr="00B17342" w:rsidP="00B17342">
      <w:pPr>
        <w:pStyle w:val="Heading1"/>
      </w:pPr>
      <w:bookmarkStart w:id="9" w:name="O_589744"/>
      <w:bookmarkEnd w:id="9"/>
      <w:r w:rsidRPr="00B17342">
        <w:t>Required Skills and Knowledge</w:t>
      </w:r>
    </w:p>
    <w:tbl>
      <w:tblPr>
        <w:tblW w:w="0" w:type="auto"/>
        <w:tblLayout w:type="fixed"/>
        <w:tblCellMar>
          <w:left w:w="62" w:type="dxa"/>
          <w:right w:w="62" w:type="dxa"/>
        </w:tblCellMar>
        <w:tblLook w:val="0000"/>
      </w:tblPr>
      <w:tblGrid>
        <w:gridCol w:w="8460"/>
      </w:tblGrid>
      <w:tr w:rsidTr="00225E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rPr>
                <w:rStyle w:val="SpecialBold"/>
              </w:rPr>
              <w:t>REQUIRED SKILLS AND KNOWLEDGE</w:t>
            </w:r>
          </w:p>
        </w:tc>
      </w:tr>
      <w:tr w:rsidTr="00225E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rPr>
                <w:rStyle w:val="SpecialBold"/>
              </w:rPr>
              <w:t>7)</w:t>
            </w:r>
            <w:r w:rsidRPr="00B17342">
              <w:t xml:space="preserve"> This describes the essential skills and knowledge and their level, required for this unit.</w:t>
            </w:r>
          </w:p>
        </w:tc>
      </w:tr>
      <w:tr w:rsidTr="00225E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t xml:space="preserve">Evidence shall show that knowledge has been acquired of safe working practices and determining thermodynamic parameters of refrigeration and air conditioning systems. </w:t>
            </w:r>
          </w:p>
          <w:p w:rsidR="00000000" w:rsidRPr="00B17342" w:rsidP="00B17342">
            <w:pPr>
              <w:pStyle w:val="BodyText"/>
            </w:pPr>
            <w:r w:rsidRPr="00B17342">
              <w:t>All knowledge and skills detailed in this unit should be contextualised to current indus</w:t>
            </w:r>
            <w:r w:rsidRPr="00B17342">
              <w:t>try practices and technologies.</w:t>
            </w:r>
          </w:p>
          <w:p w:rsidR="00000000" w:rsidRPr="00B17342" w:rsidP="00B17342">
            <w:pPr>
              <w:pStyle w:val="BodyText"/>
            </w:pPr>
            <w:r w:rsidRPr="00B17342">
              <w:rPr>
                <w:rStyle w:val="SpecialBold"/>
              </w:rPr>
              <w:t>KS01-EJ127A</w:t>
            </w:r>
            <w:r w:rsidRPr="00B17342">
              <w:rPr>
                <w:rStyle w:val="SpecialBold"/>
              </w:rPr>
              <w:tab/>
              <w:t xml:space="preserve">               Thermodynamic parameters of refrigeration and air conditioning systems</w:t>
            </w:r>
          </w:p>
          <w:p w:rsidR="00000000" w:rsidRPr="00B17342" w:rsidP="00B17342">
            <w:pPr>
              <w:pStyle w:val="BodyText"/>
            </w:pPr>
            <w:r w:rsidRPr="00B17342">
              <w:t xml:space="preserve">Evidence shall show an understanding of engineering mathematics fundamentals and refrigeration science to an extent indicated </w:t>
            </w:r>
            <w:r w:rsidRPr="00B17342">
              <w:t>by the following aspects:</w:t>
            </w:r>
          </w:p>
          <w:p w:rsidR="00000000" w:rsidRPr="00B17342" w:rsidP="00B17342">
            <w:pPr>
              <w:pStyle w:val="BodyText"/>
            </w:pPr>
            <w:r w:rsidRPr="00B17342">
              <w:t>T1</w:t>
            </w:r>
            <w:r w:rsidRPr="00B17342">
              <w:tab/>
              <w:t>Arithmetic</w:t>
            </w:r>
          </w:p>
          <w:p w:rsidR="00000000" w:rsidRPr="00B17342" w:rsidP="00B17342">
            <w:pPr>
              <w:pStyle w:val="ListBullet"/>
            </w:pPr>
            <w:r w:rsidRPr="00B17342">
              <w:t>Rational and irrational numbers, surds</w:t>
            </w:r>
          </w:p>
          <w:p w:rsidR="00000000" w:rsidRPr="00B17342" w:rsidP="00B17342">
            <w:pPr>
              <w:pStyle w:val="ListBullet"/>
            </w:pPr>
            <w:r w:rsidRPr="00B17342">
              <w:t>SI units, conversion using unity brackets</w:t>
            </w:r>
          </w:p>
          <w:p w:rsidR="00000000" w:rsidRPr="00B17342" w:rsidP="00B17342">
            <w:pPr>
              <w:pStyle w:val="ListBullet"/>
            </w:pPr>
            <w:r w:rsidRPr="00B17342">
              <w:t>Laws of indices (base 10), scientific and engineering notation</w:t>
            </w:r>
          </w:p>
          <w:p w:rsidR="00000000" w:rsidRPr="00B17342" w:rsidP="00B17342">
            <w:pPr>
              <w:pStyle w:val="ListBullet"/>
            </w:pPr>
            <w:r w:rsidRPr="00B17342">
              <w:t>Estimations, errors and approximations, significant figures</w:t>
            </w:r>
          </w:p>
          <w:p w:rsidR="00000000" w:rsidRPr="00B17342" w:rsidP="00B17342">
            <w:pPr>
              <w:pStyle w:val="BodyText"/>
            </w:pPr>
            <w:r w:rsidRPr="00B17342">
              <w:t>T2</w:t>
            </w:r>
            <w:r w:rsidRPr="00B17342">
              <w:tab/>
              <w:t>Algebra</w:t>
            </w:r>
          </w:p>
          <w:p w:rsidR="00000000" w:rsidRPr="00B17342" w:rsidP="00B17342">
            <w:pPr>
              <w:pStyle w:val="ListBullet"/>
            </w:pPr>
            <w:r w:rsidRPr="00B17342">
              <w:t>Substitution</w:t>
            </w:r>
          </w:p>
          <w:p w:rsidR="00000000" w:rsidRPr="00B17342" w:rsidP="00B17342">
            <w:pPr>
              <w:pStyle w:val="ListBullet"/>
            </w:pPr>
            <w:r w:rsidRPr="00B17342">
              <w:t>+, -, x on simple polynomials. Simple indices</w:t>
            </w:r>
          </w:p>
          <w:p w:rsidR="00000000" w:rsidRPr="00B17342" w:rsidP="00B17342">
            <w:pPr>
              <w:pStyle w:val="ListBullet"/>
            </w:pPr>
            <w:r w:rsidRPr="00B17342">
              <w:t>Expanding brackets</w:t>
            </w:r>
          </w:p>
          <w:p w:rsidR="00000000" w:rsidRPr="00B17342" w:rsidP="00B17342">
            <w:pPr>
              <w:pStyle w:val="ListBullet"/>
            </w:pPr>
            <w:r w:rsidRPr="00B17342">
              <w:t>Factorising quadratics. Common factors, difference of two squares</w:t>
            </w:r>
          </w:p>
          <w:p w:rsidR="00000000" w:rsidRPr="00B17342" w:rsidP="00B17342">
            <w:pPr>
              <w:pStyle w:val="ListBullet"/>
            </w:pPr>
            <w:r w:rsidRPr="00B17342">
              <w:t>Simplifying algebraic fractions</w:t>
            </w:r>
          </w:p>
          <w:p w:rsidR="00000000" w:rsidRPr="00B17342" w:rsidP="00B17342">
            <w:pPr>
              <w:pStyle w:val="ListBullet"/>
            </w:pPr>
            <w:r w:rsidRPr="00B17342">
              <w:t>Transposition of engineering formulae</w:t>
            </w:r>
          </w:p>
          <w:p w:rsidR="00000000" w:rsidRPr="00B17342" w:rsidP="00B17342">
            <w:pPr>
              <w:pStyle w:val="ListBullet"/>
            </w:pPr>
            <w:r w:rsidRPr="00B17342">
              <w:t>Solving one variable equations</w:t>
            </w:r>
          </w:p>
          <w:p w:rsidR="00000000" w:rsidRPr="00B17342" w:rsidP="00B17342">
            <w:pPr>
              <w:pStyle w:val="ListBullet"/>
            </w:pPr>
            <w:r w:rsidRPr="00B17342">
              <w:t>Simple algebraic division.</w:t>
            </w:r>
          </w:p>
          <w:p w:rsidR="00000000" w:rsidRPr="00B17342" w:rsidP="00B17342">
            <w:pPr>
              <w:pStyle w:val="BodyText"/>
            </w:pPr>
            <w:r w:rsidRPr="00B17342">
              <w:t>T3</w:t>
            </w:r>
            <w:r w:rsidRPr="00B17342">
              <w:tab/>
              <w:t>Geometry</w:t>
            </w:r>
          </w:p>
          <w:p w:rsidR="00000000" w:rsidRPr="00B17342" w:rsidP="00B17342">
            <w:pPr>
              <w:pStyle w:val="ListBullet"/>
            </w:pPr>
            <w:r w:rsidRPr="00B17342">
              <w:t>Pythagoras Theorem</w:t>
            </w:r>
          </w:p>
          <w:p w:rsidR="00000000" w:rsidRPr="00B17342" w:rsidP="00B17342">
            <w:pPr>
              <w:pStyle w:val="ListBullet"/>
            </w:pPr>
            <w:r w:rsidRPr="00B17342">
              <w:t>Angles: degrees, radians. Parallel lines cut by a transverse</w:t>
            </w:r>
          </w:p>
          <w:p w:rsidR="00000000" w:rsidRPr="00B17342" w:rsidP="00B17342">
            <w:pPr>
              <w:pStyle w:val="ListBullet"/>
            </w:pPr>
            <w:r w:rsidRPr="00B17342">
              <w:t>Triangles: sum of angles, properties of equilateral and isosceles triangles</w:t>
            </w:r>
          </w:p>
          <w:p w:rsidR="00000000" w:rsidRPr="00B17342" w:rsidP="00B17342">
            <w:pPr>
              <w:pStyle w:val="ListBullet"/>
            </w:pPr>
            <w:r w:rsidRPr="00B17342">
              <w:t>Congruent triangles</w:t>
            </w:r>
          </w:p>
          <w:p w:rsidR="00000000" w:rsidRPr="00B17342" w:rsidP="00B17342">
            <w:pPr>
              <w:pStyle w:val="ListBullet"/>
            </w:pPr>
            <w:r w:rsidRPr="00B17342">
              <w:t>Similar triangles: ratio of correspondin</w:t>
            </w:r>
            <w:r w:rsidRPr="00B17342">
              <w:t>g sides</w:t>
            </w:r>
          </w:p>
          <w:p w:rsidR="00000000" w:rsidRPr="00B17342" w:rsidP="00B17342">
            <w:pPr>
              <w:pStyle w:val="ListBullet"/>
            </w:pPr>
            <w:r w:rsidRPr="00B17342">
              <w:t>Sin, cos, tan: ratios of a right angled triangle</w:t>
            </w:r>
          </w:p>
          <w:p w:rsidR="00000000" w:rsidRPr="00B17342" w:rsidP="00B17342">
            <w:pPr>
              <w:pStyle w:val="ListBullet"/>
            </w:pPr>
            <w:r w:rsidRPr="00B17342">
              <w:t>Sine and cosine rules</w:t>
            </w:r>
          </w:p>
          <w:p w:rsidR="00000000" w:rsidRPr="00B17342" w:rsidP="00B17342">
            <w:pPr>
              <w:pStyle w:val="ListBullet"/>
            </w:pPr>
            <w:r w:rsidRPr="00B17342">
              <w:t>Circles: circumference, arcs, chords, tangents, circle theorems</w:t>
            </w:r>
          </w:p>
          <w:p w:rsidR="00000000" w:rsidRPr="00B17342" w:rsidP="00B17342">
            <w:pPr>
              <w:pStyle w:val="ListBullet"/>
            </w:pPr>
            <w:r w:rsidRPr="00B17342">
              <w:t>Area and perimeter mensuration on above figures.</w:t>
            </w:r>
          </w:p>
          <w:p w:rsidR="00000000" w:rsidRPr="00B17342" w:rsidP="00B17342">
            <w:pPr>
              <w:pStyle w:val="BodyText"/>
            </w:pPr>
            <w:r w:rsidRPr="00B17342">
              <w:t>T4</w:t>
            </w:r>
            <w:r w:rsidRPr="00B17342">
              <w:tab/>
              <w:t>Coordinate geometry</w:t>
            </w:r>
          </w:p>
          <w:p w:rsidR="00000000" w:rsidRPr="00B17342" w:rsidP="00B17342">
            <w:pPr>
              <w:pStyle w:val="ListBullet"/>
            </w:pPr>
            <w:r w:rsidRPr="00B17342">
              <w:t>2D plane; x-y axes, s-t axes</w:t>
            </w:r>
          </w:p>
          <w:p w:rsidR="00000000" w:rsidRPr="00B17342" w:rsidP="00B17342">
            <w:pPr>
              <w:pStyle w:val="ListBullet"/>
            </w:pPr>
            <w:r w:rsidRPr="00B17342">
              <w:t>Graph of li</w:t>
            </w:r>
            <w:r w:rsidRPr="00B17342">
              <w:t>near function, y = ax + b. Functional notation, y = f(x)</w:t>
            </w:r>
          </w:p>
          <w:p w:rsidR="00000000" w:rsidRPr="00B17342" w:rsidP="00B17342">
            <w:pPr>
              <w:pStyle w:val="ListBullet"/>
            </w:pPr>
            <w:r w:rsidRPr="00B17342">
              <w:t>Straight line given slope and one point or given two points</w:t>
            </w:r>
          </w:p>
          <w:p w:rsidR="00000000" w:rsidRPr="00B17342" w:rsidP="00B17342">
            <w:pPr>
              <w:pStyle w:val="ListBullet"/>
            </w:pPr>
            <w:r w:rsidRPr="00B17342">
              <w:t>Linear equations: solving algebraically and geometrically</w:t>
            </w:r>
          </w:p>
          <w:p w:rsidR="00000000" w:rsidRPr="00B17342" w:rsidP="00B17342">
            <w:pPr>
              <w:pStyle w:val="ListBullet"/>
            </w:pPr>
            <w:r w:rsidRPr="00B17342">
              <w:t>Solving 2 linear functions simultaneously, algebraically and geometrically</w:t>
            </w:r>
          </w:p>
          <w:p w:rsidR="00000000" w:rsidRPr="00B17342" w:rsidP="00B17342">
            <w:pPr>
              <w:pStyle w:val="ListBullet"/>
            </w:pPr>
            <w:r w:rsidRPr="00B17342">
              <w:t>Line s</w:t>
            </w:r>
            <w:r w:rsidRPr="00B17342">
              <w:t>egment: length and mid point.</w:t>
            </w:r>
          </w:p>
          <w:p w:rsidR="00000000" w:rsidRPr="00B17342" w:rsidP="00B17342">
            <w:pPr>
              <w:pStyle w:val="BodyText"/>
            </w:pPr>
            <w:r w:rsidRPr="00B17342">
              <w:t>T5</w:t>
            </w:r>
            <w:r w:rsidRPr="00B17342">
              <w:tab/>
              <w:t>Engineering mechanics</w:t>
            </w:r>
          </w:p>
          <w:p w:rsidR="00000000" w:rsidRPr="00B17342" w:rsidP="00B17342">
            <w:pPr>
              <w:pStyle w:val="ListBullet"/>
            </w:pPr>
            <w:r w:rsidRPr="00B17342">
              <w:t>mass/density</w:t>
            </w:r>
          </w:p>
          <w:p w:rsidR="00000000" w:rsidRPr="00B17342" w:rsidP="00B17342">
            <w:pPr>
              <w:pStyle w:val="ListBullet"/>
            </w:pPr>
            <w:r w:rsidRPr="00B17342">
              <w:t>weight</w:t>
            </w:r>
          </w:p>
          <w:p w:rsidR="00000000" w:rsidRPr="00B17342" w:rsidP="00B17342">
            <w:pPr>
              <w:pStyle w:val="ListBullet"/>
            </w:pPr>
            <w:r w:rsidRPr="00B17342">
              <w:t>forces</w:t>
            </w:r>
          </w:p>
          <w:p w:rsidR="00000000" w:rsidRPr="00B17342" w:rsidP="00B17342">
            <w:pPr>
              <w:pStyle w:val="ListBullet"/>
            </w:pPr>
            <w:r w:rsidRPr="00B17342">
              <w:t>specific gravity</w:t>
            </w:r>
          </w:p>
          <w:p w:rsidR="00000000" w:rsidRPr="00B17342" w:rsidP="00B17342">
            <w:pPr>
              <w:pStyle w:val="ListBullet"/>
            </w:pPr>
            <w:r w:rsidRPr="00B17342">
              <w:t>equilibrium</w:t>
            </w:r>
          </w:p>
          <w:p w:rsidR="00000000" w:rsidRPr="00B17342" w:rsidP="00B17342">
            <w:pPr>
              <w:pStyle w:val="ListBullet"/>
            </w:pPr>
            <w:r w:rsidRPr="00B17342">
              <w:t>momentum</w:t>
            </w:r>
          </w:p>
          <w:p w:rsidR="00000000" w:rsidRPr="00B17342" w:rsidP="00B17342">
            <w:pPr>
              <w:pStyle w:val="ListBullet"/>
            </w:pPr>
            <w:r w:rsidRPr="00B17342">
              <w:t>friction loss</w:t>
            </w:r>
          </w:p>
          <w:p w:rsidR="00000000" w:rsidRPr="00B17342" w:rsidP="00B17342">
            <w:pPr>
              <w:pStyle w:val="ListBullet"/>
            </w:pPr>
            <w:r w:rsidRPr="00B17342">
              <w:t>velocity and speed</w:t>
            </w:r>
          </w:p>
          <w:p w:rsidR="00000000" w:rsidRPr="00B17342" w:rsidP="00B17342">
            <w:pPr>
              <w:pStyle w:val="ListBullet"/>
            </w:pPr>
            <w:r w:rsidRPr="00B17342">
              <w:t>energy in all forms</w:t>
            </w:r>
          </w:p>
          <w:p w:rsidR="00000000" w:rsidRPr="00B17342" w:rsidP="00B17342">
            <w:pPr>
              <w:pStyle w:val="ListBullet"/>
            </w:pPr>
            <w:r w:rsidRPr="00B17342">
              <w:t>mechanical advantage</w:t>
            </w:r>
          </w:p>
          <w:p w:rsidR="00000000" w:rsidRPr="00B17342" w:rsidP="00B17342">
            <w:pPr>
              <w:pStyle w:val="ListBullet"/>
            </w:pPr>
            <w:r w:rsidRPr="00B17342">
              <w:t>efficiency</w:t>
            </w:r>
          </w:p>
          <w:p w:rsidR="00000000" w:rsidRPr="00B17342" w:rsidP="00B17342">
            <w:pPr>
              <w:pStyle w:val="ListBullet"/>
            </w:pPr>
            <w:r w:rsidRPr="00B17342">
              <w:t>pressure/stress</w:t>
            </w:r>
          </w:p>
          <w:p w:rsidR="00000000" w:rsidRPr="00B17342" w:rsidP="00B17342">
            <w:pPr>
              <w:pStyle w:val="BodyText"/>
            </w:pPr>
            <w:r w:rsidRPr="00B17342">
              <w:t>T6</w:t>
            </w:r>
            <w:r w:rsidRPr="00B17342">
              <w:tab/>
              <w:t>Molecular theory</w:t>
            </w:r>
          </w:p>
          <w:p w:rsidR="00000000" w:rsidRPr="00B17342" w:rsidP="00B17342">
            <w:pPr>
              <w:pStyle w:val="ListBullet"/>
            </w:pPr>
            <w:r w:rsidRPr="00B17342">
              <w:t>changes of state</w:t>
            </w:r>
          </w:p>
          <w:p w:rsidR="00000000" w:rsidRPr="00B17342" w:rsidP="00B17342">
            <w:pPr>
              <w:pStyle w:val="ListBullet"/>
            </w:pPr>
            <w:r w:rsidRPr="00B17342">
              <w:t>sublimation</w:t>
            </w:r>
          </w:p>
          <w:p w:rsidR="00000000" w:rsidRPr="00B17342" w:rsidP="00B17342">
            <w:pPr>
              <w:pStyle w:val="ListBullet"/>
            </w:pPr>
            <w:r w:rsidRPr="00B17342">
              <w:t>expansion and contraction</w:t>
            </w:r>
          </w:p>
          <w:p w:rsidR="00000000" w:rsidRPr="00B17342" w:rsidP="00B17342">
            <w:pPr>
              <w:pStyle w:val="ListBullet"/>
            </w:pPr>
            <w:r w:rsidRPr="00B17342">
              <w:t>electron flow</w:t>
            </w:r>
          </w:p>
          <w:p w:rsidR="00000000" w:rsidRPr="00B17342" w:rsidP="00B17342">
            <w:pPr>
              <w:pStyle w:val="ListBullet"/>
            </w:pPr>
            <w:r w:rsidRPr="00B17342">
              <w:t>state of aggregation</w:t>
            </w:r>
          </w:p>
          <w:p w:rsidR="00000000" w:rsidRPr="00B17342" w:rsidP="00B17342">
            <w:pPr>
              <w:pStyle w:val="ListBullet"/>
            </w:pPr>
            <w:r w:rsidRPr="00B17342">
              <w:t>internal potential energy</w:t>
            </w:r>
          </w:p>
          <w:p w:rsidR="00000000" w:rsidRPr="00B17342" w:rsidP="00B17342">
            <w:pPr>
              <w:pStyle w:val="ListBullet"/>
            </w:pPr>
            <w:r w:rsidRPr="00B17342">
              <w:t>phase change diagrams</w:t>
            </w:r>
          </w:p>
          <w:p w:rsidR="00000000" w:rsidRPr="00B17342" w:rsidP="00B17342">
            <w:pPr>
              <w:pStyle w:val="BodyText"/>
            </w:pPr>
            <w:r w:rsidRPr="00B17342">
              <w:t>T7</w:t>
            </w:r>
            <w:r w:rsidRPr="00B17342">
              <w:tab/>
              <w:t>Thermodynamics</w:t>
            </w:r>
          </w:p>
          <w:p w:rsidR="00000000" w:rsidRPr="00B17342" w:rsidP="00B17342">
            <w:pPr>
              <w:pStyle w:val="ListBullet"/>
            </w:pPr>
            <w:r w:rsidRPr="00B17342">
              <w:t>temperature scales</w:t>
            </w:r>
          </w:p>
          <w:p w:rsidR="00000000" w:rsidRPr="00B17342" w:rsidP="00B17342">
            <w:pPr>
              <w:pStyle w:val="ListBullet"/>
            </w:pPr>
            <w:r w:rsidRPr="00B17342">
              <w:t>conservation of energy</w:t>
            </w:r>
          </w:p>
          <w:p w:rsidR="00000000" w:rsidRPr="00B17342" w:rsidP="00B17342">
            <w:pPr>
              <w:pStyle w:val="ListBullet"/>
            </w:pPr>
            <w:r w:rsidRPr="00B17342">
              <w:t>specific heat</w:t>
            </w:r>
          </w:p>
          <w:p w:rsidR="00000000" w:rsidRPr="00B17342" w:rsidP="00B17342">
            <w:pPr>
              <w:pStyle w:val="ListBullet"/>
            </w:pPr>
            <w:r w:rsidRPr="00B17342">
              <w:t>sensible, latent and super heat</w:t>
            </w:r>
          </w:p>
          <w:p w:rsidR="00000000" w:rsidRPr="00B17342" w:rsidP="00B17342">
            <w:pPr>
              <w:pStyle w:val="ListBullet"/>
            </w:pPr>
            <w:r w:rsidRPr="00B17342">
              <w:t>properties of steam</w:t>
            </w:r>
          </w:p>
          <w:p w:rsidR="00000000" w:rsidRPr="00B17342" w:rsidP="00B17342">
            <w:pPr>
              <w:pStyle w:val="ListBullet"/>
            </w:pPr>
            <w:r w:rsidRPr="00B17342">
              <w:t>enthalpy</w:t>
            </w:r>
          </w:p>
          <w:p w:rsidR="00000000" w:rsidRPr="00B17342" w:rsidP="00B17342">
            <w:pPr>
              <w:pStyle w:val="ListBullet"/>
            </w:pPr>
            <w:r w:rsidRPr="00B17342">
              <w:t>heat energy/temperature relationship</w:t>
            </w:r>
          </w:p>
          <w:p w:rsidR="00000000" w:rsidRPr="00B17342" w:rsidP="00B17342">
            <w:pPr>
              <w:pStyle w:val="ListBullet"/>
            </w:pPr>
            <w:r w:rsidRPr="00B17342">
              <w:t>heat balance on a body</w:t>
            </w:r>
          </w:p>
          <w:p w:rsidR="00000000" w:rsidRPr="00B17342" w:rsidP="00B17342">
            <w:pPr>
              <w:pStyle w:val="ListBullet"/>
            </w:pPr>
            <w:r w:rsidRPr="00B17342">
              <w:t>heat transfer</w:t>
            </w:r>
          </w:p>
          <w:p w:rsidR="00000000" w:rsidRPr="00B17342" w:rsidP="00B17342">
            <w:pPr>
              <w:pStyle w:val="ListBullet"/>
            </w:pPr>
            <w:r w:rsidRPr="00B17342">
              <w:t>conductivity</w:t>
            </w:r>
          </w:p>
          <w:p w:rsidR="00000000" w:rsidRPr="00B17342" w:rsidP="00B17342">
            <w:pPr>
              <w:pStyle w:val="ListBullet"/>
            </w:pPr>
            <w:r w:rsidRPr="00B17342">
              <w:t>calorimetry</w:t>
            </w:r>
          </w:p>
          <w:p w:rsidR="00000000" w:rsidRPr="00B17342" w:rsidP="00B17342">
            <w:pPr>
              <w:pStyle w:val="ListBullet"/>
            </w:pPr>
            <w:r w:rsidRPr="00B17342">
              <w:t>Peltier effect</w:t>
            </w:r>
          </w:p>
          <w:p w:rsidR="00000000" w:rsidRPr="00B17342" w:rsidP="00B17342">
            <w:pPr>
              <w:pStyle w:val="ListBullet"/>
            </w:pPr>
            <w:r w:rsidRPr="00B17342">
              <w:t>1st and 2nd law of thermodynamics</w:t>
            </w:r>
          </w:p>
          <w:p w:rsidR="00000000" w:rsidRPr="00B17342" w:rsidP="00B17342">
            <w:pPr>
              <w:pStyle w:val="BodyText"/>
            </w:pPr>
            <w:r w:rsidRPr="00B17342">
              <w:t>T8</w:t>
            </w:r>
            <w:r w:rsidRPr="00B17342">
              <w:tab/>
              <w:t>Gas laws and liquids</w:t>
            </w:r>
          </w:p>
          <w:p w:rsidR="00000000" w:rsidRPr="00B17342" w:rsidP="00B17342">
            <w:pPr>
              <w:pStyle w:val="ListBullet"/>
            </w:pPr>
            <w:r w:rsidRPr="00B17342">
              <w:t>pressure</w:t>
            </w:r>
          </w:p>
          <w:p w:rsidR="00000000" w:rsidRPr="00B17342" w:rsidP="00B17342">
            <w:pPr>
              <w:pStyle w:val="ListBullet"/>
            </w:pPr>
            <w:r w:rsidRPr="00B17342">
              <w:t>Boyles law</w:t>
            </w:r>
          </w:p>
          <w:p w:rsidR="00000000" w:rsidRPr="00B17342" w:rsidP="00B17342">
            <w:pPr>
              <w:pStyle w:val="ListBullet"/>
            </w:pPr>
            <w:r w:rsidRPr="00B17342">
              <w:t>Charles law</w:t>
            </w:r>
          </w:p>
          <w:p w:rsidR="00000000" w:rsidRPr="00B17342" w:rsidP="00B17342">
            <w:pPr>
              <w:pStyle w:val="ListBullet"/>
            </w:pPr>
            <w:r w:rsidRPr="00B17342">
              <w:t>Volumetric relationshi</w:t>
            </w:r>
            <w:r w:rsidRPr="00B17342">
              <w:t>p</w:t>
            </w:r>
          </w:p>
          <w:p w:rsidR="00000000" w:rsidRPr="00B17342" w:rsidP="00B17342">
            <w:pPr>
              <w:pStyle w:val="ListBullet"/>
            </w:pPr>
            <w:r w:rsidRPr="00B17342">
              <w:t>psychrometrics</w:t>
            </w:r>
          </w:p>
          <w:p w:rsidR="00000000" w:rsidRPr="00B17342" w:rsidP="00B17342">
            <w:pPr>
              <w:pStyle w:val="ListBullet"/>
            </w:pPr>
            <w:r w:rsidRPr="00B17342">
              <w:t>latent heat of vaporisation</w:t>
            </w:r>
          </w:p>
          <w:p w:rsidR="00000000" w:rsidRPr="00B17342" w:rsidP="00B17342">
            <w:pPr>
              <w:pStyle w:val="ListBullet"/>
            </w:pPr>
            <w:r w:rsidRPr="00B17342">
              <w:t>relative humidity</w:t>
            </w:r>
          </w:p>
          <w:p w:rsidR="00000000" w:rsidRPr="00B17342" w:rsidP="00B17342">
            <w:pPr>
              <w:pStyle w:val="ListBullet"/>
            </w:pPr>
            <w:r w:rsidRPr="00B17342">
              <w:t>air conditioning processes</w:t>
            </w:r>
          </w:p>
          <w:p w:rsidR="00000000" w:rsidRPr="00B17342" w:rsidP="00B17342">
            <w:pPr>
              <w:pStyle w:val="ListBullet"/>
            </w:pPr>
            <w:r w:rsidRPr="00B17342">
              <w:t>dynamic pressure loss</w:t>
            </w:r>
          </w:p>
          <w:p w:rsidR="00000000" w:rsidRPr="00B17342" w:rsidP="00B17342">
            <w:pPr>
              <w:pStyle w:val="ListBullet"/>
            </w:pPr>
            <w:r w:rsidRPr="00B17342">
              <w:t>velocity and static pressure</w:t>
            </w:r>
          </w:p>
          <w:p w:rsidR="00000000" w:rsidRPr="00B17342" w:rsidP="00B17342">
            <w:pPr>
              <w:pStyle w:val="ListBullet"/>
            </w:pPr>
            <w:r w:rsidRPr="00B17342">
              <w:t>bourdon tubes</w:t>
            </w:r>
          </w:p>
          <w:p w:rsidR="00000000" w:rsidRPr="00B17342" w:rsidP="00B17342">
            <w:pPr>
              <w:pStyle w:val="ListBullet"/>
            </w:pPr>
            <w:r w:rsidRPr="00B17342">
              <w:t>density and relative density</w:t>
            </w:r>
          </w:p>
          <w:p w:rsidR="00000000" w:rsidRPr="00B17342" w:rsidP="00B17342">
            <w:pPr>
              <w:pStyle w:val="ListBullet"/>
            </w:pPr>
            <w:r w:rsidRPr="00B17342">
              <w:t>Archimedes principle</w:t>
            </w:r>
          </w:p>
          <w:p w:rsidR="00000000" w:rsidRPr="00B17342" w:rsidP="00B17342">
            <w:pPr>
              <w:pStyle w:val="ListBullet"/>
            </w:pPr>
            <w:r w:rsidRPr="00B17342">
              <w:t>Bernoulli’s Equation</w:t>
            </w:r>
          </w:p>
          <w:p w:rsidR="00000000" w:rsidRPr="00B17342" w:rsidP="00B17342">
            <w:pPr>
              <w:pStyle w:val="ListBullet"/>
            </w:pPr>
            <w:r w:rsidRPr="00B17342">
              <w:t>manometers</w:t>
            </w:r>
          </w:p>
          <w:p w:rsidR="00000000" w:rsidRPr="00B17342" w:rsidP="00B17342">
            <w:pPr>
              <w:pStyle w:val="ListBullet"/>
            </w:pPr>
            <w:r w:rsidRPr="00B17342">
              <w:t>absorption refrigeration</w:t>
            </w:r>
          </w:p>
          <w:p w:rsidR="00000000" w:rsidRPr="00B17342" w:rsidP="00B17342">
            <w:pPr>
              <w:pStyle w:val="ListBullet"/>
            </w:pPr>
            <w:r w:rsidRPr="00B17342">
              <w:t>centrifugal compression</w:t>
            </w:r>
          </w:p>
          <w:p w:rsidR="00000000" w:rsidRPr="00B17342" w:rsidP="00B17342">
            <w:pPr>
              <w:pStyle w:val="ListBullet"/>
            </w:pPr>
            <w:r w:rsidRPr="00B17342">
              <w:t>external work of a liquid</w:t>
            </w:r>
          </w:p>
          <w:p w:rsidR="00000000" w:rsidRPr="00B17342" w:rsidP="00B17342">
            <w:pPr>
              <w:pStyle w:val="ListBullet"/>
            </w:pPr>
            <w:r w:rsidRPr="00B17342">
              <w:t>pressure volume diagrams</w:t>
            </w:r>
          </w:p>
          <w:p w:rsidR="00000000" w:rsidRPr="00B17342" w:rsidP="00B17342">
            <w:pPr>
              <w:pStyle w:val="ListBullet"/>
            </w:pPr>
            <w:r w:rsidRPr="00B17342">
              <w:t>isothermal and adiabatic processes</w:t>
            </w:r>
          </w:p>
          <w:p w:rsidR="00000000" w:rsidRPr="00B17342" w:rsidP="00B17342">
            <w:pPr>
              <w:pStyle w:val="ListBullet"/>
            </w:pPr>
            <w:r w:rsidRPr="00B17342">
              <w:t>polytropic processes</w:t>
            </w:r>
          </w:p>
          <w:p w:rsidR="00000000" w:rsidRPr="00B17342" w:rsidP="00B17342">
            <w:pPr>
              <w:pStyle w:val="ListBullet"/>
            </w:pPr>
            <w:r w:rsidRPr="00B17342">
              <w:t>Dalton’s law of partial pressure</w:t>
            </w:r>
          </w:p>
          <w:p w:rsidR="00000000" w:rsidRPr="00B17342" w:rsidP="00B17342">
            <w:pPr>
              <w:pStyle w:val="BodyText"/>
            </w:pPr>
            <w:r w:rsidRPr="00B17342">
              <w:t>T9</w:t>
            </w:r>
            <w:r w:rsidRPr="00B17342">
              <w:tab/>
              <w:t>Vapour compression</w:t>
            </w:r>
          </w:p>
          <w:p w:rsidR="00000000" w:rsidRPr="00B17342" w:rsidP="00B17342">
            <w:pPr>
              <w:pStyle w:val="ListBullet"/>
            </w:pPr>
            <w:r w:rsidRPr="00B17342">
              <w:t>pressure/enthalpy relationship</w:t>
            </w:r>
          </w:p>
          <w:p w:rsidR="00000000" w:rsidRPr="00B17342" w:rsidP="00B17342">
            <w:pPr>
              <w:pStyle w:val="ListBullet"/>
            </w:pPr>
            <w:r w:rsidRPr="00B17342">
              <w:t>entropy</w:t>
            </w:r>
          </w:p>
          <w:p w:rsidR="00000000" w:rsidRPr="00B17342" w:rsidP="00B17342">
            <w:pPr>
              <w:pStyle w:val="ListBullet"/>
            </w:pPr>
            <w:r w:rsidRPr="00B17342">
              <w:t>characteristics of the evaporation, condensation,</w:t>
            </w:r>
          </w:p>
          <w:p w:rsidR="00000000" w:rsidRPr="00B17342" w:rsidP="00B17342">
            <w:pPr>
              <w:pStyle w:val="ListBullet"/>
            </w:pPr>
            <w:r w:rsidRPr="00B17342">
              <w:t>compression and pressure drop phases</w:t>
            </w:r>
          </w:p>
          <w:p w:rsidR="00000000" w:rsidRPr="00B17342" w:rsidP="00B17342">
            <w:pPr>
              <w:pStyle w:val="ListBullet"/>
            </w:pPr>
            <w:r w:rsidRPr="00B17342">
              <w:t>co-efficient of performance</w:t>
            </w:r>
          </w:p>
          <w:p w:rsidR="00000000" w:rsidRPr="00B17342" w:rsidP="00B17342">
            <w:pPr>
              <w:pStyle w:val="ListBullet"/>
            </w:pPr>
            <w:r w:rsidRPr="00B17342">
              <w:t>theoretical/practical cycles</w:t>
            </w:r>
          </w:p>
          <w:p w:rsidR="00000000" w:rsidRPr="00B17342" w:rsidP="00B17342">
            <w:pPr>
              <w:pStyle w:val="ListBullet"/>
            </w:pPr>
            <w:r w:rsidRPr="00B17342">
              <w:t>characteristics of refrigerants</w:t>
            </w:r>
          </w:p>
          <w:p w:rsidR="00000000" w:rsidRPr="00B17342" w:rsidP="00B17342">
            <w:pPr>
              <w:pStyle w:val="ListBullet"/>
            </w:pPr>
            <w:r w:rsidRPr="00B17342">
              <w:t>theoretical power input</w:t>
            </w:r>
          </w:p>
          <w:p w:rsidR="00000000" w:rsidRPr="00B17342" w:rsidP="00B17342">
            <w:pPr>
              <w:pStyle w:val="ListBullet"/>
            </w:pPr>
            <w:r w:rsidRPr="00B17342">
              <w:t>pressure losses</w:t>
            </w:r>
          </w:p>
          <w:p w:rsidR="00000000" w:rsidRPr="00B17342" w:rsidP="00B17342">
            <w:pPr>
              <w:pStyle w:val="ListBullet"/>
            </w:pPr>
            <w:r w:rsidRPr="00B17342">
              <w:t>heat exchange</w:t>
            </w:r>
          </w:p>
          <w:p w:rsidR="00000000" w:rsidRPr="00B17342" w:rsidP="00B17342">
            <w:pPr>
              <w:pStyle w:val="ListBullet"/>
            </w:pPr>
            <w:r w:rsidRPr="00B17342">
              <w:t>effects of condensing cond</w:t>
            </w:r>
            <w:r w:rsidRPr="00B17342">
              <w:t>ition changes</w:t>
            </w:r>
          </w:p>
          <w:p w:rsidR="00000000" w:rsidRPr="00B17342" w:rsidP="00B17342">
            <w:pPr>
              <w:pStyle w:val="ListBullet"/>
            </w:pPr>
            <w:r w:rsidRPr="00B17342">
              <w:t>sub-cooling and super-heating</w:t>
            </w:r>
          </w:p>
        </w:tc>
      </w:tr>
    </w:tbl>
    <w:p w:rsidR="00225E09" w:rsidP="00B17342">
      <w:pPr>
        <w:pStyle w:val="BodyText"/>
      </w:pPr>
    </w:p>
    <w:p w:rsidR="00225E09" w:rsidP="00B17342">
      <w:pPr>
        <w:pStyle w:val="BodyText"/>
      </w:pPr>
    </w:p>
    <w:p w:rsidR="00000000" w:rsidRPr="00B17342" w:rsidP="00B17342">
      <w:pPr>
        <w:pStyle w:val="Heading1"/>
      </w:pPr>
      <w:bookmarkStart w:id="10" w:name="O_589743"/>
      <w:bookmarkEnd w:id="10"/>
      <w:r w:rsidRPr="00B17342">
        <w:t>Evidence Guide</w:t>
      </w:r>
    </w:p>
    <w:tbl>
      <w:tblPr>
        <w:tblW w:w="0" w:type="auto"/>
        <w:tblLayout w:type="fixed"/>
        <w:tblCellMar>
          <w:left w:w="62" w:type="dxa"/>
          <w:right w:w="62" w:type="dxa"/>
        </w:tblCellMar>
        <w:tblLook w:val="0000"/>
      </w:tblPr>
      <w:tblGrid>
        <w:gridCol w:w="2074"/>
        <w:gridCol w:w="420"/>
        <w:gridCol w:w="524"/>
        <w:gridCol w:w="5442"/>
      </w:tblGrid>
      <w:tr w:rsidTr="00225E09">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rPr>
                <w:rStyle w:val="SpecialBold"/>
              </w:rPr>
              <w:t>EVIDENCE GUIDE</w:t>
            </w:r>
          </w:p>
        </w:tc>
      </w:tr>
      <w:tr w:rsidTr="00225E09">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rPr>
                <w:rStyle w:val="SpecialBold"/>
              </w:rPr>
              <w:t>9</w:t>
            </w:r>
            <w:r w:rsidRPr="00B17342">
              <w:t xml:space="preserve">) The evidence guide provides advice on assessment and must be read in conjunction with the Performance </w:t>
            </w:r>
            <w:r w:rsidRPr="00B17342">
              <w:t>Criteria, Required Skills and Knowledge, the Range Statement and the Assessment Guidelines for this Training Package. .</w:t>
            </w:r>
          </w:p>
          <w:p w:rsidR="00000000" w:rsidP="00B17342">
            <w:pPr>
              <w:pStyle w:val="BodyText"/>
              <w:rPr>
                <w:lang w:val="en-NZ"/>
              </w:rPr>
            </w:pPr>
            <w:r w:rsidRPr="00B17342">
              <w:t>The Evidence Guide forms an integral part of this Unit. It must be used in conjunction with all parts of this unit and performed in acco</w:t>
            </w:r>
            <w:r w:rsidRPr="00B17342">
              <w:t>rdance with the Assessment Guidelines of this Training Package.</w:t>
            </w:r>
          </w:p>
        </w:tc>
      </w:tr>
      <w:tr w:rsidTr="00225E09">
        <w:tblPrEx>
          <w:tblW w:w="0" w:type="auto"/>
          <w:tblLayout w:type="fixed"/>
          <w:tblCellMar>
            <w:left w:w="62" w:type="dxa"/>
            <w:right w:w="62" w:type="dxa"/>
          </w:tblCellMar>
          <w:tblLook w:val="0000"/>
        </w:tblPrEx>
        <w:tc>
          <w:tcPr>
            <w:tcW w:w="2074"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rPr>
                <w:rStyle w:val="SpecialBold"/>
              </w:rPr>
              <w:t>Overview of Assessment</w:t>
            </w:r>
          </w:p>
        </w:tc>
        <w:tc>
          <w:tcPr>
            <w:tcW w:w="6386" w:type="dxa"/>
            <w:gridSpan w:val="3"/>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rPr>
                <w:rStyle w:val="SpecialBold"/>
              </w:rPr>
              <w:t>9</w:t>
            </w:r>
            <w:r w:rsidRPr="00B17342">
              <w:t>.</w:t>
            </w:r>
            <w:r w:rsidRPr="00B17342">
              <w:rPr>
                <w:rStyle w:val="SpecialBold"/>
              </w:rPr>
              <w:t>1</w:t>
            </w:r>
            <w:r w:rsidRPr="00B17342">
              <w:t xml:space="preserve">) </w:t>
            </w:r>
          </w:p>
          <w:p w:rsidR="00000000" w:rsidRPr="00B17342" w:rsidP="00B17342">
            <w:pPr>
              <w:pStyle w:val="BodyText"/>
            </w:pPr>
            <w:r w:rsidRPr="00B17342">
              <w:t>Longitudinal competency development approaches to assessment, such as Profiling, require data to be reliably gathered in a form that can be consistently interp</w:t>
            </w:r>
            <w:r w:rsidRPr="00B17342">
              <w:t xml:space="preserve">reted over time. This approach is best utilised in Apprenticeship programs and reduces assessment intervention. It is the industry-preferred model for apprenticeships. However, where summative (or final) assessment is used it is to include the application </w:t>
            </w:r>
            <w:r w:rsidRPr="00B17342">
              <w:t>of the competency in the normal work environment or, at a minimum, the application of the competency in a realistically simulated work environment. In some circumstances, assessment in part or full can occur outside the workplace. However, it must be in ac</w:t>
            </w:r>
            <w:r w:rsidRPr="00B17342">
              <w:t>cordance with industry and regulatory policy.</w:t>
            </w:r>
          </w:p>
          <w:p w:rsidR="00000000" w:rsidRPr="00B17342" w:rsidP="00B17342">
            <w:pPr>
              <w:pStyle w:val="BodyText"/>
            </w:pPr>
            <w:r w:rsidRPr="00B17342">
              <w:t xml:space="preserve">Methods chosen for a particular assessment will be influenced by various factors. These include the extent of the assessment, the most effective locations for the assessment activities to take place, access to </w:t>
            </w:r>
            <w:r w:rsidRPr="00B17342">
              <w:t>physical resources, additional safety measures that may be required and the critical nature of the competencies being assessed.</w:t>
            </w:r>
          </w:p>
          <w:p w:rsidR="00000000" w:rsidRPr="00B17342" w:rsidP="00B17342">
            <w:pPr>
              <w:pStyle w:val="BodyText"/>
            </w:pPr>
            <w:r w:rsidRPr="00B17342">
              <w:t>The critical safety nature of working with electricity, electrical equipment, gas or any other hazardous substance/material carries risk in deeming a person competent. Sources of evidence need to be 'rich' in nature to minimise error in judgment.</w:t>
            </w:r>
          </w:p>
          <w:p w:rsidR="00000000" w:rsidP="00B17342">
            <w:pPr>
              <w:pStyle w:val="BodyText"/>
              <w:rPr>
                <w:lang w:val="en-NZ"/>
              </w:rPr>
            </w:pPr>
            <w:r w:rsidRPr="00B17342">
              <w:t>Activitie</w:t>
            </w:r>
            <w:r w:rsidRPr="00B17342">
              <w:t>s associated with normal everyday work influence decisions about how/how much the data gathered will contribute to its 'richness'. Some skills are more critical to safety and operational requirements while the same skills may be more or less frequently pra</w:t>
            </w:r>
            <w:r w:rsidRPr="00B17342">
              <w:t>ctised. These points are raised for the assessors to consider when choosing an assessment method and developing assessment instruments. Sample assessment instruments are included for Assessors in the Assessment Guidelines of this Training Package.</w:t>
            </w:r>
          </w:p>
        </w:tc>
      </w:tr>
      <w:tr w:rsidTr="00225E09">
        <w:tblPrEx>
          <w:tblW w:w="0" w:type="auto"/>
          <w:tblLayout w:type="fixed"/>
          <w:tblCellMar>
            <w:left w:w="62" w:type="dxa"/>
            <w:right w:w="62" w:type="dxa"/>
          </w:tblCellMar>
          <w:tblLook w:val="0000"/>
        </w:tblPrEx>
        <w:tc>
          <w:tcPr>
            <w:tcW w:w="2074" w:type="dxa"/>
            <w:vMerge w:val="restart"/>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rPr>
                <w:rStyle w:val="SpecialBold"/>
              </w:rPr>
              <w:t>Criti</w:t>
            </w:r>
            <w:r w:rsidRPr="00B17342">
              <w:rPr>
                <w:rStyle w:val="SpecialBold"/>
              </w:rPr>
              <w:t xml:space="preserve">cal aspects of evidence required to demonstrate </w:t>
            </w:r>
            <w:r w:rsidRPr="00B17342">
              <w:rPr>
                <w:rStyle w:val="SpecialBold"/>
              </w:rPr>
              <w:t>competency in this unit</w:t>
            </w:r>
          </w:p>
        </w:tc>
        <w:tc>
          <w:tcPr>
            <w:tcW w:w="6386" w:type="dxa"/>
            <w:gridSpan w:val="3"/>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rPr>
                <w:rStyle w:val="SpecialBold"/>
              </w:rPr>
              <w:t>9</w:t>
            </w:r>
            <w:r w:rsidRPr="00B17342">
              <w:t>.</w:t>
            </w:r>
            <w:r w:rsidRPr="00B17342">
              <w:rPr>
                <w:rStyle w:val="SpecialBold"/>
              </w:rPr>
              <w:t>2</w:t>
            </w:r>
            <w:r w:rsidRPr="00B17342">
              <w:t xml:space="preserve">) </w:t>
            </w:r>
          </w:p>
          <w:p w:rsidR="00000000" w:rsidP="00B17342">
            <w:pPr>
              <w:pStyle w:val="BodyText"/>
              <w:rPr>
                <w:lang w:val="en-NZ"/>
              </w:rPr>
            </w:pPr>
            <w:r w:rsidRPr="00B17342">
              <w:t>Before the critical aspects of evidence are considered all prerequisites must be met.</w:t>
            </w:r>
          </w:p>
        </w:tc>
      </w:tr>
      <w:tr w:rsidTr="00225E09">
        <w:tblPrEx>
          <w:tblW w:w="0" w:type="auto"/>
          <w:tblLayout w:type="fixed"/>
          <w:tblCellMar>
            <w:left w:w="62" w:type="dxa"/>
            <w:right w:w="62" w:type="dxa"/>
          </w:tblCellMar>
          <w:tblLook w:val="0000"/>
        </w:tblPrEx>
        <w:tc>
          <w:tcPr>
            <w:tcW w:w="20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6" w:type="dxa"/>
            <w:gridSpan w:val="3"/>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t>Evidence for competence in this unit shall be considered holistically.  Each Element and</w:t>
            </w:r>
            <w:r w:rsidRPr="00B17342">
              <w:t xml:space="preserve"> associated performance criteria shall be demonstrated on at least two occasions in accordance with the 'Assessment Guidelines - UEE07'.  Evidence shall also comprise:</w:t>
            </w:r>
          </w:p>
          <w:p w:rsidR="00000000" w:rsidP="00B17342">
            <w:pPr>
              <w:pStyle w:val="ListBullet"/>
              <w:rPr>
                <w:lang w:val="en-NZ"/>
              </w:rPr>
            </w:pPr>
            <w:r w:rsidRPr="00B17342">
              <w:t xml:space="preserve">A representative body of work performance demonstrated within the timeframes typically </w:t>
            </w:r>
            <w:r w:rsidRPr="00B17342">
              <w:t>expected of the discipline, work function and industrial environment. In particular this shall incorporate evidence that shows a candidate is able to:</w:t>
            </w:r>
          </w:p>
        </w:tc>
      </w:tr>
      <w:tr w:rsidTr="00225E09">
        <w:tblPrEx>
          <w:tblW w:w="0" w:type="auto"/>
          <w:tblLayout w:type="fixed"/>
          <w:tblCellMar>
            <w:left w:w="62" w:type="dxa"/>
            <w:right w:w="62" w:type="dxa"/>
          </w:tblCellMar>
          <w:tblLook w:val="0000"/>
        </w:tblPrEx>
        <w:tc>
          <w:tcPr>
            <w:tcW w:w="20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p>
        </w:tc>
        <w:tc>
          <w:tcPr>
            <w:tcW w:w="6386" w:type="dxa"/>
            <w:gridSpan w:val="3"/>
            <w:tcBorders>
              <w:top w:val="nil"/>
              <w:left w:val="nil"/>
              <w:bottom w:val="nil"/>
              <w:right w:val="nil"/>
            </w:tcBorders>
            <w:tcMar>
              <w:top w:w="0" w:type="dxa"/>
              <w:left w:w="62" w:type="dxa"/>
              <w:bottom w:w="0" w:type="dxa"/>
              <w:right w:w="62" w:type="dxa"/>
            </w:tcMar>
          </w:tcPr>
          <w:p w:rsidR="00000000" w:rsidRPr="00B17342" w:rsidP="00B17342">
            <w:pPr>
              <w:pStyle w:val="ListBullet2"/>
            </w:pPr>
            <w:r w:rsidRPr="00B17342">
              <w:t xml:space="preserve">Implement Occupational Health and Safety workplace procedures and practices including </w:t>
            </w:r>
            <w:r w:rsidRPr="00B17342">
              <w:t>the use of risk control measures as specified in the performance criteria and range statement</w:t>
            </w:r>
          </w:p>
          <w:p w:rsidR="00000000" w:rsidRPr="00B17342" w:rsidP="00B17342">
            <w:pPr>
              <w:pStyle w:val="ListBullet2"/>
            </w:pPr>
            <w:r w:rsidRPr="00B17342">
              <w:t>Apply sustainable energy principles and practices as specified in the performance criteria and range statement</w:t>
            </w:r>
          </w:p>
          <w:p w:rsidR="00000000" w:rsidRPr="00B17342" w:rsidP="00B17342">
            <w:pPr>
              <w:pStyle w:val="ListBullet2"/>
            </w:pPr>
            <w:r w:rsidRPr="00B17342">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B17342" w:rsidP="00B17342">
            <w:pPr>
              <w:pStyle w:val="ListBullet2"/>
            </w:pPr>
            <w:r w:rsidRPr="00B17342">
              <w:t>Demonst</w:t>
            </w:r>
            <w:r w:rsidRPr="00B17342">
              <w:t>rate an appropriate level of skills enabling employment</w:t>
            </w:r>
          </w:p>
          <w:p w:rsidR="00000000" w:rsidP="00B17342">
            <w:pPr>
              <w:pStyle w:val="ListBullet2"/>
              <w:rPr>
                <w:lang w:val="en-NZ"/>
              </w:rPr>
            </w:pPr>
            <w:r w:rsidRPr="00B17342">
              <w:t>Conduct work observing the relevant Anti Discrimination legislation, regulations, polices and workplace procedures</w:t>
            </w:r>
          </w:p>
        </w:tc>
      </w:tr>
      <w:tr w:rsidTr="00225E09">
        <w:tblPrEx>
          <w:tblW w:w="0" w:type="auto"/>
          <w:tblLayout w:type="fixed"/>
          <w:tblCellMar>
            <w:left w:w="62" w:type="dxa"/>
            <w:right w:w="62" w:type="dxa"/>
          </w:tblCellMar>
          <w:tblLook w:val="0000"/>
        </w:tblPrEx>
        <w:tc>
          <w:tcPr>
            <w:tcW w:w="20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p>
        </w:tc>
        <w:tc>
          <w:tcPr>
            <w:tcW w:w="6386" w:type="dxa"/>
            <w:gridSpan w:val="3"/>
            <w:tcBorders>
              <w:top w:val="nil"/>
              <w:left w:val="nil"/>
              <w:bottom w:val="nil"/>
              <w:right w:val="nil"/>
            </w:tcBorders>
            <w:tcMar>
              <w:top w:w="0" w:type="dxa"/>
              <w:left w:w="62" w:type="dxa"/>
              <w:bottom w:w="0" w:type="dxa"/>
              <w:right w:w="62" w:type="dxa"/>
            </w:tcMar>
          </w:tcPr>
          <w:p w:rsidR="00000000" w:rsidP="00B17342">
            <w:pPr>
              <w:pStyle w:val="ListBullet"/>
              <w:rPr>
                <w:lang w:val="en-NZ"/>
              </w:rPr>
            </w:pPr>
            <w:r w:rsidRPr="00B17342">
              <w:t>Demonstrated consistent performance across a representative range of contexts fr</w:t>
            </w:r>
            <w:r w:rsidRPr="00B17342">
              <w:t>om the prescribed items below:</w:t>
            </w:r>
          </w:p>
        </w:tc>
      </w:tr>
      <w:tr w:rsidTr="00225E09">
        <w:tblPrEx>
          <w:tblW w:w="0" w:type="auto"/>
          <w:tblLayout w:type="fixed"/>
          <w:tblCellMar>
            <w:left w:w="62" w:type="dxa"/>
            <w:right w:w="62" w:type="dxa"/>
          </w:tblCellMar>
          <w:tblLook w:val="0000"/>
        </w:tblPrEx>
        <w:tc>
          <w:tcPr>
            <w:tcW w:w="207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p>
        </w:tc>
        <w:tc>
          <w:tcPr>
            <w:tcW w:w="6386" w:type="dxa"/>
            <w:gridSpan w:val="3"/>
            <w:tcBorders>
              <w:top w:val="nil"/>
              <w:left w:val="nil"/>
              <w:bottom w:val="nil"/>
              <w:right w:val="nil"/>
            </w:tcBorders>
            <w:tcMar>
              <w:top w:w="0" w:type="dxa"/>
              <w:left w:w="62" w:type="dxa"/>
              <w:bottom w:w="0" w:type="dxa"/>
              <w:right w:w="62" w:type="dxa"/>
            </w:tcMar>
          </w:tcPr>
          <w:p w:rsidR="00000000" w:rsidP="00B17342">
            <w:pPr>
              <w:pStyle w:val="ListBullet2"/>
              <w:rPr>
                <w:lang w:val="en-NZ"/>
              </w:rPr>
            </w:pPr>
            <w:r w:rsidRPr="00B17342">
              <w:t>Determine thermodynamic parameters of refrigeration and air conditioning systems as described in 8) and including:</w:t>
            </w:r>
          </w:p>
        </w:tc>
      </w:tr>
      <w:tr w:rsidTr="00225E09">
        <w:tblPrEx>
          <w:tblW w:w="0" w:type="auto"/>
          <w:tblLayout w:type="fixed"/>
          <w:tblCellMar>
            <w:left w:w="62" w:type="dxa"/>
            <w:right w:w="62" w:type="dxa"/>
          </w:tblCellMar>
          <w:tblLook w:val="0000"/>
        </w:tblPrEx>
        <w:tc>
          <w:tcPr>
            <w:tcW w:w="20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A</w:t>
            </w:r>
          </w:p>
        </w:tc>
        <w:tc>
          <w:tcPr>
            <w:tcW w:w="5442"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Selecting and using appropriate measuring devices correctly</w:t>
            </w:r>
          </w:p>
        </w:tc>
      </w:tr>
      <w:tr w:rsidTr="00225E09">
        <w:tblPrEx>
          <w:tblW w:w="0" w:type="auto"/>
          <w:tblLayout w:type="fixed"/>
          <w:tblCellMar>
            <w:left w:w="62" w:type="dxa"/>
            <w:right w:w="62" w:type="dxa"/>
          </w:tblCellMar>
          <w:tblLook w:val="0000"/>
        </w:tblPrEx>
        <w:tc>
          <w:tcPr>
            <w:tcW w:w="20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B</w:t>
            </w:r>
          </w:p>
        </w:tc>
        <w:tc>
          <w:tcPr>
            <w:tcW w:w="5442"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Interpreting measurements</w:t>
            </w:r>
          </w:p>
        </w:tc>
      </w:tr>
      <w:tr w:rsidTr="00225E09">
        <w:tblPrEx>
          <w:tblW w:w="0" w:type="auto"/>
          <w:tblLayout w:type="fixed"/>
          <w:tblCellMar>
            <w:left w:w="62" w:type="dxa"/>
            <w:right w:w="62" w:type="dxa"/>
          </w:tblCellMar>
          <w:tblLook w:val="0000"/>
        </w:tblPrEx>
        <w:tc>
          <w:tcPr>
            <w:tcW w:w="20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C</w:t>
            </w:r>
          </w:p>
        </w:tc>
        <w:tc>
          <w:tcPr>
            <w:tcW w:w="5442"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Using calculation methods accurately</w:t>
            </w:r>
          </w:p>
        </w:tc>
      </w:tr>
      <w:tr w:rsidTr="00225E09">
        <w:tblPrEx>
          <w:tblW w:w="0" w:type="auto"/>
          <w:tblLayout w:type="fixed"/>
          <w:tblCellMar>
            <w:left w:w="62" w:type="dxa"/>
            <w:right w:w="62" w:type="dxa"/>
          </w:tblCellMar>
          <w:tblLook w:val="0000"/>
        </w:tblPrEx>
        <w:tc>
          <w:tcPr>
            <w:tcW w:w="20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D</w:t>
            </w:r>
          </w:p>
        </w:tc>
        <w:tc>
          <w:tcPr>
            <w:tcW w:w="5442"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Identifying parameters not within the specified range</w:t>
            </w:r>
          </w:p>
        </w:tc>
      </w:tr>
      <w:tr w:rsidTr="00225E09">
        <w:tblPrEx>
          <w:tblW w:w="0" w:type="auto"/>
          <w:tblLayout w:type="fixed"/>
          <w:tblCellMar>
            <w:left w:w="62" w:type="dxa"/>
            <w:right w:w="62" w:type="dxa"/>
          </w:tblCellMar>
          <w:tblLook w:val="0000"/>
        </w:tblPrEx>
        <w:tc>
          <w:tcPr>
            <w:tcW w:w="20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E</w:t>
            </w:r>
          </w:p>
        </w:tc>
        <w:tc>
          <w:tcPr>
            <w:tcW w:w="5442"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Documenting thermodynamic parameters correctly</w:t>
            </w:r>
          </w:p>
        </w:tc>
      </w:tr>
      <w:tr w:rsidTr="00225E09">
        <w:tblPrEx>
          <w:tblW w:w="0" w:type="auto"/>
          <w:tblLayout w:type="fixed"/>
          <w:tblCellMar>
            <w:left w:w="62" w:type="dxa"/>
            <w:right w:w="62" w:type="dxa"/>
          </w:tblCellMar>
          <w:tblLook w:val="0000"/>
        </w:tblPrEx>
        <w:tc>
          <w:tcPr>
            <w:tcW w:w="20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F</w:t>
            </w:r>
          </w:p>
        </w:tc>
        <w:tc>
          <w:tcPr>
            <w:tcW w:w="5442"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Dealing with unplanned events by drawing on essential knowledge and skills to provide appropriate s</w:t>
            </w:r>
            <w:r w:rsidRPr="00B17342">
              <w:t>olutions incorporated in the holistic assessment with the above listed items</w:t>
            </w:r>
          </w:p>
        </w:tc>
      </w:tr>
      <w:tr w:rsidTr="00225E09">
        <w:tblPrEx>
          <w:tblW w:w="0" w:type="auto"/>
          <w:tblLayout w:type="fixed"/>
          <w:tblCellMar>
            <w:left w:w="62" w:type="dxa"/>
            <w:right w:w="62" w:type="dxa"/>
          </w:tblCellMar>
          <w:tblLook w:val="0000"/>
        </w:tblPrEx>
        <w:tc>
          <w:tcPr>
            <w:tcW w:w="20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6" w:type="dxa"/>
            <w:gridSpan w:val="3"/>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 xml:space="preserve">Note: </w:t>
            </w:r>
            <w:r w:rsidRPr="00B17342">
              <w:br/>
              <w:t xml:space="preserve">Successful completion of relevant vendor training may be used to contribute to evidence on which competency is deemed. In these cases the alignment of outcomes of vendor </w:t>
            </w:r>
            <w:r w:rsidRPr="00B17342">
              <w:t>training with performance criteria and critical aspects of evidence shall be clearly identified</w:t>
            </w:r>
          </w:p>
        </w:tc>
      </w:tr>
      <w:tr w:rsidTr="00225E09">
        <w:tblPrEx>
          <w:tblW w:w="0" w:type="auto"/>
          <w:tblLayout w:type="fixed"/>
          <w:tblCellMar>
            <w:left w:w="62" w:type="dxa"/>
            <w:right w:w="62" w:type="dxa"/>
          </w:tblCellMar>
          <w:tblLook w:val="0000"/>
        </w:tblPrEx>
        <w:tc>
          <w:tcPr>
            <w:tcW w:w="2074"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rPr>
                <w:rStyle w:val="SpecialBold"/>
              </w:rPr>
              <w:t>Context of and specific resources for assessment</w:t>
            </w:r>
          </w:p>
        </w:tc>
        <w:tc>
          <w:tcPr>
            <w:tcW w:w="6386" w:type="dxa"/>
            <w:gridSpan w:val="3"/>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rPr>
                <w:rStyle w:val="SpecialBold"/>
              </w:rPr>
              <w:t>9</w:t>
            </w:r>
            <w:r w:rsidRPr="00B17342">
              <w:t>.</w:t>
            </w:r>
            <w:r w:rsidRPr="00B17342">
              <w:rPr>
                <w:rStyle w:val="SpecialBold"/>
              </w:rPr>
              <w:t>3</w:t>
            </w:r>
            <w:r w:rsidRPr="00B17342">
              <w:t xml:space="preserve">) </w:t>
            </w:r>
          </w:p>
          <w:p w:rsidR="00000000" w:rsidRPr="00B17342" w:rsidP="00B17342">
            <w:pPr>
              <w:pStyle w:val="BodyText"/>
            </w:pPr>
            <w:r w:rsidRPr="00B17342">
              <w:t>This unit should be assessed as it relates to normal work practice using procedures, information and r</w:t>
            </w:r>
            <w:r w:rsidRPr="00B17342">
              <w:t>esources typical of a workplace. This should include:</w:t>
            </w:r>
          </w:p>
          <w:p w:rsidR="00000000" w:rsidRPr="00B17342" w:rsidP="00B17342">
            <w:pPr>
              <w:pStyle w:val="ListBullet"/>
            </w:pPr>
            <w:r w:rsidRPr="00B17342">
              <w:t>OHS policy and work procedures and instructions.</w:t>
            </w:r>
          </w:p>
          <w:p w:rsidR="00000000" w:rsidRPr="00B17342" w:rsidP="00B17342">
            <w:pPr>
              <w:pStyle w:val="ListBullet"/>
            </w:pPr>
            <w:r w:rsidRPr="00B17342">
              <w:t>Suitable work environment, facilities, equipment and materials to undertake actual work as prescribed by this unit.</w:t>
            </w:r>
          </w:p>
          <w:p w:rsidR="00000000" w:rsidRPr="00B17342" w:rsidP="00B17342">
            <w:pPr>
              <w:pStyle w:val="BodyText"/>
            </w:pPr>
            <w:r w:rsidRPr="00B17342">
              <w:t>These should be part of the fo</w:t>
            </w:r>
            <w:r w:rsidRPr="00B17342">
              <w:t>rmal learning/assessment environment.</w:t>
            </w:r>
          </w:p>
          <w:p w:rsidR="00000000" w:rsidRPr="00B17342" w:rsidP="00B17342">
            <w:pPr>
              <w:pStyle w:val="BodyText"/>
            </w:pPr>
            <w:r w:rsidRPr="00B17342">
              <w:t>Note:</w:t>
            </w:r>
          </w:p>
          <w:p w:rsidR="00000000" w:rsidP="00B17342">
            <w:pPr>
              <w:pStyle w:val="BodyText"/>
              <w:rPr>
                <w:lang w:val="en-NZ"/>
              </w:rPr>
            </w:pPr>
            <w:r w:rsidRPr="00B17342">
              <w:t>Where simulation is considered a suitable strategy for assessment, conditions must be authentic and as far as possible reproduce and replicate the workplace and be consistent with the approved industry simulation</w:t>
            </w:r>
            <w:r w:rsidRPr="00B17342">
              <w:t xml:space="preserve"> policy.</w:t>
            </w:r>
          </w:p>
        </w:tc>
      </w:tr>
      <w:tr w:rsidTr="00225E09">
        <w:tblPrEx>
          <w:tblW w:w="0" w:type="auto"/>
          <w:tblLayout w:type="fixed"/>
          <w:tblCellMar>
            <w:left w:w="62" w:type="dxa"/>
            <w:right w:w="62" w:type="dxa"/>
          </w:tblCellMar>
          <w:tblLook w:val="0000"/>
        </w:tblPrEx>
        <w:tc>
          <w:tcPr>
            <w:tcW w:w="20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6" w:type="dxa"/>
            <w:gridSpan w:val="3"/>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Evidence should show demonstrated competency in determining thermodynamic parameters of refrigeration and air conditioning systems.</w:t>
            </w:r>
          </w:p>
        </w:tc>
      </w:tr>
      <w:tr w:rsidTr="00225E09">
        <w:tblPrEx>
          <w:tblW w:w="0" w:type="auto"/>
          <w:tblLayout w:type="fixed"/>
          <w:tblCellMar>
            <w:left w:w="62" w:type="dxa"/>
            <w:right w:w="62" w:type="dxa"/>
          </w:tblCellMar>
          <w:tblLook w:val="0000"/>
        </w:tblPrEx>
        <w:tc>
          <w:tcPr>
            <w:tcW w:w="2074"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rPr>
                <w:rStyle w:val="SpecialBold"/>
              </w:rPr>
              <w:t>Method of assessment</w:t>
            </w:r>
          </w:p>
        </w:tc>
        <w:tc>
          <w:tcPr>
            <w:tcW w:w="6386" w:type="dxa"/>
            <w:gridSpan w:val="3"/>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rPr>
                <w:rStyle w:val="SpecialBold"/>
              </w:rPr>
              <w:t>9</w:t>
            </w:r>
            <w:r w:rsidRPr="00B17342">
              <w:t>.</w:t>
            </w:r>
            <w:r w:rsidRPr="00B17342">
              <w:rPr>
                <w:rStyle w:val="SpecialBold"/>
              </w:rPr>
              <w:t>4</w:t>
            </w:r>
            <w:r w:rsidRPr="00B17342">
              <w:t xml:space="preserve">) </w:t>
            </w:r>
          </w:p>
          <w:p w:rsidR="00000000" w:rsidRPr="00B17342" w:rsidP="00B17342">
            <w:pPr>
              <w:pStyle w:val="BodyText"/>
            </w:pPr>
            <w:r w:rsidRPr="00B17342">
              <w:t>This unit shall be assessed by methods given in Volume 1, Part 3 'Assessment Guidelines'.</w:t>
            </w:r>
          </w:p>
          <w:p w:rsidR="00000000" w:rsidP="00B17342">
            <w:pPr>
              <w:pStyle w:val="BodyText"/>
              <w:rPr>
                <w:lang w:val="en-NZ"/>
              </w:rPr>
            </w:pPr>
            <w:r w:rsidRPr="00B17342">
              <w:t xml:space="preserve">Note: </w:t>
            </w:r>
            <w:r w:rsidRPr="00B17342">
              <w:br/>
              <w:t>Competent performance with inherent safe working practices is expected in the Industry to which this unit applies. This requires assessment in a structured env</w:t>
            </w:r>
            <w:r w:rsidRPr="00B17342">
              <w:t>ironment which is intended primarily for learning/assessment and incorporates all necessary equipment and facilities for learners to develop and demonstrate the essential knowledge and skills described in this unit.</w:t>
            </w:r>
          </w:p>
        </w:tc>
      </w:tr>
      <w:tr w:rsidTr="00225E09">
        <w:tblPrEx>
          <w:tblW w:w="0" w:type="auto"/>
          <w:tblLayout w:type="fixed"/>
          <w:tblCellMar>
            <w:left w:w="62" w:type="dxa"/>
            <w:right w:w="62" w:type="dxa"/>
          </w:tblCellMar>
          <w:tblLook w:val="0000"/>
        </w:tblPrEx>
        <w:tc>
          <w:tcPr>
            <w:tcW w:w="2074" w:type="dxa"/>
            <w:vMerge w:val="restart"/>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rPr>
                <w:rStyle w:val="SpecialBold"/>
              </w:rPr>
              <w:t>Concurrent assessment and relationshi</w:t>
            </w:r>
            <w:r w:rsidRPr="00B17342">
              <w:rPr>
                <w:rStyle w:val="SpecialBold"/>
              </w:rPr>
              <w:t>p with other units</w:t>
            </w:r>
          </w:p>
        </w:tc>
        <w:tc>
          <w:tcPr>
            <w:tcW w:w="6386" w:type="dxa"/>
            <w:gridSpan w:val="3"/>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rPr>
                <w:rStyle w:val="SpecialBold"/>
              </w:rPr>
              <w:t>9</w:t>
            </w:r>
            <w:r w:rsidRPr="00B17342">
              <w:t>.</w:t>
            </w:r>
            <w:r w:rsidRPr="00B17342">
              <w:rPr>
                <w:rStyle w:val="SpecialBold"/>
              </w:rPr>
              <w:t>5</w:t>
            </w:r>
            <w:r w:rsidRPr="00B17342">
              <w:t>)</w:t>
            </w:r>
          </w:p>
        </w:tc>
      </w:tr>
      <w:tr w:rsidTr="00225E09">
        <w:tblPrEx>
          <w:tblW w:w="0" w:type="auto"/>
          <w:tblLayout w:type="fixed"/>
          <w:tblCellMar>
            <w:left w:w="62" w:type="dxa"/>
            <w:right w:w="62" w:type="dxa"/>
          </w:tblCellMar>
          <w:tblLook w:val="0000"/>
        </w:tblPrEx>
        <w:tc>
          <w:tcPr>
            <w:tcW w:w="207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86" w:type="dxa"/>
            <w:gridSpan w:val="3"/>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t>There are no concurrent assessment recommendations for this unit.</w:t>
            </w:r>
          </w:p>
        </w:tc>
      </w:tr>
    </w:tbl>
    <w:p w:rsidR="00225E09" w:rsidP="00B17342">
      <w:pPr>
        <w:pStyle w:val="BodyText"/>
      </w:pPr>
    </w:p>
    <w:p w:rsidR="00225E09" w:rsidP="00B17342">
      <w:pPr>
        <w:pStyle w:val="BodyText"/>
      </w:pPr>
    </w:p>
    <w:p w:rsidR="00000000" w:rsidRPr="00B17342" w:rsidP="00B17342">
      <w:pPr>
        <w:pStyle w:val="Heading1"/>
      </w:pPr>
      <w:bookmarkStart w:id="11" w:name="O_589742"/>
      <w:bookmarkEnd w:id="11"/>
      <w:r w:rsidRPr="00B17342">
        <w:t>Range Statement</w:t>
      </w:r>
    </w:p>
    <w:tbl>
      <w:tblPr>
        <w:tblW w:w="0" w:type="auto"/>
        <w:tblLayout w:type="fixed"/>
        <w:tblCellMar>
          <w:left w:w="62" w:type="dxa"/>
          <w:right w:w="62" w:type="dxa"/>
        </w:tblCellMar>
        <w:tblLook w:val="0000"/>
      </w:tblPr>
      <w:tblGrid>
        <w:gridCol w:w="8460"/>
      </w:tblGrid>
      <w:tr w:rsidTr="00225E09">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rPr>
                <w:rStyle w:val="SpecialBold"/>
              </w:rPr>
              <w:t>RANGE STATEMENT</w:t>
            </w:r>
          </w:p>
        </w:tc>
      </w:tr>
      <w:tr w:rsidTr="00225E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rPr>
                <w:rStyle w:val="SpecialBold"/>
              </w:rPr>
              <w:t>8</w:t>
            </w:r>
            <w:r w:rsidRPr="00B17342">
              <w:t>) This relates to the unit as a whole providing the range of contexts and conditions to which the performance criteria apply. It allows for different work environments and situations that will affect performance.</w:t>
            </w:r>
          </w:p>
        </w:tc>
      </w:tr>
      <w:tr w:rsidTr="00225E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This unit must be demonstrated in relation to determining thermodynamic parameters using measurement and calculation methods of a refrigeration or air conditioning system, including temperature, pressure, relative humidity and enthalpy.</w:t>
            </w:r>
          </w:p>
        </w:tc>
      </w:tr>
      <w:tr w:rsidTr="00225E09">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t>Generic terms used</w:t>
            </w:r>
            <w:r w:rsidRPr="00B17342">
              <w:t xml:space="preserve"> throughout this Vocational Standard shall be regarded as part of the Range Statement in which competency is demonstrated. The definition of these and other terms that apply are given in Volume 2, Part 2.1.</w:t>
            </w:r>
          </w:p>
        </w:tc>
      </w:tr>
    </w:tbl>
    <w:p w:rsidR="00225E09" w:rsidP="00B17342">
      <w:pPr>
        <w:pStyle w:val="BodyText"/>
      </w:pPr>
    </w:p>
    <w:p w:rsidR="00225E09" w:rsidP="00B17342">
      <w:pPr>
        <w:pStyle w:val="BodyText"/>
      </w:pPr>
    </w:p>
    <w:p w:rsidR="00000000" w:rsidRPr="00B17342" w:rsidP="00B17342">
      <w:pPr>
        <w:pStyle w:val="Heading1"/>
      </w:pPr>
      <w:bookmarkStart w:id="12" w:name="O_589741"/>
      <w:bookmarkEnd w:id="12"/>
      <w:r w:rsidRPr="00B17342">
        <w:t>Unit Sector(s)</w:t>
      </w:r>
    </w:p>
    <w:p w:rsidR="00000000" w:rsidRPr="00B17342" w:rsidP="00B17342">
      <w:pPr>
        <w:pStyle w:val="BodyText"/>
      </w:pPr>
      <w:r w:rsidRPr="00B17342">
        <w:t>Not Applicable</w:t>
      </w:r>
    </w:p>
    <w:p w:rsidR="00000000" w:rsidRPr="00B17342" w:rsidP="00B17342">
      <w:pPr>
        <w:pStyle w:val="AllowPageBreak"/>
      </w:pPr>
    </w:p>
    <w:p w:rsidR="00000000" w:rsidRPr="00B17342" w:rsidP="00B17342">
      <w:pPr>
        <w:pStyle w:val="Heading1"/>
      </w:pPr>
      <w:bookmarkStart w:id="13" w:name="O_589740"/>
      <w:bookmarkEnd w:id="13"/>
      <w:r w:rsidRPr="00B17342">
        <w:t>Competency Field</w:t>
      </w:r>
    </w:p>
    <w:tbl>
      <w:tblPr>
        <w:tblW w:w="0" w:type="auto"/>
        <w:tblLayout w:type="fixed"/>
        <w:tblCellMar>
          <w:left w:w="62" w:type="dxa"/>
          <w:right w:w="62" w:type="dxa"/>
        </w:tblCellMar>
        <w:tblLook w:val="0000"/>
      </w:tblPr>
      <w:tblGrid>
        <w:gridCol w:w="1459"/>
        <w:gridCol w:w="1184"/>
        <w:gridCol w:w="1733"/>
        <w:gridCol w:w="1184"/>
        <w:gridCol w:w="1716"/>
        <w:gridCol w:w="1184"/>
      </w:tblGrid>
      <w:tr w:rsidTr="00225E09">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rPr>
                <w:rStyle w:val="SpecialBold"/>
              </w:rPr>
              <w:t>2</w:t>
            </w:r>
            <w:r w:rsidRPr="00B17342">
              <w:t>.</w:t>
            </w:r>
            <w:r w:rsidRPr="00B17342">
              <w:rPr>
                <w:rStyle w:val="SpecialBold"/>
              </w:rPr>
              <w:t>2</w:t>
            </w:r>
            <w:r w:rsidRPr="00B17342">
              <w:t xml:space="preserve">) </w:t>
            </w:r>
            <w:r w:rsidRPr="00B17342">
              <w:rPr>
                <w:rStyle w:val="SpecialBold"/>
              </w:rPr>
              <w:t>Literacy and numeracy skills</w:t>
            </w:r>
          </w:p>
          <w:p w:rsidR="00000000" w:rsidP="00B17342">
            <w:pPr>
              <w:pStyle w:val="BodyText"/>
              <w:rPr>
                <w:lang w:val="en-NZ"/>
              </w:rPr>
            </w:pPr>
            <w:r w:rsidRPr="00B17342">
              <w:t>Participants are best equipped to achieve competency in this unit if they have reading, writing and numeracy skills indicated by the following scales. Description of each scale is given i</w:t>
            </w:r>
            <w:r w:rsidRPr="00B17342">
              <w:t>n Volume 2, Part 3 'Literacy and Numeracy'</w:t>
            </w:r>
          </w:p>
        </w:tc>
      </w:tr>
      <w:tr w:rsidTr="00225E09">
        <w:tblPrEx>
          <w:tblW w:w="0" w:type="auto"/>
          <w:tblLayout w:type="fixed"/>
          <w:tblCellMar>
            <w:left w:w="62" w:type="dxa"/>
            <w:right w:w="62" w:type="dxa"/>
          </w:tblCellMar>
          <w:tblLook w:val="0000"/>
        </w:tblPrEx>
        <w:tc>
          <w:tcPr>
            <w:tcW w:w="1459"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Reading</w:t>
            </w:r>
          </w:p>
        </w:tc>
        <w:tc>
          <w:tcPr>
            <w:tcW w:w="118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4</w:t>
            </w:r>
          </w:p>
        </w:tc>
        <w:tc>
          <w:tcPr>
            <w:tcW w:w="1733"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Writing</w:t>
            </w:r>
          </w:p>
        </w:tc>
        <w:tc>
          <w:tcPr>
            <w:tcW w:w="1184"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4</w:t>
            </w:r>
          </w:p>
        </w:tc>
        <w:tc>
          <w:tcPr>
            <w:tcW w:w="1716"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t>Numeracy</w:t>
            </w:r>
          </w:p>
        </w:tc>
        <w:tc>
          <w:tcPr>
            <w:tcW w:w="1184"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t>4</w:t>
            </w:r>
          </w:p>
        </w:tc>
      </w:tr>
    </w:tbl>
    <w:p w:rsidR="00225E09" w:rsidP="00B17342">
      <w:pPr>
        <w:pStyle w:val="BodyText"/>
      </w:pPr>
    </w:p>
    <w:p w:rsidR="00225E09" w:rsidP="00B17342">
      <w:pPr>
        <w:pStyle w:val="BodyText"/>
      </w:pPr>
    </w:p>
    <w:p w:rsidR="00000000" w:rsidRPr="00B17342" w:rsidP="00B17342">
      <w:pPr>
        <w:pStyle w:val="Heading1"/>
      </w:pPr>
      <w:bookmarkStart w:id="14" w:name="O_589739"/>
      <w:bookmarkEnd w:id="14"/>
      <w:r w:rsidRPr="00B17342">
        <w:t>2.2) Literacy and numeracy skills</w:t>
      </w:r>
    </w:p>
    <w:tbl>
      <w:tblPr>
        <w:tblW w:w="0" w:type="auto"/>
        <w:tblLayout w:type="fixed"/>
        <w:tblCellMar>
          <w:left w:w="62" w:type="dxa"/>
          <w:right w:w="62" w:type="dxa"/>
        </w:tblCellMar>
        <w:tblLook w:val="0000"/>
      </w:tblPr>
      <w:tblGrid>
        <w:gridCol w:w="2701"/>
        <w:gridCol w:w="5759"/>
      </w:tblGrid>
      <w:tr w:rsidTr="00225E09">
        <w:tblPrEx>
          <w:tblW w:w="0" w:type="auto"/>
          <w:tblLayout w:type="fixed"/>
          <w:tblCellMar>
            <w:left w:w="62" w:type="dxa"/>
            <w:right w:w="62" w:type="dxa"/>
          </w:tblCellMar>
          <w:tblLook w:val="0000"/>
        </w:tblPrEx>
        <w:trPr>
          <w:tblHeader/>
        </w:trPr>
        <w:tc>
          <w:tcPr>
            <w:tcW w:w="2701"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rPr>
                <w:rStyle w:val="SpecialBold"/>
              </w:rPr>
              <w:t>Competency Field</w:t>
            </w:r>
          </w:p>
        </w:tc>
        <w:tc>
          <w:tcPr>
            <w:tcW w:w="5759" w:type="dxa"/>
            <w:tcBorders>
              <w:top w:val="nil"/>
              <w:left w:val="nil"/>
              <w:bottom w:val="nil"/>
              <w:right w:val="nil"/>
            </w:tcBorders>
            <w:tcMar>
              <w:top w:w="0" w:type="dxa"/>
              <w:left w:w="62" w:type="dxa"/>
              <w:bottom w:w="0" w:type="dxa"/>
              <w:right w:w="62" w:type="dxa"/>
            </w:tcMar>
          </w:tcPr>
          <w:p w:rsidR="00000000" w:rsidP="00B17342">
            <w:pPr>
              <w:pStyle w:val="BodyText"/>
              <w:rPr>
                <w:lang w:val="en-NZ"/>
              </w:rPr>
            </w:pPr>
            <w:r w:rsidRPr="00B17342">
              <w:rPr>
                <w:rStyle w:val="SpecialBold"/>
              </w:rPr>
              <w:t>5</w:t>
            </w:r>
            <w:r w:rsidRPr="00B17342">
              <w:t>)</w:t>
            </w:r>
          </w:p>
        </w:tc>
      </w:tr>
      <w:tr w:rsidTr="00225E09">
        <w:tblPrEx>
          <w:tblW w:w="0" w:type="auto"/>
          <w:tblLayout w:type="fixed"/>
          <w:tblCellMar>
            <w:left w:w="62" w:type="dxa"/>
            <w:right w:w="62" w:type="dxa"/>
          </w:tblCellMar>
          <w:tblLook w:val="0000"/>
        </w:tblPrEx>
        <w:tc>
          <w:tcPr>
            <w:tcW w:w="270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59" w:type="dxa"/>
            <w:tcBorders>
              <w:top w:val="nil"/>
              <w:left w:val="nil"/>
              <w:bottom w:val="nil"/>
              <w:right w:val="nil"/>
            </w:tcBorders>
            <w:tcMar>
              <w:top w:w="0" w:type="dxa"/>
              <w:left w:w="62" w:type="dxa"/>
              <w:bottom w:w="0" w:type="dxa"/>
              <w:right w:w="62" w:type="dxa"/>
            </w:tcMar>
          </w:tcPr>
          <w:p w:rsidR="00000000" w:rsidRPr="00B17342" w:rsidP="00B17342">
            <w:pPr>
              <w:pStyle w:val="BodyText"/>
            </w:pPr>
            <w:r w:rsidRPr="00B17342">
              <w:t>Refrigeration and Air Conditioning</w:t>
            </w:r>
          </w:p>
        </w:tc>
      </w:tr>
    </w:tbl>
    <w:p w:rsidR="00225E09" w:rsidP="00B17342">
      <w:pPr>
        <w:pStyle w:val="BodyText"/>
      </w:pPr>
    </w:p>
    <w:p w:rsidR="00225E09" w:rsidP="00B17342">
      <w:pPr>
        <w:pStyle w:val="BodyText"/>
      </w:pPr>
    </w:p>
    <w:p w:rsidR="00000000" w:rsidRPr="00B17342" w:rsidP="00B17342"/>
    <w:sectPr w:rsidSect="00B173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3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342" w:rsidRPr="00225E09" w:rsidP="00225E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3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E09" w:rsidP="00B173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25E09" w:rsidP="00B1734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225E09" w:rsidP="00B1734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3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342" w:rsidRPr="00225E09" w:rsidP="00225E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73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E09" w:rsidRPr="002D2AF8" w:rsidP="00B17342">
    <w:pPr>
      <w:pStyle w:val="Header"/>
      <w:framePr w:wrap="around"/>
    </w:pPr>
    <w:r>
      <w:fldChar w:fldCharType="begin"/>
    </w:r>
    <w:r>
      <w:instrText xml:space="preserve"> TITLE   \* MERGEFORMAT </w:instrText>
    </w:r>
    <w:r>
      <w:fldChar w:fldCharType="separate"/>
    </w:r>
    <w:r>
      <w:t>UEENEEJ127A Establish the thermodynamic parameters of refrigeration and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225E09" w:rsidP="00B1734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30E5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A0ED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10B7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734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7342"/>
    <w:pPr>
      <w:spacing w:before="360" w:after="60"/>
      <w:outlineLvl w:val="0"/>
    </w:pPr>
    <w:rPr>
      <w:sz w:val="32"/>
    </w:rPr>
  </w:style>
  <w:style w:type="paragraph" w:styleId="Heading2">
    <w:name w:val="heading 2"/>
    <w:basedOn w:val="HeadingBase"/>
    <w:next w:val="BodyText"/>
    <w:link w:val="Heading2Char"/>
    <w:qFormat/>
    <w:rsid w:val="00B17342"/>
    <w:pPr>
      <w:keepLines/>
      <w:spacing w:before="240" w:after="120"/>
      <w:outlineLvl w:val="1"/>
    </w:pPr>
    <w:rPr>
      <w:sz w:val="28"/>
      <w:szCs w:val="40"/>
    </w:rPr>
  </w:style>
  <w:style w:type="paragraph" w:styleId="Heading3">
    <w:name w:val="heading 3"/>
    <w:basedOn w:val="HeadingBase"/>
    <w:next w:val="BodyText"/>
    <w:link w:val="Heading3Char"/>
    <w:qFormat/>
    <w:rsid w:val="00B17342"/>
    <w:pPr>
      <w:spacing w:before="180" w:after="120"/>
      <w:outlineLvl w:val="2"/>
    </w:pPr>
    <w:rPr>
      <w:spacing w:val="-10"/>
      <w:kern w:val="32"/>
    </w:rPr>
  </w:style>
  <w:style w:type="paragraph" w:styleId="Heading4">
    <w:name w:val="heading 4"/>
    <w:basedOn w:val="HeadingBase"/>
    <w:next w:val="BodyText"/>
    <w:link w:val="Heading4Char"/>
    <w:qFormat/>
    <w:rsid w:val="00B17342"/>
    <w:pPr>
      <w:spacing w:before="160" w:after="120"/>
      <w:outlineLvl w:val="3"/>
    </w:pPr>
    <w:rPr>
      <w:sz w:val="22"/>
    </w:rPr>
  </w:style>
  <w:style w:type="paragraph" w:styleId="Heading5">
    <w:name w:val="heading 5"/>
    <w:basedOn w:val="HeadingBase"/>
    <w:next w:val="Normal"/>
    <w:link w:val="Heading5Char"/>
    <w:qFormat/>
    <w:rsid w:val="00B17342"/>
    <w:pPr>
      <w:spacing w:before="80"/>
      <w:outlineLvl w:val="4"/>
    </w:pPr>
    <w:rPr>
      <w:color w:val="918585"/>
      <w:sz w:val="20"/>
    </w:rPr>
  </w:style>
  <w:style w:type="paragraph" w:styleId="Heading6">
    <w:name w:val="heading 6"/>
    <w:basedOn w:val="HeadingBase"/>
    <w:next w:val="Normal"/>
    <w:link w:val="Heading6Char"/>
    <w:qFormat/>
    <w:rsid w:val="00B17342"/>
    <w:pPr>
      <w:spacing w:before="60"/>
      <w:outlineLvl w:val="5"/>
    </w:pPr>
    <w:rPr>
      <w:color w:val="918585"/>
      <w:sz w:val="20"/>
    </w:rPr>
  </w:style>
  <w:style w:type="paragraph" w:styleId="Heading7">
    <w:name w:val="heading 7"/>
    <w:basedOn w:val="Normal"/>
    <w:next w:val="Normal"/>
    <w:link w:val="Heading7Char"/>
    <w:qFormat/>
    <w:rsid w:val="00B17342"/>
    <w:pPr>
      <w:ind w:left="720"/>
      <w:outlineLvl w:val="6"/>
    </w:pPr>
    <w:rPr>
      <w:i/>
    </w:rPr>
  </w:style>
  <w:style w:type="paragraph" w:styleId="Heading8">
    <w:name w:val="heading 8"/>
    <w:basedOn w:val="Normal"/>
    <w:next w:val="Normal"/>
    <w:link w:val="Heading8Char"/>
    <w:qFormat/>
    <w:rsid w:val="00B17342"/>
    <w:pPr>
      <w:ind w:left="720"/>
      <w:outlineLvl w:val="7"/>
    </w:pPr>
    <w:rPr>
      <w:i/>
    </w:rPr>
  </w:style>
  <w:style w:type="paragraph" w:styleId="Heading9">
    <w:name w:val="heading 9"/>
    <w:basedOn w:val="Normal"/>
    <w:next w:val="Normal"/>
    <w:link w:val="Heading9Char"/>
    <w:qFormat/>
    <w:rsid w:val="00B17342"/>
    <w:pPr>
      <w:ind w:left="720"/>
      <w:outlineLvl w:val="8"/>
    </w:pPr>
    <w:rPr>
      <w:i/>
    </w:rPr>
  </w:style>
  <w:style w:type="character" w:default="1" w:styleId="DefaultParagraphFont">
    <w:name w:val="Default Paragraph Font"/>
    <w:uiPriority w:val="1"/>
    <w:unhideWhenUsed/>
    <w:rsid w:val="00B173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7342"/>
  </w:style>
  <w:style w:type="character" w:customStyle="1" w:styleId="Heading1Char">
    <w:name w:val="Heading 1 Char"/>
    <w:basedOn w:val="DefaultParagraphFont"/>
    <w:link w:val="Heading1"/>
    <w:rsid w:val="00B17342"/>
    <w:rPr>
      <w:rFonts w:ascii="Times New Roman" w:eastAsia="Times New Roman" w:hAnsi="Times New Roman" w:cs="Times New Roman"/>
      <w:b/>
      <w:sz w:val="32"/>
      <w:szCs w:val="20"/>
      <w:lang w:eastAsia="en-US"/>
    </w:rPr>
  </w:style>
  <w:style w:type="paragraph" w:styleId="BodyText">
    <w:name w:val="Body Text"/>
    <w:basedOn w:val="Normal"/>
    <w:link w:val="BodyTextChar"/>
    <w:rsid w:val="00B173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7342"/>
    <w:rPr>
      <w:rFonts w:ascii="Times New Roman" w:eastAsia="Times New Roman" w:hAnsi="Times New Roman" w:cs="Times New Roman"/>
      <w:sz w:val="24"/>
      <w:lang w:eastAsia="en-US"/>
    </w:rPr>
  </w:style>
  <w:style w:type="paragraph" w:styleId="ListBullet">
    <w:name w:val="List Bullet"/>
    <w:basedOn w:val="List"/>
    <w:rsid w:val="00B17342"/>
    <w:pPr>
      <w:numPr>
        <w:numId w:val="13"/>
      </w:numPr>
      <w:tabs>
        <w:tab w:val="clear" w:pos="340"/>
      </w:tabs>
      <w:spacing w:before="40" w:after="40"/>
    </w:pPr>
  </w:style>
  <w:style w:type="character" w:customStyle="1" w:styleId="SpecialBold">
    <w:name w:val="Special Bold"/>
    <w:basedOn w:val="DefaultParagraphFont"/>
    <w:rsid w:val="00B17342"/>
    <w:rPr>
      <w:b/>
      <w:spacing w:val="0"/>
    </w:rPr>
  </w:style>
  <w:style w:type="paragraph" w:styleId="ListBullet2">
    <w:name w:val="List Bullet 2"/>
    <w:basedOn w:val="List2"/>
    <w:rsid w:val="00B17342"/>
    <w:pPr>
      <w:numPr>
        <w:numId w:val="14"/>
      </w:numPr>
      <w:tabs>
        <w:tab w:val="clear" w:pos="680"/>
      </w:tabs>
    </w:pPr>
  </w:style>
  <w:style w:type="paragraph" w:customStyle="1" w:styleId="SuperHeading">
    <w:name w:val="SuperHeading"/>
    <w:basedOn w:val="Normal"/>
    <w:rsid w:val="00B17342"/>
    <w:pPr>
      <w:spacing w:before="240" w:after="120"/>
      <w:outlineLvl w:val="0"/>
    </w:pPr>
    <w:rPr>
      <w:rFonts w:ascii="Times New Roman" w:hAnsi="Times New Roman"/>
      <w:b/>
      <w:sz w:val="32"/>
    </w:rPr>
  </w:style>
  <w:style w:type="paragraph" w:customStyle="1" w:styleId="AllowPageBreak">
    <w:name w:val="AllowPageBreak"/>
    <w:rsid w:val="00B1734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73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73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73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73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73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734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734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7342"/>
    <w:rPr>
      <w:rFonts w:ascii="Courier New" w:eastAsia="Times New Roman" w:hAnsi="Courier New" w:cs="Times New Roman"/>
      <w:i/>
      <w:szCs w:val="20"/>
      <w:lang w:eastAsia="en-US"/>
    </w:rPr>
  </w:style>
  <w:style w:type="paragraph" w:customStyle="1" w:styleId="HeadingBase">
    <w:name w:val="Heading Base"/>
    <w:rsid w:val="00B173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7342"/>
    <w:pPr>
      <w:tabs>
        <w:tab w:val="right" w:leader="dot" w:pos="9072"/>
      </w:tabs>
      <w:ind w:left="567"/>
    </w:pPr>
    <w:rPr>
      <w:szCs w:val="22"/>
    </w:rPr>
  </w:style>
  <w:style w:type="paragraph" w:customStyle="1" w:styleId="TOCBase">
    <w:name w:val="TOC Base"/>
    <w:rsid w:val="00B173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7342"/>
    <w:pPr>
      <w:tabs>
        <w:tab w:val="right" w:leader="dot" w:pos="9072"/>
      </w:tabs>
      <w:spacing w:before="40" w:after="40"/>
      <w:ind w:left="284"/>
    </w:pPr>
    <w:rPr>
      <w:rFonts w:ascii="Times New Roman" w:hAnsi="Times New Roman"/>
    </w:rPr>
  </w:style>
  <w:style w:type="paragraph" w:styleId="TOC1">
    <w:name w:val="toc 1"/>
    <w:basedOn w:val="TOCBase"/>
    <w:next w:val="Normal"/>
    <w:rsid w:val="00B1734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73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7342"/>
    <w:rPr>
      <w:rFonts w:ascii="Times New Roman" w:eastAsia="Times New Roman" w:hAnsi="Times New Roman" w:cs="Times New Roman"/>
      <w:sz w:val="16"/>
      <w:lang w:eastAsia="en-US"/>
    </w:rPr>
  </w:style>
  <w:style w:type="paragraph" w:styleId="Title">
    <w:name w:val="Title"/>
    <w:basedOn w:val="HeadingBase"/>
    <w:link w:val="TitleChar"/>
    <w:qFormat/>
    <w:rsid w:val="00B17342"/>
    <w:pPr>
      <w:spacing w:before="5040"/>
      <w:jc w:val="center"/>
    </w:pPr>
    <w:rPr>
      <w:sz w:val="48"/>
      <w:szCs w:val="72"/>
      <w:lang w:val="en-US"/>
    </w:rPr>
  </w:style>
  <w:style w:type="character" w:customStyle="1" w:styleId="TitleChar">
    <w:name w:val="Title Char"/>
    <w:basedOn w:val="DefaultParagraphFont"/>
    <w:link w:val="Title"/>
    <w:rsid w:val="00B173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7342"/>
    <w:pPr>
      <w:tabs>
        <w:tab w:val="left" w:pos="3600"/>
        <w:tab w:val="left" w:pos="3958"/>
      </w:tabs>
    </w:pPr>
  </w:style>
  <w:style w:type="paragraph" w:styleId="List">
    <w:name w:val="List"/>
    <w:basedOn w:val="BodyText"/>
    <w:next w:val="BodyText"/>
    <w:rsid w:val="00B17342"/>
    <w:pPr>
      <w:tabs>
        <w:tab w:val="left" w:pos="340"/>
      </w:tabs>
      <w:spacing w:before="60" w:after="60"/>
      <w:ind w:left="340" w:hanging="340"/>
    </w:pPr>
  </w:style>
  <w:style w:type="paragraph" w:customStyle="1" w:styleId="Note">
    <w:name w:val="Note"/>
    <w:basedOn w:val="BodyText"/>
    <w:rsid w:val="00B173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7342"/>
    <w:pPr>
      <w:framePr w:wrap="auto" w:hAnchor="text" w:y="6049"/>
    </w:pPr>
    <w:rPr>
      <w:color w:val="000000"/>
      <w:sz w:val="40"/>
    </w:rPr>
  </w:style>
  <w:style w:type="paragraph" w:customStyle="1" w:styleId="TOCTitle">
    <w:name w:val="TOCTitle"/>
    <w:basedOn w:val="Heading1"/>
    <w:rsid w:val="00B17342"/>
    <w:pPr>
      <w:spacing w:after="240"/>
      <w:jc w:val="center"/>
      <w:outlineLvl w:val="9"/>
    </w:pPr>
    <w:rPr>
      <w:caps/>
    </w:rPr>
  </w:style>
  <w:style w:type="paragraph" w:customStyle="1" w:styleId="Version">
    <w:name w:val="Version"/>
    <w:rsid w:val="00B173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7342"/>
    <w:pPr>
      <w:keepNext w:val="0"/>
      <w:tabs>
        <w:tab w:val="right" w:pos="4176"/>
      </w:tabs>
      <w:ind w:left="198" w:hanging="198"/>
    </w:pPr>
    <w:rPr>
      <w:rFonts w:ascii="Garamond" w:hAnsi="Garamond"/>
    </w:rPr>
  </w:style>
  <w:style w:type="paragraph" w:styleId="IndexHeading">
    <w:name w:val="index heading"/>
    <w:basedOn w:val="Normal"/>
    <w:next w:val="Index1"/>
    <w:semiHidden/>
    <w:rsid w:val="00B17342"/>
    <w:pPr>
      <w:spacing w:before="120" w:after="120"/>
    </w:pPr>
    <w:rPr>
      <w:rFonts w:ascii="Arial" w:hAnsi="Arial"/>
      <w:b/>
      <w:color w:val="918585"/>
      <w:sz w:val="24"/>
    </w:rPr>
  </w:style>
  <w:style w:type="paragraph" w:styleId="Header">
    <w:name w:val="header"/>
    <w:basedOn w:val="Normal"/>
    <w:link w:val="HeaderChar"/>
    <w:rsid w:val="00B173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7342"/>
    <w:rPr>
      <w:rFonts w:ascii="Times New Roman" w:eastAsia="Times New Roman" w:hAnsi="Times New Roman" w:cs="Times New Roman"/>
      <w:sz w:val="16"/>
      <w:szCs w:val="20"/>
      <w:lang w:val="en-GB" w:eastAsia="en-US"/>
    </w:rPr>
  </w:style>
  <w:style w:type="paragraph" w:customStyle="1" w:styleId="Chapter">
    <w:name w:val="Chapter"/>
    <w:basedOn w:val="Normal"/>
    <w:rsid w:val="00B17342"/>
    <w:pPr>
      <w:spacing w:before="240"/>
    </w:pPr>
    <w:rPr>
      <w:rFonts w:ascii="Times New Roman" w:hAnsi="Times New Roman"/>
      <w:smallCaps/>
      <w:spacing w:val="80"/>
      <w:sz w:val="28"/>
    </w:rPr>
  </w:style>
  <w:style w:type="paragraph" w:customStyle="1" w:styleId="InChapter">
    <w:name w:val="InChapter"/>
    <w:basedOn w:val="Heading3"/>
    <w:rsid w:val="00B17342"/>
    <w:pPr>
      <w:spacing w:after="240"/>
      <w:outlineLvl w:val="9"/>
    </w:pPr>
    <w:rPr>
      <w:noProof/>
    </w:rPr>
  </w:style>
  <w:style w:type="paragraph" w:styleId="Index2">
    <w:name w:val="index 2"/>
    <w:basedOn w:val="Normal"/>
    <w:next w:val="Normal"/>
    <w:semiHidden/>
    <w:rsid w:val="00B17342"/>
    <w:pPr>
      <w:tabs>
        <w:tab w:val="right" w:pos="4176"/>
      </w:tabs>
      <w:ind w:left="568" w:hanging="284"/>
    </w:pPr>
    <w:rPr>
      <w:rFonts w:ascii="Garamond" w:hAnsi="Garamond"/>
    </w:rPr>
  </w:style>
  <w:style w:type="paragraph" w:customStyle="1" w:styleId="Byline">
    <w:name w:val="Byline"/>
    <w:rsid w:val="00B173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7342"/>
    <w:pPr>
      <w:tabs>
        <w:tab w:val="clear" w:pos="3600"/>
        <w:tab w:val="clear" w:pos="3958"/>
      </w:tabs>
      <w:jc w:val="right"/>
    </w:pPr>
  </w:style>
  <w:style w:type="character" w:styleId="Emphasis">
    <w:name w:val="Emphasis"/>
    <w:basedOn w:val="DefaultParagraphFont"/>
    <w:qFormat/>
    <w:rsid w:val="00B17342"/>
    <w:rPr>
      <w:i/>
    </w:rPr>
  </w:style>
  <w:style w:type="paragraph" w:styleId="Caption">
    <w:name w:val="caption"/>
    <w:basedOn w:val="BodyText"/>
    <w:next w:val="Normal"/>
    <w:qFormat/>
    <w:rsid w:val="00B17342"/>
    <w:pPr>
      <w:framePr w:w="2268" w:hSpace="181" w:vSpace="181" w:wrap="around" w:vAnchor="text" w:hAnchor="page" w:x="1135" w:y="285" w:anchorLock="1"/>
    </w:pPr>
    <w:rPr>
      <w:i/>
    </w:rPr>
  </w:style>
  <w:style w:type="paragraph" w:customStyle="1" w:styleId="MiniTOCTitle">
    <w:name w:val="MiniTOCTitle"/>
    <w:basedOn w:val="Heading4"/>
    <w:rsid w:val="00B17342"/>
    <w:pPr>
      <w:spacing w:before="240"/>
      <w:outlineLvl w:val="9"/>
    </w:pPr>
    <w:rPr>
      <w:noProof/>
      <w:sz w:val="24"/>
    </w:rPr>
  </w:style>
  <w:style w:type="paragraph" w:customStyle="1" w:styleId="MiniTOCItem">
    <w:name w:val="MiniTOCItem"/>
    <w:basedOn w:val="ListBullet"/>
    <w:rsid w:val="00B17342"/>
    <w:pPr>
      <w:numPr>
        <w:numId w:val="0"/>
      </w:numPr>
      <w:tabs>
        <w:tab w:val="right" w:leader="dot" w:pos="6521"/>
      </w:tabs>
      <w:spacing w:before="0" w:after="0"/>
    </w:pPr>
  </w:style>
  <w:style w:type="paragraph" w:customStyle="1" w:styleId="TOFTitle">
    <w:name w:val="TOFTitle"/>
    <w:basedOn w:val="TOCTitle"/>
    <w:rsid w:val="00B17342"/>
  </w:style>
  <w:style w:type="paragraph" w:styleId="TableofFigures">
    <w:name w:val="table of figures"/>
    <w:basedOn w:val="Normal"/>
    <w:next w:val="Normal"/>
    <w:semiHidden/>
    <w:rsid w:val="00B17342"/>
    <w:pPr>
      <w:tabs>
        <w:tab w:val="right" w:leader="dot" w:pos="9072"/>
      </w:tabs>
      <w:ind w:left="970" w:hanging="403"/>
    </w:pPr>
    <w:rPr>
      <w:rFonts w:ascii="Times New Roman" w:hAnsi="Times New Roman"/>
      <w:b/>
    </w:rPr>
  </w:style>
  <w:style w:type="paragraph" w:styleId="ListNumber">
    <w:name w:val="List Number"/>
    <w:basedOn w:val="List"/>
    <w:rsid w:val="00B17342"/>
    <w:pPr>
      <w:numPr>
        <w:numId w:val="11"/>
      </w:numPr>
    </w:pPr>
  </w:style>
  <w:style w:type="character" w:customStyle="1" w:styleId="WingdingSymbols">
    <w:name w:val="Wingding Symbols"/>
    <w:rsid w:val="00B17342"/>
    <w:rPr>
      <w:rFonts w:ascii="Wingdings" w:hAnsi="Wingdings"/>
    </w:rPr>
  </w:style>
  <w:style w:type="paragraph" w:customStyle="1" w:styleId="TableHeading">
    <w:name w:val="Table Heading"/>
    <w:basedOn w:val="HeadingBase"/>
    <w:rsid w:val="00B17342"/>
    <w:pPr>
      <w:keepLines/>
      <w:pBdr>
        <w:bottom w:val="single" w:sz="6" w:space="1" w:color="918585"/>
      </w:pBdr>
      <w:spacing w:before="240"/>
    </w:pPr>
  </w:style>
  <w:style w:type="character" w:customStyle="1" w:styleId="HotSpot">
    <w:name w:val="HotSpot"/>
    <w:rsid w:val="00B17342"/>
    <w:rPr>
      <w:color w:val="0033CC"/>
      <w:u w:val="none"/>
    </w:rPr>
  </w:style>
  <w:style w:type="paragraph" w:customStyle="1" w:styleId="BodyTextRight">
    <w:name w:val="Body Text Right"/>
    <w:basedOn w:val="BodyText"/>
    <w:rsid w:val="00B17342"/>
    <w:pPr>
      <w:spacing w:before="0" w:after="0"/>
      <w:jc w:val="right"/>
    </w:pPr>
  </w:style>
  <w:style w:type="paragraph" w:styleId="Index3">
    <w:name w:val="index 3"/>
    <w:basedOn w:val="ListNumber2"/>
    <w:next w:val="Normal"/>
    <w:semiHidden/>
    <w:rsid w:val="00B17342"/>
    <w:pPr>
      <w:numPr>
        <w:numId w:val="0"/>
      </w:numPr>
      <w:tabs>
        <w:tab w:val="right" w:leader="dot" w:pos="4176"/>
      </w:tabs>
    </w:pPr>
  </w:style>
  <w:style w:type="paragraph" w:styleId="ListNumber2">
    <w:name w:val="List Number 2"/>
    <w:basedOn w:val="List2"/>
    <w:rsid w:val="00B17342"/>
    <w:pPr>
      <w:numPr>
        <w:numId w:val="10"/>
      </w:numPr>
      <w:tabs>
        <w:tab w:val="clear" w:pos="1060"/>
      </w:tabs>
    </w:pPr>
  </w:style>
  <w:style w:type="paragraph" w:customStyle="1" w:styleId="MarginNote">
    <w:name w:val="Margin Note"/>
    <w:basedOn w:val="BodyText"/>
    <w:rsid w:val="00B173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73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734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7342"/>
    <w:rPr>
      <w:sz w:val="32"/>
    </w:rPr>
  </w:style>
  <w:style w:type="paragraph" w:customStyle="1" w:styleId="HeadingProcedure">
    <w:name w:val="Heading Procedure"/>
    <w:basedOn w:val="HeadingBase"/>
    <w:next w:val="Normal"/>
    <w:rsid w:val="00B17342"/>
    <w:pPr>
      <w:tabs>
        <w:tab w:val="left" w:pos="0"/>
      </w:tabs>
      <w:spacing w:before="120" w:after="60"/>
    </w:pPr>
    <w:rPr>
      <w:i/>
      <w:color w:val="918585"/>
      <w:sz w:val="22"/>
    </w:rPr>
  </w:style>
  <w:style w:type="paragraph" w:customStyle="1" w:styleId="TableBodyText">
    <w:name w:val="Table Body Text"/>
    <w:basedOn w:val="BodyText"/>
    <w:rsid w:val="00B17342"/>
    <w:pPr>
      <w:spacing w:before="60" w:after="60"/>
    </w:pPr>
  </w:style>
  <w:style w:type="paragraph" w:styleId="ListContinue">
    <w:name w:val="List Continue"/>
    <w:basedOn w:val="List"/>
    <w:rsid w:val="00B17342"/>
    <w:pPr>
      <w:ind w:firstLine="0"/>
    </w:pPr>
  </w:style>
  <w:style w:type="paragraph" w:customStyle="1" w:styleId="ListNote">
    <w:name w:val="List Note"/>
    <w:basedOn w:val="List"/>
    <w:rsid w:val="00B17342"/>
    <w:pPr>
      <w:pBdr>
        <w:top w:val="single" w:sz="6" w:space="2" w:color="918585"/>
        <w:bottom w:val="single" w:sz="6" w:space="2" w:color="918585"/>
      </w:pBdr>
      <w:tabs>
        <w:tab w:val="left" w:pos="1021"/>
      </w:tabs>
      <w:ind w:firstLine="0"/>
    </w:pPr>
  </w:style>
  <w:style w:type="paragraph" w:customStyle="1" w:styleId="Warning">
    <w:name w:val="Warning"/>
    <w:basedOn w:val="BodyText"/>
    <w:rsid w:val="00B17342"/>
    <w:pPr>
      <w:shd w:val="clear" w:color="auto" w:fill="D9D9D9"/>
      <w:tabs>
        <w:tab w:val="left" w:pos="992"/>
      </w:tabs>
      <w:ind w:left="119" w:right="119"/>
    </w:pPr>
    <w:rPr>
      <w:sz w:val="20"/>
    </w:rPr>
  </w:style>
  <w:style w:type="paragraph" w:customStyle="1" w:styleId="MarginIcons">
    <w:name w:val="Margin Icons"/>
    <w:basedOn w:val="BodyText"/>
    <w:rsid w:val="00B173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7342"/>
    <w:rPr>
      <w:rFonts w:ascii="Courier New" w:hAnsi="Courier New"/>
    </w:rPr>
  </w:style>
  <w:style w:type="paragraph" w:customStyle="1" w:styleId="NoteBullet">
    <w:name w:val="Note Bullet"/>
    <w:basedOn w:val="Note"/>
    <w:rsid w:val="00B17342"/>
    <w:pPr>
      <w:tabs>
        <w:tab w:val="clear" w:pos="680"/>
      </w:tabs>
      <w:spacing w:before="60" w:after="60"/>
    </w:pPr>
  </w:style>
  <w:style w:type="paragraph" w:customStyle="1" w:styleId="SubHeading2">
    <w:name w:val="SubHeading2"/>
    <w:basedOn w:val="HeadingBase"/>
    <w:rsid w:val="00B17342"/>
    <w:pPr>
      <w:spacing w:before="240" w:after="60"/>
    </w:pPr>
    <w:rPr>
      <w:sz w:val="20"/>
    </w:rPr>
  </w:style>
  <w:style w:type="paragraph" w:customStyle="1" w:styleId="SubHeading1">
    <w:name w:val="SubHeading1"/>
    <w:basedOn w:val="HeadingBase"/>
    <w:rsid w:val="00B17342"/>
    <w:pPr>
      <w:spacing w:before="240" w:after="60"/>
    </w:pPr>
    <w:rPr>
      <w:color w:val="918585"/>
      <w:sz w:val="22"/>
    </w:rPr>
  </w:style>
  <w:style w:type="paragraph" w:customStyle="1" w:styleId="SideHeading">
    <w:name w:val="Side Heading"/>
    <w:basedOn w:val="HeadingBase"/>
    <w:rsid w:val="00B173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7342"/>
    <w:pPr>
      <w:numPr>
        <w:numId w:val="12"/>
      </w:numPr>
    </w:pPr>
  </w:style>
  <w:style w:type="paragraph" w:styleId="PlainText">
    <w:name w:val="Plain Text"/>
    <w:basedOn w:val="Normal"/>
    <w:link w:val="PlainTextChar"/>
    <w:rsid w:val="00B17342"/>
    <w:rPr>
      <w:sz w:val="20"/>
    </w:rPr>
  </w:style>
  <w:style w:type="character" w:customStyle="1" w:styleId="PlainTextChar">
    <w:name w:val="Plain Text Char"/>
    <w:basedOn w:val="DefaultParagraphFont"/>
    <w:link w:val="PlainText"/>
    <w:rsid w:val="00B17342"/>
    <w:rPr>
      <w:rFonts w:ascii="Courier New" w:eastAsia="Times New Roman" w:hAnsi="Courier New" w:cs="Times New Roman"/>
      <w:sz w:val="20"/>
      <w:szCs w:val="20"/>
      <w:lang w:eastAsia="en-US"/>
    </w:rPr>
  </w:style>
  <w:style w:type="character" w:customStyle="1" w:styleId="MenuOption">
    <w:name w:val="Menu Option"/>
    <w:basedOn w:val="DefaultParagraphFont"/>
    <w:rsid w:val="00B17342"/>
    <w:rPr>
      <w:b/>
      <w:smallCaps/>
    </w:rPr>
  </w:style>
  <w:style w:type="paragraph" w:customStyle="1" w:styleId="TableListNumber">
    <w:name w:val="Table List Number"/>
    <w:basedOn w:val="ListNumber"/>
    <w:rsid w:val="00B17342"/>
    <w:pPr>
      <w:numPr>
        <w:numId w:val="0"/>
      </w:numPr>
    </w:pPr>
  </w:style>
  <w:style w:type="paragraph" w:styleId="TOC4">
    <w:name w:val="toc 4"/>
    <w:basedOn w:val="TOCBase"/>
    <w:next w:val="Normal"/>
    <w:semiHidden/>
    <w:rsid w:val="00B17342"/>
    <w:pPr>
      <w:tabs>
        <w:tab w:val="right" w:leader="dot" w:pos="9071"/>
      </w:tabs>
      <w:ind w:left="1701"/>
    </w:pPr>
  </w:style>
  <w:style w:type="paragraph" w:customStyle="1" w:styleId="ListAlpha">
    <w:name w:val="List Alpha"/>
    <w:basedOn w:val="List"/>
    <w:rsid w:val="00B17342"/>
    <w:pPr>
      <w:numPr>
        <w:numId w:val="9"/>
      </w:numPr>
    </w:pPr>
  </w:style>
  <w:style w:type="paragraph" w:customStyle="1" w:styleId="ListAlpha2">
    <w:name w:val="List Alpha 2"/>
    <w:basedOn w:val="List2"/>
    <w:rsid w:val="00B17342"/>
    <w:pPr>
      <w:numPr>
        <w:numId w:val="8"/>
      </w:numPr>
    </w:pPr>
  </w:style>
  <w:style w:type="paragraph" w:styleId="List2">
    <w:name w:val="List 2"/>
    <w:basedOn w:val="BodyText"/>
    <w:rsid w:val="00B17342"/>
    <w:pPr>
      <w:tabs>
        <w:tab w:val="left" w:pos="680"/>
      </w:tabs>
      <w:spacing w:before="60" w:after="60"/>
      <w:ind w:left="680" w:hanging="340"/>
    </w:pPr>
  </w:style>
  <w:style w:type="paragraph" w:styleId="List3">
    <w:name w:val="List 3"/>
    <w:basedOn w:val="BodyText"/>
    <w:rsid w:val="00B17342"/>
    <w:pPr>
      <w:tabs>
        <w:tab w:val="left" w:pos="1021"/>
      </w:tabs>
      <w:spacing w:before="60" w:after="60"/>
      <w:ind w:left="1020" w:hanging="340"/>
    </w:pPr>
  </w:style>
  <w:style w:type="paragraph" w:styleId="List4">
    <w:name w:val="List 4"/>
    <w:basedOn w:val="BodyText"/>
    <w:rsid w:val="00B17342"/>
    <w:pPr>
      <w:tabs>
        <w:tab w:val="left" w:pos="1361"/>
      </w:tabs>
      <w:spacing w:before="60" w:after="60"/>
      <w:ind w:left="1361" w:hanging="340"/>
    </w:pPr>
  </w:style>
  <w:style w:type="paragraph" w:styleId="List5">
    <w:name w:val="List 5"/>
    <w:basedOn w:val="BodyText"/>
    <w:rsid w:val="00B17342"/>
    <w:pPr>
      <w:tabs>
        <w:tab w:val="left" w:pos="1701"/>
      </w:tabs>
      <w:spacing w:before="60" w:after="60"/>
      <w:ind w:left="1701" w:hanging="340"/>
    </w:pPr>
  </w:style>
  <w:style w:type="paragraph" w:styleId="ListBullet3">
    <w:name w:val="List Bullet 3"/>
    <w:basedOn w:val="List3"/>
    <w:rsid w:val="00B17342"/>
    <w:pPr>
      <w:numPr>
        <w:numId w:val="15"/>
      </w:numPr>
      <w:tabs>
        <w:tab w:val="clear" w:pos="1021"/>
      </w:tabs>
      <w:ind w:left="1037" w:hanging="357"/>
    </w:pPr>
  </w:style>
  <w:style w:type="paragraph" w:styleId="ListBullet4">
    <w:name w:val="List Bullet 4"/>
    <w:basedOn w:val="List4"/>
    <w:rsid w:val="00B17342"/>
    <w:pPr>
      <w:numPr>
        <w:numId w:val="3"/>
      </w:numPr>
    </w:pPr>
  </w:style>
  <w:style w:type="paragraph" w:styleId="ListBullet5">
    <w:name w:val="List Bullet 5"/>
    <w:basedOn w:val="List5"/>
    <w:rsid w:val="00B17342"/>
    <w:pPr>
      <w:numPr>
        <w:numId w:val="4"/>
      </w:numPr>
    </w:pPr>
  </w:style>
  <w:style w:type="paragraph" w:styleId="ListContinue2">
    <w:name w:val="List Continue 2"/>
    <w:basedOn w:val="List2"/>
    <w:rsid w:val="00B17342"/>
    <w:pPr>
      <w:ind w:firstLine="0"/>
    </w:pPr>
  </w:style>
  <w:style w:type="paragraph" w:styleId="ListContinue3">
    <w:name w:val="List Continue 3"/>
    <w:basedOn w:val="List3"/>
    <w:rsid w:val="00B17342"/>
    <w:pPr>
      <w:ind w:left="1021" w:firstLine="0"/>
    </w:pPr>
  </w:style>
  <w:style w:type="paragraph" w:styleId="ListContinue4">
    <w:name w:val="List Continue 4"/>
    <w:basedOn w:val="List4"/>
    <w:rsid w:val="00B17342"/>
    <w:pPr>
      <w:ind w:firstLine="0"/>
    </w:pPr>
  </w:style>
  <w:style w:type="paragraph" w:styleId="ListContinue5">
    <w:name w:val="List Continue 5"/>
    <w:basedOn w:val="List5"/>
    <w:rsid w:val="00B17342"/>
    <w:pPr>
      <w:ind w:firstLine="0"/>
    </w:pPr>
  </w:style>
  <w:style w:type="paragraph" w:styleId="ListNumber3">
    <w:name w:val="List Number 3"/>
    <w:basedOn w:val="List3"/>
    <w:rsid w:val="00B17342"/>
    <w:pPr>
      <w:numPr>
        <w:numId w:val="5"/>
      </w:numPr>
    </w:pPr>
  </w:style>
  <w:style w:type="paragraph" w:styleId="ListNumber4">
    <w:name w:val="List Number 4"/>
    <w:basedOn w:val="List4"/>
    <w:rsid w:val="00B17342"/>
    <w:pPr>
      <w:numPr>
        <w:numId w:val="6"/>
      </w:numPr>
    </w:pPr>
  </w:style>
  <w:style w:type="paragraph" w:styleId="ListNumber5">
    <w:name w:val="List Number 5"/>
    <w:basedOn w:val="List5"/>
    <w:rsid w:val="00B17342"/>
    <w:pPr>
      <w:numPr>
        <w:numId w:val="7"/>
      </w:numPr>
    </w:pPr>
  </w:style>
  <w:style w:type="paragraph" w:styleId="BlockText">
    <w:name w:val="Block Text"/>
    <w:basedOn w:val="Normal"/>
    <w:rsid w:val="00B17342"/>
    <w:pPr>
      <w:spacing w:after="120"/>
      <w:ind w:left="1440" w:right="1440"/>
    </w:pPr>
  </w:style>
  <w:style w:type="character" w:customStyle="1" w:styleId="Subscript">
    <w:name w:val="Subscript"/>
    <w:basedOn w:val="DefaultParagraphFont"/>
    <w:rsid w:val="00B17342"/>
    <w:rPr>
      <w:sz w:val="16"/>
      <w:vertAlign w:val="subscript"/>
    </w:rPr>
  </w:style>
  <w:style w:type="character" w:customStyle="1" w:styleId="Superscript">
    <w:name w:val="Superscript"/>
    <w:basedOn w:val="DefaultParagraphFont"/>
    <w:rsid w:val="00B17342"/>
    <w:rPr>
      <w:sz w:val="16"/>
      <w:vertAlign w:val="superscript"/>
    </w:rPr>
  </w:style>
  <w:style w:type="character" w:customStyle="1" w:styleId="Symbols">
    <w:name w:val="Symbols"/>
    <w:basedOn w:val="DefaultParagraphFont"/>
    <w:rsid w:val="00B17342"/>
    <w:rPr>
      <w:rFonts w:ascii="Symbol" w:hAnsi="Symbol"/>
    </w:rPr>
  </w:style>
  <w:style w:type="character" w:customStyle="1" w:styleId="MenuOptions">
    <w:name w:val="Menu Options"/>
    <w:basedOn w:val="DefaultParagraphFont"/>
    <w:rsid w:val="00B17342"/>
    <w:rPr>
      <w:rFonts w:ascii="Arial Narrow" w:hAnsi="Arial Narrow"/>
      <w:smallCaps/>
    </w:rPr>
  </w:style>
  <w:style w:type="character" w:customStyle="1" w:styleId="Buttons">
    <w:name w:val="Buttons"/>
    <w:basedOn w:val="DefaultParagraphFont"/>
    <w:rsid w:val="00B17342"/>
    <w:rPr>
      <w:b/>
    </w:rPr>
  </w:style>
  <w:style w:type="character" w:customStyle="1" w:styleId="Underlined">
    <w:name w:val="Underlined"/>
    <w:basedOn w:val="DefaultParagraphFont"/>
    <w:rsid w:val="00B17342"/>
    <w:rPr>
      <w:u w:val="single"/>
    </w:rPr>
  </w:style>
  <w:style w:type="paragraph" w:customStyle="1" w:styleId="TableBodyTextRight">
    <w:name w:val="Table Body Text Right"/>
    <w:basedOn w:val="TableBodyText"/>
    <w:rsid w:val="00B17342"/>
    <w:pPr>
      <w:widowControl w:val="0"/>
      <w:autoSpaceDE w:val="0"/>
      <w:autoSpaceDN w:val="0"/>
      <w:adjustRightInd w:val="0"/>
      <w:jc w:val="right"/>
    </w:pPr>
    <w:rPr>
      <w:rFonts w:cs="Arial"/>
      <w:szCs w:val="18"/>
    </w:rPr>
  </w:style>
  <w:style w:type="paragraph" w:customStyle="1" w:styleId="CopyrightText">
    <w:name w:val="Copyright Text"/>
    <w:basedOn w:val="BodyText"/>
    <w:rsid w:val="00B17342"/>
    <w:rPr>
      <w:sz w:val="18"/>
    </w:rPr>
  </w:style>
  <w:style w:type="paragraph" w:customStyle="1" w:styleId="BodySmallRight">
    <w:name w:val="Body Small Right"/>
    <w:basedOn w:val="BodyTextRight"/>
    <w:rsid w:val="00B17342"/>
    <w:rPr>
      <w:sz w:val="18"/>
      <w:szCs w:val="18"/>
    </w:rPr>
  </w:style>
  <w:style w:type="paragraph" w:customStyle="1" w:styleId="MarginEdition">
    <w:name w:val="Margin Edition"/>
    <w:basedOn w:val="MarginNote"/>
    <w:rsid w:val="00B17342"/>
    <w:pPr>
      <w:spacing w:before="0" w:after="0"/>
    </w:pPr>
    <w:rPr>
      <w:rFonts w:ascii="Times New Roman" w:hAnsi="Times New Roman"/>
      <w:color w:val="999999"/>
    </w:rPr>
  </w:style>
  <w:style w:type="paragraph" w:customStyle="1" w:styleId="Spacer">
    <w:name w:val="Spacer"/>
    <w:basedOn w:val="Normal"/>
    <w:rsid w:val="00B17342"/>
    <w:rPr>
      <w:sz w:val="2"/>
      <w:szCs w:val="2"/>
    </w:rPr>
  </w:style>
  <w:style w:type="character" w:customStyle="1" w:styleId="Small">
    <w:name w:val="Small"/>
    <w:basedOn w:val="DefaultParagraphFont"/>
    <w:rsid w:val="00B17342"/>
    <w:rPr>
      <w:sz w:val="16"/>
    </w:rPr>
  </w:style>
  <w:style w:type="paragraph" w:customStyle="1" w:styleId="WideTable">
    <w:name w:val="Wide Table"/>
    <w:basedOn w:val="Normal"/>
    <w:rsid w:val="00B17342"/>
    <w:pPr>
      <w:ind w:left="-1418"/>
    </w:pPr>
    <w:rPr>
      <w:sz w:val="2"/>
      <w:szCs w:val="2"/>
    </w:rPr>
  </w:style>
  <w:style w:type="character" w:styleId="PageNumber">
    <w:name w:val="page number"/>
    <w:basedOn w:val="DefaultParagraphFont"/>
    <w:rsid w:val="00B17342"/>
  </w:style>
  <w:style w:type="paragraph" w:styleId="Quote">
    <w:name w:val="Quote"/>
    <w:basedOn w:val="Heading1"/>
    <w:link w:val="QuoteChar"/>
    <w:qFormat/>
    <w:rsid w:val="00B17342"/>
    <w:rPr>
      <w:b w:val="0"/>
      <w:sz w:val="72"/>
      <w:szCs w:val="72"/>
      <w:lang w:val="en-NZ"/>
    </w:rPr>
  </w:style>
  <w:style w:type="character" w:customStyle="1" w:styleId="QuoteChar">
    <w:name w:val="Quote Char"/>
    <w:basedOn w:val="DefaultParagraphFont"/>
    <w:link w:val="Quote"/>
    <w:rsid w:val="00B173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7342"/>
    <w:pPr>
      <w:pageBreakBefore/>
    </w:pPr>
  </w:style>
  <w:style w:type="paragraph" w:customStyle="1" w:styleId="Border">
    <w:name w:val="Border"/>
    <w:basedOn w:val="Normal"/>
    <w:qFormat/>
    <w:rsid w:val="00B173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7342"/>
    <w:rPr>
      <w:b/>
      <w:bCs/>
      <w:i/>
      <w:iCs/>
      <w:color w:val="auto"/>
    </w:rPr>
  </w:style>
  <w:style w:type="paragraph" w:styleId="IntenseQuote">
    <w:name w:val="Intense Quote"/>
    <w:basedOn w:val="Normal"/>
    <w:next w:val="Normal"/>
    <w:link w:val="IntenseQuoteChar"/>
    <w:uiPriority w:val="30"/>
    <w:qFormat/>
    <w:rsid w:val="00B173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734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7342"/>
    <w:rPr>
      <w:smallCaps/>
      <w:color w:val="auto"/>
      <w:u w:val="single"/>
    </w:rPr>
  </w:style>
  <w:style w:type="character" w:styleId="IntenseReference">
    <w:name w:val="Intense Reference"/>
    <w:basedOn w:val="DefaultParagraphFont"/>
    <w:uiPriority w:val="32"/>
    <w:qFormat/>
    <w:rsid w:val="00B17342"/>
    <w:rPr>
      <w:b/>
      <w:bCs/>
      <w:smallCaps/>
      <w:color w:val="auto"/>
      <w:spacing w:val="5"/>
      <w:u w:val="single"/>
    </w:rPr>
  </w:style>
  <w:style w:type="paragraph" w:customStyle="1" w:styleId="2ColumnHeading">
    <w:name w:val="2Column Heading"/>
    <w:basedOn w:val="BodyText"/>
    <w:qFormat/>
    <w:rsid w:val="00B17342"/>
    <w:pPr>
      <w:spacing w:after="60"/>
      <w:ind w:left="-2268"/>
    </w:pPr>
    <w:rPr>
      <w:b/>
    </w:rPr>
  </w:style>
  <w:style w:type="paragraph" w:customStyle="1" w:styleId="Heading1TOC">
    <w:name w:val="Heading1 TOC"/>
    <w:basedOn w:val="Normal"/>
    <w:qFormat/>
    <w:rsid w:val="00B17342"/>
    <w:pPr>
      <w:spacing w:before="240" w:after="120"/>
    </w:pPr>
    <w:rPr>
      <w:rFonts w:ascii="Times New Roman" w:hAnsi="Times New Roman"/>
      <w:b/>
      <w:sz w:val="32"/>
    </w:rPr>
  </w:style>
  <w:style w:type="paragraph" w:customStyle="1" w:styleId="Heading2TOC">
    <w:name w:val="Heading2 TOC"/>
    <w:basedOn w:val="Normal"/>
    <w:qFormat/>
    <w:rsid w:val="00B17342"/>
    <w:pPr>
      <w:spacing w:before="240" w:after="60"/>
    </w:pPr>
    <w:rPr>
      <w:rFonts w:ascii="Times New Roman" w:hAnsi="Times New Roman"/>
      <w:b/>
      <w:sz w:val="28"/>
    </w:rPr>
  </w:style>
  <w:style w:type="character" w:customStyle="1" w:styleId="Underline">
    <w:name w:val="Underline"/>
    <w:basedOn w:val="DefaultParagraphFont"/>
    <w:qFormat/>
    <w:rsid w:val="00B17342"/>
    <w:rPr>
      <w:u w:val="single"/>
    </w:rPr>
  </w:style>
  <w:style w:type="character" w:customStyle="1" w:styleId="BoldandItalics">
    <w:name w:val="Bold and Italics"/>
    <w:qFormat/>
    <w:rsid w:val="00B17342"/>
    <w:rPr>
      <w:b/>
      <w:i/>
      <w:u w:val="none"/>
    </w:rPr>
  </w:style>
  <w:style w:type="paragraph" w:styleId="BalloonText">
    <w:name w:val="Balloon Text"/>
    <w:basedOn w:val="Normal"/>
    <w:link w:val="BalloonTextChar"/>
    <w:rsid w:val="00B17342"/>
    <w:rPr>
      <w:rFonts w:ascii="Tahoma" w:hAnsi="Tahoma" w:cs="Tahoma"/>
      <w:sz w:val="16"/>
      <w:szCs w:val="16"/>
    </w:rPr>
  </w:style>
  <w:style w:type="character" w:customStyle="1" w:styleId="BalloonTextChar">
    <w:name w:val="Balloon Text Char"/>
    <w:basedOn w:val="DefaultParagraphFont"/>
    <w:link w:val="BalloonText"/>
    <w:rsid w:val="00B1734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73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734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7342"/>
    <w:rPr>
      <w:b/>
      <w:color w:val="660033"/>
      <w:spacing w:val="0"/>
    </w:rPr>
  </w:style>
  <w:style w:type="paragraph" w:customStyle="1" w:styleId="Nameditemlist">
    <w:name w:val="Named item list"/>
    <w:basedOn w:val="BodyText"/>
    <w:qFormat/>
    <w:rsid w:val="00B1734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2486</Words>
  <Characters>15620</Characters>
  <Application>Microsoft Office Word</Application>
  <DocSecurity>0</DocSecurity>
  <Lines>567</Lines>
  <Paragraphs>280</Paragraphs>
  <ScaleCrop>false</ScaleCrop>
  <Company>Author-it Software Corporation Ltd.</Company>
  <LinksUpToDate>false</LinksUpToDate>
  <CharactersWithSpaces>17962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UEENEEJ127A Establish the thermodynamic parameters of refrigeration and air conditioning systems</dc:title>
  <dc:subject>Approved</dc:subject>
  <dc:creator>E-OZ Training Standards</dc:creator>
  <cp:keywords>Release: 3</cp:keywords>
  <dc:description>Review Date: 12 April 2008</dc:description>
  <cp:lastModifiedBy>TPCMS</cp:lastModifiedBy>
  <cp:revision>3</cp:revision>
  <dcterms:created xsi:type="dcterms:W3CDTF">2013-08-14T07:44:00Z</dcterms:created>
  <dcterms:modified xsi:type="dcterms:W3CDTF">2013-08-14T07:44:00Z</dcterms:modified>
</cp:coreProperties>
</file>