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498" w:rsidP="00C62498">
      <w:pPr>
        <w:pStyle w:val="Title"/>
      </w:pPr>
      <w:r>
        <w:fldChar w:fldCharType="begin"/>
      </w:r>
      <w:r>
        <w:instrText xml:space="preserve"> TITLE   \* MERGEFORMAT </w:instrText>
      </w:r>
      <w:r>
        <w:fldChar w:fldCharType="separate"/>
      </w:r>
      <w:r>
        <w:t>UEENEEJ121A Monitor and adjust refrigeration energy management systems</w:t>
      </w:r>
      <w:r>
        <w:fldChar w:fldCharType="end"/>
      </w:r>
    </w:p>
    <w:p w:rsidR="00C62498" w:rsidP="00C62498">
      <w:pPr>
        <w:pStyle w:val="Version"/>
        <w:sectPr w:rsidSect="00195F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95F4D" w:rsidP="00195F4D">
      <w:pPr>
        <w:pStyle w:val="SuperHeading"/>
      </w:pPr>
      <w:r w:rsidRPr="00195F4D">
        <w:t>UEENEEJ121A Monitor and adjust refrigeration energy management systems</w:t>
      </w:r>
    </w:p>
    <w:p w:rsidR="00000000" w:rsidRPr="00195F4D" w:rsidP="00195F4D">
      <w:pPr>
        <w:pStyle w:val="Heading1"/>
      </w:pPr>
      <w:bookmarkStart w:id="1" w:name="O_589648"/>
      <w:bookmarkEnd w:id="1"/>
      <w:r w:rsidRPr="00195F4D">
        <w:t>Modification History</w:t>
      </w:r>
    </w:p>
    <w:p w:rsidR="00000000" w:rsidRPr="00195F4D" w:rsidP="00195F4D">
      <w:pPr>
        <w:pStyle w:val="BodyText"/>
      </w:pPr>
      <w:r w:rsidRPr="00195F4D">
        <w:t>Not Applicable</w:t>
      </w:r>
    </w:p>
    <w:p w:rsidR="00000000" w:rsidRPr="00195F4D" w:rsidP="00195F4D">
      <w:pPr>
        <w:pStyle w:val="AllowPageBreak"/>
      </w:pPr>
    </w:p>
    <w:p w:rsidR="00000000" w:rsidRPr="00195F4D" w:rsidP="00195F4D">
      <w:pPr>
        <w:pStyle w:val="Heading1"/>
      </w:pPr>
      <w:bookmarkStart w:id="2" w:name="O_589647"/>
      <w:bookmarkEnd w:id="2"/>
      <w:r w:rsidRPr="00195F4D">
        <w:t>Unit Descriptor</w:t>
      </w:r>
    </w:p>
    <w:tbl>
      <w:tblPr>
        <w:tblW w:w="0" w:type="auto"/>
        <w:tblLayout w:type="fixed"/>
        <w:tblCellMar>
          <w:left w:w="62" w:type="dxa"/>
          <w:right w:w="62" w:type="dxa"/>
        </w:tblCellMar>
        <w:tblLook w:val="0000"/>
      </w:tblPr>
      <w:tblGrid>
        <w:gridCol w:w="2700"/>
        <w:gridCol w:w="5760"/>
      </w:tblGrid>
      <w:tr w:rsidTr="00C624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1</w:t>
            </w:r>
            <w:r w:rsidRPr="00195F4D">
              <w:t xml:space="preserve">) </w:t>
            </w:r>
          </w:p>
          <w:p w:rsidR="00000000" w:rsidP="00195F4D">
            <w:pPr>
              <w:pStyle w:val="BodyText"/>
              <w:rPr>
                <w:lang w:val="en-NZ"/>
              </w:rPr>
            </w:pPr>
            <w:r w:rsidRPr="00195F4D">
              <w:rPr>
                <w:rStyle w:val="SpecialBold"/>
              </w:rPr>
              <w:t>1</w:t>
            </w:r>
            <w:r w:rsidRPr="00195F4D">
              <w:t>.</w:t>
            </w:r>
            <w:r w:rsidRPr="00195F4D">
              <w:rPr>
                <w:rStyle w:val="SpecialBold"/>
              </w:rPr>
              <w:t>1</w:t>
            </w:r>
            <w:r w:rsidRPr="00195F4D">
              <w:t xml:space="preserve">) </w:t>
            </w:r>
            <w:r w:rsidRPr="00195F4D">
              <w:rPr>
                <w:rStyle w:val="SpecialBold"/>
              </w:rPr>
              <w:t>Descriptor</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t xml:space="preserve">This unit covers the setting-up and adjusting energy management systems on refrigeration systems for effective energy use. It encompasses safe working practices, system parameter testing and analysis, adjusting equipment and controls, following procedures </w:t>
            </w:r>
            <w:r w:rsidRPr="00195F4D">
              <w:t>and documenting final operating parameters and settings.</w:t>
            </w:r>
          </w:p>
        </w:tc>
      </w:tr>
    </w:tbl>
    <w:p w:rsidR="00C62498" w:rsidP="00195F4D">
      <w:pPr>
        <w:pStyle w:val="BodyText"/>
      </w:pPr>
    </w:p>
    <w:p w:rsidR="00C62498" w:rsidP="00195F4D">
      <w:pPr>
        <w:pStyle w:val="BodyText"/>
      </w:pPr>
    </w:p>
    <w:p w:rsidR="00000000" w:rsidRPr="00195F4D" w:rsidP="00195F4D">
      <w:pPr>
        <w:pStyle w:val="Heading1"/>
      </w:pPr>
      <w:bookmarkStart w:id="3" w:name="O_589646"/>
      <w:bookmarkEnd w:id="3"/>
      <w:r w:rsidRPr="00195F4D">
        <w:t>Application of the Unit</w:t>
      </w:r>
    </w:p>
    <w:tbl>
      <w:tblPr>
        <w:tblW w:w="0" w:type="auto"/>
        <w:tblLayout w:type="fixed"/>
        <w:tblCellMar>
          <w:left w:w="62" w:type="dxa"/>
          <w:right w:w="62" w:type="dxa"/>
        </w:tblCellMar>
        <w:tblLook w:val="0000"/>
      </w:tblPr>
      <w:tblGrid>
        <w:gridCol w:w="2700"/>
        <w:gridCol w:w="5760"/>
      </w:tblGrid>
      <w:tr w:rsidTr="00C624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rPr>
                <w:rStyle w:val="SpecialBold"/>
              </w:rPr>
              <w:t>4</w:t>
            </w:r>
            <w:r w:rsidRPr="00195F4D">
              <w:t>)</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195F4D">
              <w:t>4 level.</w:t>
            </w:r>
          </w:p>
        </w:tc>
      </w:tr>
    </w:tbl>
    <w:p w:rsidR="00C62498" w:rsidP="00195F4D">
      <w:pPr>
        <w:pStyle w:val="BodyText"/>
      </w:pPr>
    </w:p>
    <w:p w:rsidR="00C62498" w:rsidP="00195F4D">
      <w:pPr>
        <w:pStyle w:val="BodyText"/>
      </w:pPr>
    </w:p>
    <w:p w:rsidR="00000000" w:rsidRPr="00195F4D" w:rsidP="00195F4D">
      <w:pPr>
        <w:pStyle w:val="Heading1"/>
      </w:pPr>
      <w:bookmarkStart w:id="4" w:name="O_589645"/>
      <w:bookmarkEnd w:id="4"/>
      <w:r w:rsidRPr="00195F4D">
        <w:t>Licensing/Regulatory Information</w:t>
      </w:r>
    </w:p>
    <w:tbl>
      <w:tblPr>
        <w:tblW w:w="0" w:type="auto"/>
        <w:tblLayout w:type="fixed"/>
        <w:tblCellMar>
          <w:left w:w="62" w:type="dxa"/>
          <w:right w:w="62" w:type="dxa"/>
        </w:tblCellMar>
        <w:tblLook w:val="0000"/>
      </w:tblPr>
      <w:tblGrid>
        <w:gridCol w:w="8460"/>
      </w:tblGrid>
      <w:tr w:rsidTr="00C6249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rPr>
                <w:rStyle w:val="SpecialBold"/>
              </w:rPr>
              <w:t>1</w:t>
            </w:r>
            <w:r w:rsidRPr="00195F4D">
              <w:t>.</w:t>
            </w:r>
            <w:r w:rsidRPr="00195F4D">
              <w:rPr>
                <w:rStyle w:val="SpecialBold"/>
              </w:rPr>
              <w:t>2</w:t>
            </w:r>
            <w:r w:rsidRPr="00195F4D">
              <w:t xml:space="preserve">) </w:t>
            </w:r>
            <w:r w:rsidRPr="00195F4D">
              <w:rPr>
                <w:rStyle w:val="SpecialBold"/>
              </w:rPr>
              <w:t>License to practice</w:t>
            </w:r>
          </w:p>
        </w:tc>
      </w:tr>
      <w:tr w:rsidTr="00C6249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t xml:space="preserve">The skills and knowledge described in this unit require a license to practice in the workplace where plant and equipment operate at voltage </w:t>
            </w:r>
            <w:r w:rsidRPr="00195F4D">
              <w:t>above 50 V a.c. or 120 V d.c. In some States/Territories a licence is required to practise this unit in the workplace subject to regulations for undertaking refrigeration and air conditioning work and in particular working with refrigerants. Practice in wo</w:t>
            </w:r>
            <w:r w:rsidRPr="00195F4D">
              <w:t>rkplace and during training is also subject to regulations directly related to occupational health and safety and where applicable contracts of training such as apprenticeships.</w:t>
            </w:r>
          </w:p>
          <w:p w:rsidR="00000000" w:rsidRPr="00195F4D" w:rsidP="00195F4D">
            <w:pPr>
              <w:pStyle w:val="BodyText"/>
            </w:pPr>
            <w:r w:rsidRPr="00195F4D">
              <w:t xml:space="preserve">Note: </w:t>
            </w:r>
            <w:r w:rsidRPr="00195F4D">
              <w:br/>
              <w:t>1. Compliance with permits may be required in various jurisdictions and</w:t>
            </w:r>
            <w:r w:rsidRPr="00195F4D">
              <w:t xml:space="preserve"> typically relates to the operation of plant, machinery and equipment such as elevating work platforms, powder operated fixing tools, power operated tools, vehicles, road signage and traffic control, lifting equipment. Permits may also be required for some</w:t>
            </w:r>
            <w:r w:rsidRPr="00195F4D">
              <w:t xml:space="preserve"> work environments such as confined spaces, working aloft, near live electrical apparatus and site rehabilitation.</w:t>
            </w:r>
            <w:r w:rsidRPr="00195F4D">
              <w:br/>
              <w:t>2. Compliance may be required in various jurisdictions relating to currency in First Aid, confined space, lifting and risk safety measures.</w:t>
            </w:r>
          </w:p>
        </w:tc>
      </w:tr>
    </w:tbl>
    <w:p w:rsidR="00C62498" w:rsidP="00195F4D">
      <w:pPr>
        <w:pStyle w:val="BodyText"/>
      </w:pPr>
    </w:p>
    <w:p w:rsidR="00C62498" w:rsidP="00195F4D">
      <w:pPr>
        <w:pStyle w:val="BodyText"/>
      </w:pPr>
    </w:p>
    <w:p w:rsidR="00000000" w:rsidRPr="00195F4D" w:rsidP="00195F4D">
      <w:pPr>
        <w:pStyle w:val="Heading1"/>
      </w:pPr>
      <w:bookmarkStart w:id="5" w:name="O_589644"/>
      <w:bookmarkEnd w:id="5"/>
      <w:r w:rsidRPr="00195F4D">
        <w:t>Pre-Requisites</w:t>
      </w:r>
    </w:p>
    <w:tbl>
      <w:tblPr>
        <w:tblW w:w="0" w:type="auto"/>
        <w:tblLayout w:type="fixed"/>
        <w:tblCellMar>
          <w:left w:w="62" w:type="dxa"/>
          <w:right w:w="62" w:type="dxa"/>
        </w:tblCellMar>
        <w:tblLook w:val="0000"/>
      </w:tblPr>
      <w:tblGrid>
        <w:gridCol w:w="2700"/>
        <w:gridCol w:w="1710"/>
        <w:gridCol w:w="4050"/>
      </w:tblGrid>
      <w:tr w:rsidTr="00C624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Prerequisite Unit</w:t>
            </w:r>
            <w:r w:rsidRPr="00195F4D">
              <w:t>(</w:t>
            </w:r>
            <w:r w:rsidRPr="00195F4D">
              <w:rPr>
                <w:rStyle w:val="SpecialBold"/>
              </w:rPr>
              <w:t>s</w:t>
            </w:r>
            <w:r w:rsidRPr="00195F4D">
              <w:t>)</w:t>
            </w:r>
          </w:p>
        </w:tc>
        <w:tc>
          <w:tcPr>
            <w:tcW w:w="5760" w:type="dxa"/>
            <w:gridSpan w:val="2"/>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rPr>
                <w:rStyle w:val="SpecialBold"/>
              </w:rPr>
              <w:t>2</w:t>
            </w:r>
            <w:r w:rsidRPr="00195F4D">
              <w:t xml:space="preserve">) </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95F4D">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rPr>
                <w:rStyle w:val="SpecialBold"/>
              </w:rPr>
              <w:t>2</w:t>
            </w:r>
            <w:r w:rsidRPr="00195F4D">
              <w:t>.</w:t>
            </w:r>
            <w:r w:rsidRPr="00195F4D">
              <w:rPr>
                <w:rStyle w:val="SpecialBold"/>
              </w:rPr>
              <w:t>1</w:t>
            </w:r>
            <w:r w:rsidRPr="00195F4D">
              <w:t xml:space="preserve">) </w:t>
            </w:r>
            <w:r w:rsidRPr="00195F4D">
              <w:rPr>
                <w:rStyle w:val="SpecialBold"/>
              </w:rPr>
              <w:t>Competencies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Granting competency in this unit shall be made only after competency in the following unit(s) has/have been confirmed.</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UEENEEJ109A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Verify functionality and compliance of refrigeration and air conditioning installations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UEENEEE101A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Apply Occupational Health and Safety regulations, codes and practices in the workplace</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UEENEEE102A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Fabricate, assemble and dismantle utilities industry components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UEENEEE003B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Solve problems in extra-low voltage single path circuits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UEENEEE105A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Fix and secure electrotechnology equipment</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UEENEEE107A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Use drawings, diagrams, schedules, standards, c</w:t>
            </w:r>
            <w:r w:rsidRPr="00195F4D">
              <w:t>odes and specifications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UEENEEE137A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Document and apply measures to control OHS risks associated with electrotechnology work</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UEENEEJ102A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Prepare and connect refrigerant tubing and fittings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UEENEEJ103A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Establish the basic operating conditions of vapour compression systems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UEENEEJ104A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Establish the basic operating conditions of air conditioning systems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UEENEEJ106A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Install refrigerant pipe work, flow controls and accessories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UEENEEJ107A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Install ai</w:t>
            </w:r>
            <w:r w:rsidRPr="00195F4D">
              <w:t>r conditioning and refrigeration systems, major components and associated equipment</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UEENEEJ108A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Recover, pressure test, evacuate, charge and leak test refrigerants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UEENEEJ110A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Select refrigerant piping, accessories and associated controls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UEENEEJ111A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Diagnose and rectify faults in air conditioning and refrigeration systems and components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UEENEEJ113A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Commission air conditioning and refrigeration systems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UEENEEJ153A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Find and rectify faults motors and associated controls in refrigeratio</w:t>
            </w:r>
            <w:r w:rsidRPr="00195F4D">
              <w:t>n and air conditioning systems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UEENEEJ170A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Diagnose and rectify faults in air conditioning and refrigeration control systems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UEENEEJ194A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Solve problems in low voltage refrigeration circuits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UEENEEP012A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Disconnect / reconnect composite appliances connected to low voltage installation wiring</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UEENEEP017A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Locate and rectify faults in low voltage composite appliances using set procedures</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UEENEEP024A </w:t>
            </w:r>
          </w:p>
        </w:tc>
        <w:tc>
          <w:tcPr>
            <w:tcW w:w="40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Attach cords and plugs to electrical equipment for con</w:t>
            </w:r>
            <w:r w:rsidRPr="00195F4D">
              <w:t>nection to a single phase 230 Volt supply</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UEENEEP025A </w:t>
            </w:r>
          </w:p>
        </w:tc>
        <w:tc>
          <w:tcPr>
            <w:tcW w:w="4050"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t>Attach cords, cables and plugs to electrical equipment for connection to 1000 Va.c. or 1500 Vd.c. supply</w:t>
            </w:r>
          </w:p>
        </w:tc>
      </w:tr>
    </w:tbl>
    <w:p w:rsidR="00C62498" w:rsidP="00195F4D">
      <w:pPr>
        <w:pStyle w:val="BodyText"/>
      </w:pPr>
    </w:p>
    <w:p w:rsidR="00C62498" w:rsidP="00195F4D">
      <w:pPr>
        <w:pStyle w:val="BodyText"/>
      </w:pPr>
    </w:p>
    <w:p w:rsidR="00000000" w:rsidRPr="00195F4D" w:rsidP="00195F4D">
      <w:pPr>
        <w:pStyle w:val="Heading1"/>
      </w:pPr>
      <w:bookmarkStart w:id="6" w:name="O_589643"/>
      <w:bookmarkEnd w:id="6"/>
      <w:r w:rsidRPr="00195F4D">
        <w:t>Employability Skills Information</w:t>
      </w:r>
    </w:p>
    <w:tbl>
      <w:tblPr>
        <w:tblW w:w="0" w:type="auto"/>
        <w:tblLayout w:type="fixed"/>
        <w:tblCellMar>
          <w:left w:w="62" w:type="dxa"/>
          <w:right w:w="62" w:type="dxa"/>
        </w:tblCellMar>
        <w:tblLook w:val="0000"/>
      </w:tblPr>
      <w:tblGrid>
        <w:gridCol w:w="2700"/>
        <w:gridCol w:w="5760"/>
      </w:tblGrid>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3</w:t>
            </w:r>
            <w:r w:rsidRPr="00195F4D">
              <w:t>)</w:t>
            </w:r>
          </w:p>
          <w:p w:rsidR="00000000" w:rsidRPr="00195F4D" w:rsidP="00195F4D">
            <w:pPr>
              <w:pStyle w:val="BodyText"/>
            </w:pPr>
            <w:r w:rsidRPr="00195F4D">
              <w:t>This unit contains Employability Skills</w:t>
            </w:r>
          </w:p>
          <w:p w:rsidR="00000000" w:rsidRPr="00195F4D" w:rsidP="00195F4D">
            <w:pPr>
              <w:pStyle w:val="BodyText"/>
            </w:pPr>
            <w:r w:rsidRPr="00195F4D">
              <w:t>The required outcomes described in this unit of competency contain applicable facets of Employability Skills. The Employability Skills Summary of the qualification in which this unit of competency is packaged will as</w:t>
            </w:r>
            <w:r w:rsidRPr="00195F4D">
              <w:t>sist in identifying Employability Skill requirements.</w:t>
            </w:r>
          </w:p>
        </w:tc>
      </w:tr>
    </w:tbl>
    <w:p w:rsidR="00C62498" w:rsidP="00195F4D">
      <w:pPr>
        <w:pStyle w:val="BodyText"/>
      </w:pPr>
    </w:p>
    <w:p w:rsidR="00C62498" w:rsidP="00195F4D">
      <w:pPr>
        <w:pStyle w:val="BodyText"/>
      </w:pPr>
    </w:p>
    <w:p w:rsidR="00000000" w:rsidRPr="00195F4D" w:rsidP="00195F4D">
      <w:pPr>
        <w:pStyle w:val="Heading1"/>
      </w:pPr>
      <w:bookmarkStart w:id="7" w:name="O_589642"/>
      <w:bookmarkEnd w:id="7"/>
      <w:r w:rsidRPr="00195F4D">
        <w:t>Elements and Performance Criteria Pre-Content</w:t>
      </w:r>
    </w:p>
    <w:tbl>
      <w:tblPr>
        <w:tblW w:w="0" w:type="auto"/>
        <w:tblLayout w:type="fixed"/>
        <w:tblCellMar>
          <w:left w:w="62" w:type="dxa"/>
          <w:right w:w="62" w:type="dxa"/>
        </w:tblCellMar>
        <w:tblLook w:val="0000"/>
      </w:tblPr>
      <w:tblGrid>
        <w:gridCol w:w="2150"/>
        <w:gridCol w:w="6447"/>
      </w:tblGrid>
      <w:tr w:rsidTr="00C62498">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rPr>
                <w:rStyle w:val="SpecialBold"/>
              </w:rPr>
              <w:t>6</w:t>
            </w:r>
            <w:r w:rsidRPr="00195F4D">
              <w:t>) Elements describe the essential outcomes of a unit</w:t>
            </w:r>
          </w:p>
        </w:tc>
        <w:tc>
          <w:tcPr>
            <w:tcW w:w="6447"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t>Performance criteria describe the required performance needed to demonstrate achie</w:t>
            </w:r>
            <w:r w:rsidRPr="00195F4D">
              <w:t>vement of the element. Assessment of performance is to be consistent with the evidence guide.</w:t>
            </w:r>
          </w:p>
        </w:tc>
      </w:tr>
    </w:tbl>
    <w:p w:rsidR="00000000" w:rsidRPr="00195F4D" w:rsidP="00195F4D">
      <w:pPr>
        <w:pStyle w:val="BodyText"/>
      </w:pPr>
    </w:p>
    <w:p w:rsidR="00000000" w:rsidRPr="00195F4D" w:rsidP="00195F4D">
      <w:pPr>
        <w:pStyle w:val="AllowPageBreak"/>
      </w:pPr>
    </w:p>
    <w:p w:rsidR="00000000" w:rsidRPr="00195F4D" w:rsidP="00195F4D">
      <w:pPr>
        <w:pStyle w:val="Heading1"/>
      </w:pPr>
      <w:bookmarkStart w:id="8" w:name="O_589641"/>
      <w:bookmarkEnd w:id="8"/>
      <w:r w:rsidRPr="00195F4D">
        <w:t>Elements and Performance Criteria</w:t>
      </w:r>
    </w:p>
    <w:tbl>
      <w:tblPr>
        <w:tblW w:w="0" w:type="auto"/>
        <w:tblLayout w:type="fixed"/>
        <w:tblCellMar>
          <w:left w:w="62" w:type="dxa"/>
          <w:right w:w="62" w:type="dxa"/>
        </w:tblCellMar>
        <w:tblLook w:val="0000"/>
      </w:tblPr>
      <w:tblGrid>
        <w:gridCol w:w="365"/>
        <w:gridCol w:w="1785"/>
        <w:gridCol w:w="909"/>
        <w:gridCol w:w="5538"/>
      </w:tblGrid>
      <w:tr w:rsidTr="00C62498">
        <w:tblPrEx>
          <w:tblW w:w="0" w:type="auto"/>
          <w:tblLayout w:type="fixed"/>
          <w:tblCellMar>
            <w:left w:w="62" w:type="dxa"/>
            <w:right w:w="62" w:type="dxa"/>
          </w:tblCellMar>
          <w:tblLook w:val="0000"/>
        </w:tblPrEx>
        <w:trPr>
          <w:tblHeader/>
        </w:trPr>
        <w:tc>
          <w:tcPr>
            <w:tcW w:w="2150" w:type="dxa"/>
            <w:gridSpan w:val="2"/>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ELEMENT</w:t>
            </w:r>
          </w:p>
        </w:tc>
        <w:tc>
          <w:tcPr>
            <w:tcW w:w="6447" w:type="dxa"/>
            <w:gridSpan w:val="2"/>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rPr>
                <w:rStyle w:val="SpecialBold"/>
              </w:rPr>
              <w:t>PERFORMANCE CRITERIA</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1</w:t>
            </w:r>
          </w:p>
        </w:tc>
        <w:tc>
          <w:tcPr>
            <w:tcW w:w="1785" w:type="dxa"/>
            <w:vMerge w:val="restart"/>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Prepare to monitor and adjust energy management systems on refrigeration systems.</w:t>
            </w: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1.1</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OHS procedures for a given work area are identified, obtained and understood</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1.2</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Established OHS risk control measures and procedures are followed in preparation for the work.</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1.3</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Safety hazards which have not previously been identified are noted and established risk control measures are implemented.</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1.4</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Appropriate personnel are consulted to ensure the work is coordinated effectively with others involved on the work site.</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1.5</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System energy parameters are identified by reviewing system specifications and component technical data.</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1.6</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Tools, equipment</w:t>
            </w:r>
            <w:r w:rsidRPr="00195F4D">
              <w:t xml:space="preserve"> and testing devices needed to carry out the work are obtained and checked for correct operation and safety.</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1.7</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Preparatory work is checked to ensure no damage has occurred and complies with requirements</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1.8</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The need to test or measure live is determined in strict accordance with OHS requirements and when necessary conducted within established safety procedures.</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1.9</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Circuits are checked as being isolated where necessary in strict accordance OHS requirements</w:t>
            </w:r>
            <w:r w:rsidRPr="00195F4D">
              <w:t xml:space="preserve"> and procedures.</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2</w:t>
            </w:r>
          </w:p>
        </w:tc>
        <w:tc>
          <w:tcPr>
            <w:tcW w:w="1785" w:type="dxa"/>
            <w:vMerge w:val="restart"/>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Monitor and adjust energy management systems on refrigeration systems.</w:t>
            </w: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2.1</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OHS risk control measures and procedures for carrying out the work are followed.</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2.2</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Testing/measuring devices are connected and set up in accordance with requirements for a particular system.</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2.3</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Monitoring and adjustments are made to equipment components and controls to provide effective energy use in accordance with system specificat</w:t>
            </w:r>
            <w:r w:rsidRPr="00195F4D">
              <w:t>ions and regulatory requirements.</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2.4</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Decisions for dealing with unexpected situations are made from discussions with appropriate persons and job specifications and requirements.</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2.5</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Methods for dealing with unexpected situations are selected on the basis of safety and specified work outcomes.</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2.6</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Monitoring and adjusting is carried out efficiently without waste of materials or damage to apparatus, the surrounding environment or ser</w:t>
            </w:r>
            <w:r w:rsidRPr="00195F4D">
              <w:t>vices and using sustainable energy principles.</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3</w:t>
            </w:r>
          </w:p>
        </w:tc>
        <w:tc>
          <w:tcPr>
            <w:tcW w:w="1785"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Completion and report monitoring adjusting activities.</w:t>
            </w: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3.1</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OHS risk control work completion measures and procedures are followed.</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3.2</w:t>
            </w:r>
          </w:p>
        </w:tc>
        <w:tc>
          <w:tcPr>
            <w:tcW w:w="5538"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Work site is cleaned and made safe in accordance with established pro</w:t>
            </w:r>
            <w:r w:rsidRPr="00195F4D">
              <w:t>cedures.</w:t>
            </w:r>
          </w:p>
        </w:tc>
      </w:tr>
      <w:tr w:rsidTr="00C62498">
        <w:tblPrEx>
          <w:tblW w:w="0" w:type="auto"/>
          <w:tblLayout w:type="fixed"/>
          <w:tblCellMar>
            <w:left w:w="62" w:type="dxa"/>
            <w:right w:w="62" w:type="dxa"/>
          </w:tblCellMar>
          <w:tblLook w:val="0000"/>
        </w:tblPrEx>
        <w:tc>
          <w:tcPr>
            <w:tcW w:w="3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3.3</w:t>
            </w:r>
          </w:p>
        </w:tc>
        <w:tc>
          <w:tcPr>
            <w:tcW w:w="5538"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t>Monitoring and adjustment settings are documented and an appropriate person or persons notified in accordance with established procedures.</w:t>
            </w:r>
          </w:p>
        </w:tc>
      </w:tr>
    </w:tbl>
    <w:p w:rsidR="00C62498" w:rsidP="00195F4D">
      <w:pPr>
        <w:pStyle w:val="BodyText"/>
      </w:pPr>
    </w:p>
    <w:p w:rsidR="00C62498" w:rsidP="00195F4D">
      <w:pPr>
        <w:pStyle w:val="BodyText"/>
      </w:pPr>
    </w:p>
    <w:p w:rsidR="00000000" w:rsidRPr="00195F4D" w:rsidP="00195F4D">
      <w:pPr>
        <w:pStyle w:val="Heading1"/>
      </w:pPr>
      <w:bookmarkStart w:id="9" w:name="O_589640"/>
      <w:bookmarkEnd w:id="9"/>
      <w:r w:rsidRPr="00195F4D">
        <w:t>Required Skills and Knowledge</w:t>
      </w:r>
    </w:p>
    <w:tbl>
      <w:tblPr>
        <w:tblW w:w="0" w:type="auto"/>
        <w:tblLayout w:type="fixed"/>
        <w:tblCellMar>
          <w:left w:w="62" w:type="dxa"/>
          <w:right w:w="62" w:type="dxa"/>
        </w:tblCellMar>
        <w:tblLook w:val="0000"/>
      </w:tblPr>
      <w:tblGrid>
        <w:gridCol w:w="8597"/>
      </w:tblGrid>
      <w:tr w:rsidTr="00C62498">
        <w:tblPrEx>
          <w:tblW w:w="0" w:type="auto"/>
          <w:tblLayout w:type="fixed"/>
          <w:tblCellMar>
            <w:left w:w="62" w:type="dxa"/>
            <w:right w:w="62" w:type="dxa"/>
          </w:tblCellMar>
          <w:tblLook w:val="0000"/>
        </w:tblPrEx>
        <w:trPr>
          <w:tblHeader/>
        </w:trPr>
        <w:tc>
          <w:tcPr>
            <w:tcW w:w="8597"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rPr>
                <w:rStyle w:val="SpecialBold"/>
              </w:rPr>
              <w:t>REQUIRED SKILLS AND KNOWLEDGE</w:t>
            </w:r>
          </w:p>
        </w:tc>
      </w:tr>
      <w:tr w:rsidTr="00C62498">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rPr>
                <w:rStyle w:val="SpecialBold"/>
              </w:rPr>
              <w:t>7)</w:t>
            </w:r>
            <w:r w:rsidRPr="00195F4D">
              <w:t xml:space="preserve"> This describes the essential skills and knowledge and their level, required for this unit.</w:t>
            </w:r>
          </w:p>
        </w:tc>
      </w:tr>
      <w:tr w:rsidTr="00C62498">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t xml:space="preserve">Evidence shall show that knowledge has been acquired of safe working practices and monitoring and adjusting energy management systems on refrigeration systems. </w:t>
            </w:r>
          </w:p>
          <w:p w:rsidR="00000000" w:rsidRPr="00195F4D" w:rsidP="00195F4D">
            <w:pPr>
              <w:pStyle w:val="BodyText"/>
            </w:pPr>
            <w:r w:rsidRPr="00195F4D">
              <w:t>All knowledge and skills detailed in this unit should be contextualised to current industry practices and technologies.</w:t>
            </w:r>
          </w:p>
          <w:p w:rsidR="00000000" w:rsidRPr="00195F4D" w:rsidP="00195F4D">
            <w:pPr>
              <w:pStyle w:val="BodyText"/>
            </w:pPr>
            <w:r w:rsidRPr="00195F4D">
              <w:rPr>
                <w:rStyle w:val="SpecialBold"/>
              </w:rPr>
              <w:t xml:space="preserve">KS01-EJ121A </w:t>
            </w:r>
            <w:r w:rsidRPr="00195F4D">
              <w:rPr>
                <w:rStyle w:val="SpecialBold"/>
              </w:rPr>
              <w:tab/>
              <w:t xml:space="preserve">              Energy management systems for commercial refrigeration</w:t>
            </w:r>
          </w:p>
          <w:p w:rsidR="00000000" w:rsidRPr="00195F4D" w:rsidP="00195F4D">
            <w:pPr>
              <w:pStyle w:val="BodyText"/>
            </w:pPr>
            <w:r w:rsidRPr="00195F4D">
              <w:t>Evidence shall show an understanding of energy managem</w:t>
            </w:r>
            <w:r w:rsidRPr="00195F4D">
              <w:t>ent systems for commercial refrigeration, applying safe working practices and relevant Standards, Codes and Regulations to an extent indicated by the following aspects:</w:t>
            </w:r>
          </w:p>
          <w:p w:rsidR="00000000" w:rsidRPr="00195F4D" w:rsidP="00195F4D">
            <w:pPr>
              <w:pStyle w:val="BodyText"/>
            </w:pPr>
            <w:r w:rsidRPr="00195F4D">
              <w:t>T1            Functions of a commercial refrigeration E.M.S.</w:t>
            </w:r>
          </w:p>
          <w:p w:rsidR="00000000" w:rsidRPr="00195F4D" w:rsidP="00195F4D">
            <w:pPr>
              <w:pStyle w:val="ListBullet"/>
            </w:pPr>
            <w:r w:rsidRPr="00195F4D">
              <w:t>General control function</w:t>
            </w:r>
          </w:p>
          <w:p w:rsidR="00000000" w:rsidRPr="00195F4D" w:rsidP="00195F4D">
            <w:pPr>
              <w:pStyle w:val="ListBullet"/>
            </w:pPr>
            <w:r w:rsidRPr="00195F4D">
              <w:t>Inputs</w:t>
            </w:r>
          </w:p>
          <w:p w:rsidR="00000000" w:rsidRPr="00195F4D" w:rsidP="00195F4D">
            <w:pPr>
              <w:pStyle w:val="ListBullet"/>
            </w:pPr>
            <w:r w:rsidRPr="00195F4D">
              <w:t>Outputs</w:t>
            </w:r>
          </w:p>
          <w:p w:rsidR="00000000" w:rsidRPr="00195F4D" w:rsidP="00195F4D">
            <w:pPr>
              <w:pStyle w:val="ListBullet"/>
            </w:pPr>
            <w:r w:rsidRPr="00195F4D">
              <w:t>Communications</w:t>
            </w:r>
          </w:p>
          <w:p w:rsidR="00000000" w:rsidRPr="00195F4D" w:rsidP="00195F4D">
            <w:pPr>
              <w:pStyle w:val="ListBullet"/>
            </w:pPr>
            <w:r w:rsidRPr="00195F4D">
              <w:t>Graphing</w:t>
            </w:r>
          </w:p>
          <w:p w:rsidR="00000000" w:rsidRPr="00195F4D" w:rsidP="00195F4D">
            <w:pPr>
              <w:pStyle w:val="ListBullet"/>
            </w:pPr>
            <w:r w:rsidRPr="00195F4D">
              <w:t>Supervising</w:t>
            </w:r>
          </w:p>
          <w:p w:rsidR="00000000" w:rsidRPr="00195F4D" w:rsidP="00195F4D">
            <w:pPr>
              <w:pStyle w:val="ListBullet"/>
            </w:pPr>
            <w:r w:rsidRPr="00195F4D">
              <w:t>Data logging</w:t>
            </w:r>
          </w:p>
          <w:p w:rsidR="00000000" w:rsidRPr="00195F4D" w:rsidP="00195F4D">
            <w:pPr>
              <w:pStyle w:val="ListBullet"/>
            </w:pPr>
            <w:r w:rsidRPr="00195F4D">
              <w:t>Scheduling</w:t>
            </w:r>
          </w:p>
          <w:p w:rsidR="00000000" w:rsidRPr="00195F4D" w:rsidP="00195F4D">
            <w:pPr>
              <w:pStyle w:val="ListBullet"/>
            </w:pPr>
            <w:r w:rsidRPr="00195F4D">
              <w:t>Alarms</w:t>
            </w:r>
          </w:p>
          <w:p w:rsidR="00000000" w:rsidRPr="00195F4D" w:rsidP="00195F4D">
            <w:pPr>
              <w:pStyle w:val="ListBullet"/>
            </w:pPr>
            <w:r w:rsidRPr="00195F4D">
              <w:t>Power consumption</w:t>
            </w:r>
          </w:p>
          <w:p w:rsidR="00000000" w:rsidRPr="00195F4D" w:rsidP="00195F4D">
            <w:pPr>
              <w:pStyle w:val="BodyText"/>
            </w:pPr>
            <w:r w:rsidRPr="00195F4D">
              <w:t>T2           E.M.S. control components</w:t>
            </w:r>
          </w:p>
          <w:p w:rsidR="00000000" w:rsidRPr="00195F4D" w:rsidP="00195F4D">
            <w:pPr>
              <w:pStyle w:val="ListBullet"/>
            </w:pPr>
            <w:r w:rsidRPr="00195F4D">
              <w:t>Identify components</w:t>
            </w:r>
          </w:p>
          <w:p w:rsidR="00000000" w:rsidRPr="00195F4D" w:rsidP="00195F4D">
            <w:pPr>
              <w:pStyle w:val="ListBullet"/>
            </w:pPr>
            <w:r w:rsidRPr="00195F4D">
              <w:t>Pressure sensors</w:t>
            </w:r>
          </w:p>
          <w:p w:rsidR="00000000" w:rsidRPr="00195F4D" w:rsidP="00195F4D">
            <w:pPr>
              <w:pStyle w:val="ListBullet"/>
            </w:pPr>
            <w:r w:rsidRPr="00195F4D">
              <w:t>Temperature sensors</w:t>
            </w:r>
          </w:p>
          <w:p w:rsidR="00000000" w:rsidRPr="00195F4D" w:rsidP="00195F4D">
            <w:pPr>
              <w:pStyle w:val="ListBullet"/>
            </w:pPr>
            <w:r w:rsidRPr="00195F4D">
              <w:t>Time clocks</w:t>
            </w:r>
          </w:p>
          <w:p w:rsidR="00000000" w:rsidRPr="00195F4D" w:rsidP="00195F4D">
            <w:pPr>
              <w:pStyle w:val="ListBullet"/>
            </w:pPr>
            <w:r w:rsidRPr="00195F4D">
              <w:t>Humidity sensors</w:t>
            </w:r>
          </w:p>
          <w:p w:rsidR="00000000" w:rsidRPr="00195F4D" w:rsidP="00195F4D">
            <w:pPr>
              <w:pStyle w:val="ListBullet"/>
            </w:pPr>
            <w:r w:rsidRPr="00195F4D">
              <w:t>Liquid level sensors</w:t>
            </w:r>
          </w:p>
          <w:p w:rsidR="00000000" w:rsidRPr="00195F4D" w:rsidP="00195F4D">
            <w:pPr>
              <w:pStyle w:val="ListBullet"/>
            </w:pPr>
            <w:r w:rsidRPr="00195F4D">
              <w:t>Leak detector sensor</w:t>
            </w:r>
          </w:p>
          <w:p w:rsidR="00000000" w:rsidRPr="00195F4D" w:rsidP="00195F4D">
            <w:pPr>
              <w:pStyle w:val="ListBullet"/>
            </w:pPr>
            <w:r w:rsidRPr="00195F4D">
              <w:t>State the function and operating parameters of components</w:t>
            </w:r>
          </w:p>
          <w:p w:rsidR="00000000" w:rsidRPr="00195F4D" w:rsidP="00195F4D">
            <w:pPr>
              <w:pStyle w:val="ListBullet"/>
            </w:pPr>
            <w:r w:rsidRPr="00195F4D">
              <w:t>Pressure sensors</w:t>
            </w:r>
          </w:p>
          <w:p w:rsidR="00000000" w:rsidRPr="00195F4D" w:rsidP="00195F4D">
            <w:pPr>
              <w:pStyle w:val="ListBullet"/>
            </w:pPr>
            <w:r w:rsidRPr="00195F4D">
              <w:t>Temperature sensors</w:t>
            </w:r>
          </w:p>
          <w:p w:rsidR="00000000" w:rsidRPr="00195F4D" w:rsidP="00195F4D">
            <w:pPr>
              <w:pStyle w:val="ListBullet"/>
            </w:pPr>
            <w:r w:rsidRPr="00195F4D">
              <w:t>Time clocks</w:t>
            </w:r>
          </w:p>
          <w:p w:rsidR="00000000" w:rsidRPr="00195F4D" w:rsidP="00195F4D">
            <w:pPr>
              <w:pStyle w:val="ListBullet"/>
            </w:pPr>
            <w:r w:rsidRPr="00195F4D">
              <w:t>Humidity sensors</w:t>
            </w:r>
          </w:p>
          <w:p w:rsidR="00000000" w:rsidRPr="00195F4D" w:rsidP="00195F4D">
            <w:pPr>
              <w:pStyle w:val="ListBullet"/>
            </w:pPr>
            <w:r w:rsidRPr="00195F4D">
              <w:t>Liquid level sensors</w:t>
            </w:r>
          </w:p>
          <w:p w:rsidR="00000000" w:rsidRPr="00195F4D" w:rsidP="00195F4D">
            <w:pPr>
              <w:pStyle w:val="ListBullet"/>
            </w:pPr>
            <w:r w:rsidRPr="00195F4D">
              <w:t>Leak detector sensors</w:t>
            </w:r>
          </w:p>
          <w:p w:rsidR="00000000" w:rsidRPr="00195F4D" w:rsidP="00195F4D">
            <w:pPr>
              <w:pStyle w:val="BodyText"/>
            </w:pPr>
            <w:r w:rsidRPr="00195F4D">
              <w:t>T3           Installation requirements and consideration</w:t>
            </w:r>
          </w:p>
          <w:p w:rsidR="00000000" w:rsidRPr="00195F4D" w:rsidP="00195F4D">
            <w:pPr>
              <w:pStyle w:val="ListBullet"/>
            </w:pPr>
            <w:r w:rsidRPr="00195F4D">
              <w:t>Installati</w:t>
            </w:r>
            <w:r w:rsidRPr="00195F4D">
              <w:t>on of controller(s)</w:t>
            </w:r>
          </w:p>
          <w:p w:rsidR="00000000" w:rsidRPr="00195F4D" w:rsidP="00195F4D">
            <w:pPr>
              <w:pStyle w:val="ListBullet"/>
            </w:pPr>
            <w:r w:rsidRPr="00195F4D">
              <w:t>Installation of refrigerant leak detector</w:t>
            </w:r>
          </w:p>
          <w:p w:rsidR="00000000" w:rsidRPr="00195F4D" w:rsidP="00195F4D">
            <w:pPr>
              <w:pStyle w:val="ListBullet"/>
            </w:pPr>
            <w:r w:rsidRPr="00195F4D">
              <w:t>Systems</w:t>
            </w:r>
          </w:p>
          <w:p w:rsidR="00000000" w:rsidRPr="00195F4D" w:rsidP="00195F4D">
            <w:pPr>
              <w:pStyle w:val="ListBullet"/>
            </w:pPr>
            <w:r w:rsidRPr="00195F4D">
              <w:t>Installation of accessory boards</w:t>
            </w:r>
          </w:p>
          <w:p w:rsidR="00000000" w:rsidRPr="00195F4D" w:rsidP="00195F4D">
            <w:pPr>
              <w:pStyle w:val="ListBullet"/>
            </w:pPr>
            <w:r w:rsidRPr="00195F4D">
              <w:t>Installation of pressure transducers &amp; wiring</w:t>
            </w:r>
          </w:p>
          <w:p w:rsidR="00000000" w:rsidRPr="00195F4D" w:rsidP="00195F4D">
            <w:pPr>
              <w:pStyle w:val="ListBullet"/>
            </w:pPr>
            <w:r w:rsidRPr="00195F4D">
              <w:t>Installation of temperature sensors &amp; wiring</w:t>
            </w:r>
          </w:p>
          <w:p w:rsidR="00000000" w:rsidRPr="00195F4D" w:rsidP="00195F4D">
            <w:pPr>
              <w:pStyle w:val="ListBullet"/>
            </w:pPr>
            <w:r w:rsidRPr="00195F4D">
              <w:t>Control wiring considerations</w:t>
            </w:r>
          </w:p>
          <w:p w:rsidR="00000000" w:rsidRPr="00195F4D" w:rsidP="00195F4D">
            <w:pPr>
              <w:pStyle w:val="BodyText"/>
            </w:pPr>
            <w:r w:rsidRPr="00195F4D">
              <w:t>T4           System design and a</w:t>
            </w:r>
            <w:r w:rsidRPr="00195F4D">
              <w:t>pplications</w:t>
            </w:r>
          </w:p>
          <w:p w:rsidR="00000000" w:rsidRPr="00195F4D" w:rsidP="00195F4D">
            <w:pPr>
              <w:pStyle w:val="ListBullet"/>
            </w:pPr>
            <w:r w:rsidRPr="00195F4D">
              <w:t>Select control components to suit given applications</w:t>
            </w:r>
          </w:p>
          <w:p w:rsidR="00000000" w:rsidRPr="00195F4D" w:rsidP="00195F4D">
            <w:pPr>
              <w:pStyle w:val="ListBullet"/>
            </w:pPr>
            <w:r w:rsidRPr="00195F4D">
              <w:t>Determine system operating parameters</w:t>
            </w:r>
          </w:p>
          <w:p w:rsidR="00000000" w:rsidRPr="00195F4D" w:rsidP="00195F4D">
            <w:pPr>
              <w:pStyle w:val="ListBullet"/>
            </w:pPr>
            <w:r w:rsidRPr="00195F4D">
              <w:t>Pressure sensors</w:t>
            </w:r>
          </w:p>
          <w:p w:rsidR="00000000" w:rsidRPr="00195F4D" w:rsidP="00195F4D">
            <w:pPr>
              <w:pStyle w:val="ListBullet"/>
            </w:pPr>
            <w:r w:rsidRPr="00195F4D">
              <w:t>Temperature sensors</w:t>
            </w:r>
          </w:p>
          <w:p w:rsidR="00000000" w:rsidRPr="00195F4D" w:rsidP="00195F4D">
            <w:pPr>
              <w:pStyle w:val="ListBullet"/>
            </w:pPr>
            <w:r w:rsidRPr="00195F4D">
              <w:t>Time clocks</w:t>
            </w:r>
          </w:p>
          <w:p w:rsidR="00000000" w:rsidRPr="00195F4D" w:rsidP="00195F4D">
            <w:pPr>
              <w:pStyle w:val="ListBullet"/>
            </w:pPr>
            <w:r w:rsidRPr="00195F4D">
              <w:t>Humidity sensors</w:t>
            </w:r>
          </w:p>
          <w:p w:rsidR="00000000" w:rsidRPr="00195F4D" w:rsidP="00195F4D">
            <w:pPr>
              <w:pStyle w:val="ListBullet"/>
            </w:pPr>
            <w:r w:rsidRPr="00195F4D">
              <w:t>Liquid level sensors</w:t>
            </w:r>
          </w:p>
          <w:p w:rsidR="00000000" w:rsidRPr="00195F4D" w:rsidP="00195F4D">
            <w:pPr>
              <w:pStyle w:val="ListBullet"/>
            </w:pPr>
            <w:r w:rsidRPr="00195F4D">
              <w:t>Leak detector sensors</w:t>
            </w:r>
          </w:p>
          <w:p w:rsidR="00000000" w:rsidRPr="00195F4D" w:rsidP="00195F4D">
            <w:pPr>
              <w:pStyle w:val="ListBullet"/>
            </w:pPr>
            <w:r w:rsidRPr="00195F4D">
              <w:t>Defrost</w:t>
            </w:r>
          </w:p>
          <w:p w:rsidR="00000000" w:rsidRPr="00195F4D" w:rsidP="00195F4D">
            <w:pPr>
              <w:pStyle w:val="ListBullet"/>
            </w:pPr>
            <w:r w:rsidRPr="00195F4D">
              <w:t>Alarm panel</w:t>
            </w:r>
          </w:p>
          <w:p w:rsidR="00000000" w:rsidRPr="00195F4D" w:rsidP="00195F4D">
            <w:pPr>
              <w:pStyle w:val="BodyText"/>
            </w:pPr>
            <w:r w:rsidRPr="00195F4D">
              <w:t>T5           Programming a control system</w:t>
            </w:r>
          </w:p>
          <w:p w:rsidR="00000000" w:rsidRPr="00195F4D" w:rsidP="00195F4D">
            <w:pPr>
              <w:pStyle w:val="ListBullet"/>
            </w:pPr>
            <w:r w:rsidRPr="00195F4D">
              <w:t>Display terminal and keypad functions</w:t>
            </w:r>
          </w:p>
          <w:p w:rsidR="00000000" w:rsidRPr="00195F4D" w:rsidP="00195F4D">
            <w:pPr>
              <w:pStyle w:val="ListBullet"/>
            </w:pPr>
            <w:r w:rsidRPr="00195F4D">
              <w:t>Calibration of sensors</w:t>
            </w:r>
          </w:p>
          <w:p w:rsidR="00000000" w:rsidRPr="00195F4D" w:rsidP="00195F4D">
            <w:pPr>
              <w:pStyle w:val="ListBullet"/>
            </w:pPr>
            <w:r w:rsidRPr="00195F4D">
              <w:t>Changing original settings</w:t>
            </w:r>
          </w:p>
          <w:p w:rsidR="00000000" w:rsidRPr="00195F4D" w:rsidP="00195F4D">
            <w:pPr>
              <w:pStyle w:val="ListBullet"/>
            </w:pPr>
            <w:r w:rsidRPr="00195F4D">
              <w:t>Program a given set of parameters to suit an application</w:t>
            </w:r>
          </w:p>
          <w:p w:rsidR="00000000" w:rsidRPr="00195F4D" w:rsidP="00195F4D">
            <w:pPr>
              <w:pStyle w:val="BodyText"/>
            </w:pPr>
            <w:r w:rsidRPr="00195F4D">
              <w:t>T6           Component testing and fault finding</w:t>
            </w:r>
          </w:p>
          <w:p w:rsidR="00000000" w:rsidRPr="00195F4D" w:rsidP="00195F4D">
            <w:pPr>
              <w:pStyle w:val="ListBullet"/>
            </w:pPr>
            <w:r w:rsidRPr="00195F4D">
              <w:t>Trouble shooting</w:t>
            </w:r>
          </w:p>
          <w:p w:rsidR="00000000" w:rsidRPr="00195F4D" w:rsidP="00195F4D">
            <w:pPr>
              <w:pStyle w:val="ListBullet"/>
            </w:pPr>
            <w:r w:rsidRPr="00195F4D">
              <w:t>T</w:t>
            </w:r>
            <w:r w:rsidRPr="00195F4D">
              <w:t>esting of components</w:t>
            </w:r>
          </w:p>
        </w:tc>
      </w:tr>
    </w:tbl>
    <w:p w:rsidR="00C62498" w:rsidP="00195F4D">
      <w:pPr>
        <w:pStyle w:val="BodyText"/>
      </w:pPr>
    </w:p>
    <w:p w:rsidR="00C62498" w:rsidP="00195F4D">
      <w:pPr>
        <w:pStyle w:val="BodyText"/>
      </w:pPr>
    </w:p>
    <w:p w:rsidR="00000000" w:rsidRPr="00195F4D" w:rsidP="00195F4D">
      <w:pPr>
        <w:pStyle w:val="Heading1"/>
      </w:pPr>
      <w:bookmarkStart w:id="10" w:name="O_589639"/>
      <w:bookmarkEnd w:id="10"/>
      <w:r w:rsidRPr="00195F4D">
        <w:t>Evidence Guide</w:t>
      </w:r>
    </w:p>
    <w:tbl>
      <w:tblPr>
        <w:tblW w:w="0" w:type="auto"/>
        <w:tblLayout w:type="fixed"/>
        <w:tblCellMar>
          <w:left w:w="62" w:type="dxa"/>
          <w:right w:w="62" w:type="dxa"/>
        </w:tblCellMar>
        <w:tblLook w:val="0000"/>
      </w:tblPr>
      <w:tblGrid>
        <w:gridCol w:w="2160"/>
        <w:gridCol w:w="236"/>
        <w:gridCol w:w="540"/>
        <w:gridCol w:w="5572"/>
        <w:gridCol w:w="89"/>
      </w:tblGrid>
      <w:tr w:rsidTr="00C62498">
        <w:tblPrEx>
          <w:tblW w:w="0" w:type="auto"/>
          <w:tblLayout w:type="fixed"/>
          <w:tblCellMar>
            <w:left w:w="62" w:type="dxa"/>
            <w:right w:w="62" w:type="dxa"/>
          </w:tblCellMar>
          <w:tblLook w:val="0000"/>
        </w:tblPrEx>
        <w:trPr>
          <w:gridAfter w:val="1"/>
          <w:wAfter w:w="89" w:type="dxa"/>
          <w:tblHeader/>
        </w:trPr>
        <w:tc>
          <w:tcPr>
            <w:tcW w:w="8508" w:type="dxa"/>
            <w:gridSpan w:val="4"/>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rPr>
                <w:rStyle w:val="SpecialBold"/>
              </w:rPr>
              <w:t>EVIDENCE GUIDE</w:t>
            </w:r>
          </w:p>
        </w:tc>
      </w:tr>
      <w:tr w:rsidTr="00C62498">
        <w:tblPrEx>
          <w:tblW w:w="0" w:type="auto"/>
          <w:tblLayout w:type="fixed"/>
          <w:tblCellMar>
            <w:left w:w="62" w:type="dxa"/>
            <w:right w:w="62" w:type="dxa"/>
          </w:tblCellMar>
          <w:tblLook w:val="0000"/>
        </w:tblPrEx>
        <w:trPr>
          <w:gridAfter w:val="1"/>
          <w:wAfter w:w="89" w:type="dxa"/>
        </w:trPr>
        <w:tc>
          <w:tcPr>
            <w:tcW w:w="8508" w:type="dxa"/>
            <w:gridSpan w:val="4"/>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9</w:t>
            </w:r>
            <w:r w:rsidRPr="00195F4D">
              <w:t xml:space="preserve">) The evidence guide provides advice on assessment and must be read in conjunction with the Performance </w:t>
            </w:r>
            <w:r w:rsidRPr="00195F4D">
              <w:t>Criteria, Required Skills and Knowledge, the Range Statement and the Assessment Guidelines for this Training Package. .</w:t>
            </w:r>
          </w:p>
          <w:p w:rsidR="00000000" w:rsidP="00195F4D">
            <w:pPr>
              <w:pStyle w:val="BodyText"/>
              <w:rPr>
                <w:lang w:val="en-NZ"/>
              </w:rPr>
            </w:pPr>
            <w:r w:rsidRPr="00195F4D">
              <w:t>The Evidence Guide forms an integral part of this Unit. It must be used in conjunction with all parts of this unit and performed in acco</w:t>
            </w:r>
            <w:r w:rsidRPr="00195F4D">
              <w:t>rdance with the Assessment Guidelines of this Training Package.</w:t>
            </w:r>
          </w:p>
        </w:tc>
      </w:tr>
      <w:tr w:rsidTr="00C62498">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9</w:t>
            </w:r>
            <w:r w:rsidRPr="00195F4D">
              <w:t>.</w:t>
            </w:r>
            <w:r w:rsidRPr="00195F4D">
              <w:rPr>
                <w:rStyle w:val="SpecialBold"/>
              </w:rPr>
              <w:t>1</w:t>
            </w:r>
            <w:r w:rsidRPr="00195F4D">
              <w:t xml:space="preserve">) </w:t>
            </w:r>
          </w:p>
          <w:p w:rsidR="00000000" w:rsidRPr="00195F4D" w:rsidP="00195F4D">
            <w:pPr>
              <w:pStyle w:val="BodyText"/>
            </w:pPr>
            <w:r w:rsidRPr="00195F4D">
              <w:t>Longitudinal competency development approaches to assessment, such as Profiling, require data to be reliably gathered in a form that c</w:t>
            </w:r>
            <w:r w:rsidRPr="00195F4D">
              <w:t>an be consistently interpreted over time. This approach is best utilised in Apprenticeship programs and reduces assessment intervention. It is the industry-preferred model for apprenticeships. However, where summative (or final) assessment is used it is to</w:t>
            </w:r>
            <w:r w:rsidRPr="00195F4D">
              <w:t xml:space="preserve"> include the application of the competency in the normal work environment or, at a minimum, the application of the competency in a realistically simulated work environment. In some circumstances, assessment in part or full can occur outside the workplace. </w:t>
            </w:r>
            <w:r w:rsidRPr="00195F4D">
              <w:t>However, it must be in accordance with industry and regulatory policy.</w:t>
            </w:r>
          </w:p>
          <w:p w:rsidR="00000000" w:rsidRPr="00195F4D" w:rsidP="00195F4D">
            <w:pPr>
              <w:pStyle w:val="BodyText"/>
            </w:pPr>
            <w:r w:rsidRPr="00195F4D">
              <w:t xml:space="preserve">Methods chosen for a particular assessment will be influenced by various factors. These include the extent of the assessment, the most effective locations for the assessment activities </w:t>
            </w:r>
            <w:r w:rsidRPr="00195F4D">
              <w:t>to take place, access to physical resources, additional safety measures that may be required and the critical nature of the competencies being assessed.</w:t>
            </w:r>
          </w:p>
          <w:p w:rsidR="00000000" w:rsidRPr="00195F4D" w:rsidP="00195F4D">
            <w:pPr>
              <w:pStyle w:val="BodyText"/>
            </w:pPr>
            <w:r w:rsidRPr="00195F4D">
              <w:t>The critical safety nature of working with electricity, electrical equipment, gas or any other hazardou</w:t>
            </w:r>
            <w:r w:rsidRPr="00195F4D">
              <w:t>s substance/material carries risk in deeming a person competent. Sources of evidence need to be 'rich' in nature to minimise error in judgment.</w:t>
            </w:r>
          </w:p>
          <w:p w:rsidR="00000000" w:rsidP="00195F4D">
            <w:pPr>
              <w:pStyle w:val="BodyText"/>
              <w:rPr>
                <w:lang w:val="en-NZ"/>
              </w:rPr>
            </w:pPr>
            <w:r w:rsidRPr="00195F4D">
              <w:t>Activities associated with normal everyday work influence decisions about how/how much the data gathered will co</w:t>
            </w:r>
            <w:r w:rsidRPr="00195F4D">
              <w:t>ntribute to its 'richness'. Some skills are more critical to safety and operational requirements while the same skills may be more or less frequently practised. These points are raised for the assessors to consider when choosing an assessment method and de</w:t>
            </w:r>
            <w:r w:rsidRPr="00195F4D">
              <w:t>veloping assessment instruments. Sample assessment instruments are included for Assessors in the Assessment Guidelines of this Training Package.</w:t>
            </w:r>
          </w:p>
        </w:tc>
      </w:tr>
      <w:tr w:rsidTr="00C62498">
        <w:tblPrEx>
          <w:tblW w:w="0" w:type="auto"/>
          <w:tblLayout w:type="fixed"/>
          <w:tblCellMar>
            <w:left w:w="62" w:type="dxa"/>
            <w:right w:w="62" w:type="dxa"/>
          </w:tblCellMar>
          <w:tblLook w:val="0000"/>
        </w:tblPrEx>
        <w:trPr>
          <w:gridAfter w:val="1"/>
          <w:wAfter w:w="89" w:type="dxa"/>
        </w:trPr>
        <w:tc>
          <w:tcPr>
            <w:tcW w:w="2160" w:type="dxa"/>
            <w:vMerge w:val="restart"/>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 xml:space="preserve">Critical aspects of evidence required to demonstrate competency </w:t>
            </w:r>
            <w:r w:rsidRPr="00195F4D">
              <w:rPr>
                <w:rStyle w:val="SpecialBold"/>
              </w:rPr>
              <w:t>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9</w:t>
            </w:r>
            <w:r w:rsidRPr="00195F4D">
              <w:t>.</w:t>
            </w:r>
            <w:r w:rsidRPr="00195F4D">
              <w:rPr>
                <w:rStyle w:val="SpecialBold"/>
              </w:rPr>
              <w:t>2</w:t>
            </w:r>
            <w:r w:rsidRPr="00195F4D">
              <w:t xml:space="preserve">) </w:t>
            </w:r>
          </w:p>
          <w:p w:rsidR="00000000" w:rsidP="00195F4D">
            <w:pPr>
              <w:pStyle w:val="BodyText"/>
              <w:rPr>
                <w:lang w:val="en-NZ"/>
              </w:rPr>
            </w:pPr>
            <w:r w:rsidRPr="00195F4D">
              <w:t>Before the critical aspec</w:t>
            </w:r>
            <w:r w:rsidRPr="00195F4D">
              <w:t>ts of evidence are considered all prerequisites must be met.</w:t>
            </w:r>
          </w:p>
        </w:tc>
      </w:tr>
      <w:tr w:rsidTr="00C62498">
        <w:tblPrEx>
          <w:tblW w:w="0" w:type="auto"/>
          <w:tblLayout w:type="fixed"/>
          <w:tblCellMar>
            <w:left w:w="62" w:type="dxa"/>
            <w:right w:w="62" w:type="dxa"/>
          </w:tblCellMar>
          <w:tblLook w:val="0000"/>
        </w:tblPrEx>
        <w:trPr>
          <w:gridAfter w:val="1"/>
          <w:wAfter w:w="89"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t xml:space="preserve">Evidence for competence in this unit shall be considered holistically.  Each Element and associated performance criteria shall be demonstrated </w:t>
            </w:r>
            <w:r w:rsidRPr="00195F4D">
              <w:t>on at least two occasions in accordance with the 'Assessment Guidelines - UEE07'.  Evidence shall also comprise:</w:t>
            </w:r>
          </w:p>
          <w:p w:rsidR="00000000" w:rsidP="00195F4D">
            <w:pPr>
              <w:pStyle w:val="ListBullet"/>
              <w:rPr>
                <w:lang w:val="en-NZ"/>
              </w:rPr>
            </w:pPr>
            <w:r w:rsidRPr="00195F4D">
              <w:t>A representative body of work performance demonstrated within the timeframes typically expected of the discipline, work function and industria</w:t>
            </w:r>
            <w:r w:rsidRPr="00195F4D">
              <w:t>l environment. In particular this shall incorporate evidence that shows a candidate is able to:</w:t>
            </w:r>
          </w:p>
        </w:tc>
      </w:tr>
      <w:tr w:rsidTr="00C62498">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195F4D" w:rsidP="00195F4D">
            <w:pPr>
              <w:pStyle w:val="ListBullet2"/>
            </w:pPr>
            <w:r w:rsidRPr="00195F4D">
              <w:t xml:space="preserve">Implement Occupational Health and Safety workplace procedures and practices including </w:t>
            </w:r>
            <w:r w:rsidRPr="00195F4D">
              <w:t>the use of risk control measures as specified in the performance criteria and range statement</w:t>
            </w:r>
          </w:p>
          <w:p w:rsidR="00000000" w:rsidRPr="00195F4D" w:rsidP="00195F4D">
            <w:pPr>
              <w:pStyle w:val="ListBullet2"/>
            </w:pPr>
            <w:r w:rsidRPr="00195F4D">
              <w:t>Apply sustainable energy principles and practices as specified in the performance criteria and range statement</w:t>
            </w:r>
          </w:p>
          <w:p w:rsidR="00000000" w:rsidRPr="00195F4D" w:rsidP="00195F4D">
            <w:pPr>
              <w:pStyle w:val="ListBullet2"/>
            </w:pPr>
            <w:r w:rsidRPr="00195F4D">
              <w:t>Demonstrate an understanding of the essential knowl</w:t>
            </w:r>
            <w:r w:rsidRPr="00195F4D">
              <w:t>edge and associated skills as described in this unit.  It may be required by some jurisdictions that RTOs provide a percentile graded result for the purpose of regulatory or licensing requirements.</w:t>
            </w:r>
          </w:p>
          <w:p w:rsidR="00000000" w:rsidRPr="00195F4D" w:rsidP="00195F4D">
            <w:pPr>
              <w:pStyle w:val="ListBullet2"/>
            </w:pPr>
            <w:r w:rsidRPr="00195F4D">
              <w:t>Demonstrate an appropriate level of skills enabling employ</w:t>
            </w:r>
            <w:r w:rsidRPr="00195F4D">
              <w:t>ment</w:t>
            </w:r>
          </w:p>
          <w:p w:rsidR="00000000" w:rsidP="00195F4D">
            <w:pPr>
              <w:pStyle w:val="ListBullet2"/>
              <w:rPr>
                <w:lang w:val="en-NZ"/>
              </w:rPr>
            </w:pPr>
            <w:r w:rsidRPr="00195F4D">
              <w:t>Conduct work observing the relevant Anti Discrimination legislation, regulations, polices and workplace procedures</w:t>
            </w:r>
          </w:p>
        </w:tc>
      </w:tr>
      <w:tr w:rsidTr="00C62498">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195F4D">
            <w:pPr>
              <w:pStyle w:val="ListBullet"/>
              <w:rPr>
                <w:lang w:val="en-NZ"/>
              </w:rPr>
            </w:pPr>
            <w:r w:rsidRPr="00195F4D">
              <w:t>Demonstrated consistent performance across a representative range of contexts from the prescribed items below:</w:t>
            </w:r>
          </w:p>
        </w:tc>
      </w:tr>
      <w:tr w:rsidTr="00C62498">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195F4D">
            <w:pPr>
              <w:pStyle w:val="ListBullet2"/>
              <w:rPr>
                <w:lang w:val="en-NZ"/>
              </w:rPr>
            </w:pPr>
            <w:r w:rsidRPr="00195F4D">
              <w:t>Monitor and adjust energy management systems on refrigeration systems as described in 8) and including:</w:t>
            </w:r>
          </w:p>
        </w:tc>
      </w:tr>
      <w:tr w:rsidTr="00C624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A</w:t>
            </w:r>
          </w:p>
        </w:tc>
        <w:tc>
          <w:tcPr>
            <w:tcW w:w="5661" w:type="dxa"/>
            <w:gridSpan w:val="2"/>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Identifying system energy parameters</w:t>
            </w:r>
          </w:p>
        </w:tc>
      </w:tr>
      <w:tr w:rsidTr="00C624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B</w:t>
            </w:r>
          </w:p>
        </w:tc>
        <w:tc>
          <w:tcPr>
            <w:tcW w:w="5661" w:type="dxa"/>
            <w:gridSpan w:val="2"/>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Monitoring and adjusting system components and controls to provide effective energy use</w:t>
            </w:r>
          </w:p>
        </w:tc>
      </w:tr>
      <w:tr w:rsidTr="00C624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C</w:t>
            </w:r>
          </w:p>
        </w:tc>
        <w:tc>
          <w:tcPr>
            <w:tcW w:w="5661" w:type="dxa"/>
            <w:gridSpan w:val="2"/>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Ensuring system energy use is accordance with requirements</w:t>
            </w:r>
          </w:p>
        </w:tc>
      </w:tr>
      <w:tr w:rsidTr="00C624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D</w:t>
            </w:r>
          </w:p>
        </w:tc>
        <w:tc>
          <w:tcPr>
            <w:tcW w:w="5661" w:type="dxa"/>
            <w:gridSpan w:val="2"/>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Documenting adjustment settings with established procedures</w:t>
            </w:r>
          </w:p>
        </w:tc>
      </w:tr>
      <w:tr w:rsidTr="00C624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E</w:t>
            </w:r>
          </w:p>
        </w:tc>
        <w:tc>
          <w:tcPr>
            <w:tcW w:w="5661" w:type="dxa"/>
            <w:gridSpan w:val="2"/>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Dealing with unplanned events by drawing on essential knowledge and skills to provide appropriate solutions incorporated in the</w:t>
            </w:r>
            <w:r w:rsidRPr="00195F4D">
              <w:t xml:space="preserve"> holistic assessment with the above listed items</w:t>
            </w:r>
          </w:p>
        </w:tc>
      </w:tr>
      <w:tr w:rsidTr="00C624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4"/>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 xml:space="preserve">Note: </w:t>
            </w:r>
            <w:r w:rsidRPr="00195F4D">
              <w:br/>
              <w:t>Successful completion of relevant vendor training may be used to contribute to evidence on which competency is deemed. In these cases the alignment of outcomes of vendor training with performance cr</w:t>
            </w:r>
            <w:r w:rsidRPr="00195F4D">
              <w:t>iteria and critical aspects of evidence shall be clearly identified</w:t>
            </w:r>
          </w:p>
        </w:tc>
      </w:tr>
      <w:tr w:rsidTr="00C624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Context of and specific resources for assessment</w:t>
            </w:r>
          </w:p>
        </w:tc>
        <w:tc>
          <w:tcPr>
            <w:tcW w:w="6437" w:type="dxa"/>
            <w:gridSpan w:val="4"/>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9</w:t>
            </w:r>
            <w:r w:rsidRPr="00195F4D">
              <w:t>.</w:t>
            </w:r>
            <w:r w:rsidRPr="00195F4D">
              <w:rPr>
                <w:rStyle w:val="SpecialBold"/>
              </w:rPr>
              <w:t>3</w:t>
            </w:r>
            <w:r w:rsidRPr="00195F4D">
              <w:t xml:space="preserve">) </w:t>
            </w:r>
          </w:p>
          <w:p w:rsidR="00000000" w:rsidRPr="00195F4D" w:rsidP="00195F4D">
            <w:pPr>
              <w:pStyle w:val="BodyText"/>
            </w:pPr>
            <w:r w:rsidRPr="00195F4D">
              <w:t>This unit should be assessed as it relates to normal work practice using procedures, information and resources typical of a workplace. This should include:</w:t>
            </w:r>
          </w:p>
          <w:p w:rsidR="00000000" w:rsidRPr="00195F4D" w:rsidP="00195F4D">
            <w:pPr>
              <w:pStyle w:val="ListBullet"/>
            </w:pPr>
            <w:r w:rsidRPr="00195F4D">
              <w:t>OHS policy and work procedures and instructions.</w:t>
            </w:r>
          </w:p>
          <w:p w:rsidR="00000000" w:rsidRPr="00195F4D" w:rsidP="00195F4D">
            <w:pPr>
              <w:pStyle w:val="ListBullet"/>
            </w:pPr>
            <w:r w:rsidRPr="00195F4D">
              <w:t>Suitable work environment, facilities, equipment a</w:t>
            </w:r>
            <w:r w:rsidRPr="00195F4D">
              <w:t>nd materials to undertake actual work as prescribed by this unit.</w:t>
            </w:r>
          </w:p>
          <w:p w:rsidR="00000000" w:rsidRPr="00195F4D" w:rsidP="00195F4D">
            <w:pPr>
              <w:pStyle w:val="BodyText"/>
            </w:pPr>
            <w:r w:rsidRPr="00195F4D">
              <w:t>These should be part of the formal learning/assessment environment.</w:t>
            </w:r>
          </w:p>
          <w:p w:rsidR="00000000" w:rsidRPr="00195F4D" w:rsidP="00195F4D">
            <w:pPr>
              <w:pStyle w:val="BodyText"/>
            </w:pPr>
            <w:r w:rsidRPr="00195F4D">
              <w:t>Note:</w:t>
            </w:r>
          </w:p>
          <w:p w:rsidR="00000000" w:rsidP="00195F4D">
            <w:pPr>
              <w:pStyle w:val="BodyText"/>
              <w:rPr>
                <w:lang w:val="en-NZ"/>
              </w:rPr>
            </w:pPr>
            <w:r w:rsidRPr="00195F4D">
              <w:t>Where simulation is considered a suitable strategy for assessment, conditions must be authentic and as far as possib</w:t>
            </w:r>
            <w:r w:rsidRPr="00195F4D">
              <w:t>le reproduce and replicate the workplace and be consistent with the approved industry simulation policy.</w:t>
            </w:r>
          </w:p>
        </w:tc>
      </w:tr>
      <w:tr w:rsidTr="00C624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4"/>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Evidence should show demonstrated competency in monitoring and adjusting energy management systems on refrigeration systems.</w:t>
            </w:r>
          </w:p>
        </w:tc>
      </w:tr>
      <w:tr w:rsidTr="00C6249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Method of assessment</w:t>
            </w:r>
          </w:p>
        </w:tc>
        <w:tc>
          <w:tcPr>
            <w:tcW w:w="6437" w:type="dxa"/>
            <w:gridSpan w:val="4"/>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9</w:t>
            </w:r>
            <w:r w:rsidRPr="00195F4D">
              <w:t>.</w:t>
            </w:r>
            <w:r w:rsidRPr="00195F4D">
              <w:rPr>
                <w:rStyle w:val="SpecialBold"/>
              </w:rPr>
              <w:t>4</w:t>
            </w:r>
            <w:r w:rsidRPr="00195F4D">
              <w:t xml:space="preserve">) </w:t>
            </w:r>
          </w:p>
          <w:p w:rsidR="00000000" w:rsidRPr="00195F4D" w:rsidP="00195F4D">
            <w:pPr>
              <w:pStyle w:val="BodyText"/>
            </w:pPr>
            <w:r w:rsidRPr="00195F4D">
              <w:t>This unit shall be assessed by methods given in Volume 1, Part 3 'Assessment Guidelines'.</w:t>
            </w:r>
          </w:p>
          <w:p w:rsidR="00000000" w:rsidP="00195F4D">
            <w:pPr>
              <w:pStyle w:val="BodyText"/>
              <w:rPr>
                <w:lang w:val="en-NZ"/>
              </w:rPr>
            </w:pPr>
            <w:r w:rsidRPr="00195F4D">
              <w:t xml:space="preserve">Note: </w:t>
            </w:r>
            <w:r w:rsidRPr="00195F4D">
              <w:br/>
              <w:t>Competent performance with inherent safe working practices is expected in the Industry to which this unit applies. This requires ass</w:t>
            </w:r>
            <w:r w:rsidRPr="00195F4D">
              <w:t>essment in a structured environment which is intended primarily for learning/assessment and incorporates all necessary equipment and facilities for learners to develop and demonstrate the essential knowledge and skills described in this unit.</w:t>
            </w:r>
          </w:p>
        </w:tc>
      </w:tr>
      <w:tr w:rsidTr="00C6249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Concurrent</w:t>
            </w:r>
            <w:r w:rsidRPr="00195F4D">
              <w:rPr>
                <w:rStyle w:val="SpecialBold"/>
              </w:rPr>
              <w:t xml:space="preserve"> assessment and relationship with other units</w:t>
            </w:r>
          </w:p>
        </w:tc>
        <w:tc>
          <w:tcPr>
            <w:tcW w:w="6437" w:type="dxa"/>
            <w:gridSpan w:val="4"/>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rPr>
                <w:rStyle w:val="SpecialBold"/>
              </w:rPr>
              <w:t>9</w:t>
            </w:r>
            <w:r w:rsidRPr="00195F4D">
              <w:t>.</w:t>
            </w:r>
            <w:r w:rsidRPr="00195F4D">
              <w:rPr>
                <w:rStyle w:val="SpecialBold"/>
              </w:rPr>
              <w:t>5</w:t>
            </w:r>
            <w:r w:rsidRPr="00195F4D">
              <w:t>)</w:t>
            </w:r>
          </w:p>
        </w:tc>
      </w:tr>
      <w:tr w:rsidTr="00C6249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4"/>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t>There are no concurrent assessment recommendations for this unit.</w:t>
            </w:r>
          </w:p>
        </w:tc>
      </w:tr>
    </w:tbl>
    <w:p w:rsidR="00C62498" w:rsidP="00195F4D">
      <w:pPr>
        <w:pStyle w:val="BodyText"/>
      </w:pPr>
    </w:p>
    <w:p w:rsidR="00C62498" w:rsidP="00195F4D">
      <w:pPr>
        <w:pStyle w:val="BodyText"/>
      </w:pPr>
    </w:p>
    <w:p w:rsidR="00000000" w:rsidRPr="00195F4D" w:rsidP="00195F4D">
      <w:pPr>
        <w:pStyle w:val="Heading1"/>
      </w:pPr>
      <w:bookmarkStart w:id="11" w:name="O_589638"/>
      <w:bookmarkEnd w:id="11"/>
      <w:r w:rsidRPr="00195F4D">
        <w:t>Range Statement</w:t>
      </w:r>
    </w:p>
    <w:tbl>
      <w:tblPr>
        <w:tblW w:w="0" w:type="auto"/>
        <w:tblLayout w:type="fixed"/>
        <w:tblCellMar>
          <w:left w:w="62" w:type="dxa"/>
          <w:right w:w="62" w:type="dxa"/>
        </w:tblCellMar>
        <w:tblLook w:val="0000"/>
      </w:tblPr>
      <w:tblGrid>
        <w:gridCol w:w="8597"/>
      </w:tblGrid>
      <w:tr w:rsidTr="00C62498">
        <w:tblPrEx>
          <w:tblW w:w="0" w:type="auto"/>
          <w:tblLayout w:type="fixed"/>
          <w:tblCellMar>
            <w:left w:w="62" w:type="dxa"/>
            <w:right w:w="62" w:type="dxa"/>
          </w:tblCellMar>
          <w:tblLook w:val="0000"/>
        </w:tblPrEx>
        <w:trPr>
          <w:tblHeader/>
        </w:trPr>
        <w:tc>
          <w:tcPr>
            <w:tcW w:w="8597"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rPr>
                <w:rStyle w:val="SpecialBold"/>
              </w:rPr>
              <w:t>RANGE STATEMENT</w:t>
            </w:r>
          </w:p>
        </w:tc>
      </w:tr>
      <w:tr w:rsidTr="00C62498">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rPr>
                <w:rStyle w:val="SpecialBold"/>
              </w:rPr>
              <w:t>8</w:t>
            </w:r>
            <w:r w:rsidRPr="00195F4D">
              <w:t>) This relates to the unit as a whole providing the range of contexts and conditions to which the performance criteria apply. It allows for different work environments and situations that will affect performance.</w:t>
            </w:r>
          </w:p>
        </w:tc>
      </w:tr>
      <w:tr w:rsidTr="00C62498">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This unit must be demonstrated in relation</w:t>
            </w:r>
            <w:r w:rsidRPr="00195F4D">
              <w:t xml:space="preserve"> to monitoring and adjusting two different types of energy management systems for refrigeration systems.</w:t>
            </w:r>
          </w:p>
        </w:tc>
      </w:tr>
      <w:tr w:rsidTr="00C62498">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t>Generic terms used throughout this Vocational Standard shall be regarded as part of the Range Statement in which competency is demonstrated. The defin</w:t>
            </w:r>
            <w:r w:rsidRPr="00195F4D">
              <w:t>ition of these and other terms that apply are given in Volume 2, Part 2.1.</w:t>
            </w:r>
          </w:p>
        </w:tc>
      </w:tr>
    </w:tbl>
    <w:p w:rsidR="00C62498" w:rsidP="00195F4D">
      <w:pPr>
        <w:pStyle w:val="BodyText"/>
      </w:pPr>
    </w:p>
    <w:p w:rsidR="00C62498" w:rsidP="00195F4D">
      <w:pPr>
        <w:pStyle w:val="BodyText"/>
      </w:pPr>
    </w:p>
    <w:p w:rsidR="00000000" w:rsidRPr="00195F4D" w:rsidP="00195F4D">
      <w:pPr>
        <w:pStyle w:val="Heading1"/>
      </w:pPr>
      <w:bookmarkStart w:id="12" w:name="O_589637"/>
      <w:bookmarkEnd w:id="12"/>
      <w:r w:rsidRPr="00195F4D">
        <w:t>Unit Sector(s)</w:t>
      </w:r>
    </w:p>
    <w:p w:rsidR="00000000" w:rsidRPr="00195F4D" w:rsidP="00195F4D">
      <w:pPr>
        <w:pStyle w:val="BodyText"/>
      </w:pPr>
      <w:r w:rsidRPr="00195F4D">
        <w:t>Not Applicable</w:t>
      </w:r>
    </w:p>
    <w:p w:rsidR="00000000" w:rsidRPr="00195F4D" w:rsidP="00195F4D">
      <w:pPr>
        <w:pStyle w:val="AllowPageBreak"/>
      </w:pPr>
    </w:p>
    <w:p w:rsidR="00000000" w:rsidRPr="00195F4D" w:rsidP="00195F4D">
      <w:pPr>
        <w:pStyle w:val="Heading1"/>
      </w:pPr>
      <w:bookmarkStart w:id="13" w:name="O_589636"/>
      <w:bookmarkEnd w:id="13"/>
      <w:r w:rsidRPr="00195F4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6249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2</w:t>
            </w:r>
            <w:r w:rsidRPr="00195F4D">
              <w:t>.</w:t>
            </w:r>
            <w:r w:rsidRPr="00195F4D">
              <w:rPr>
                <w:rStyle w:val="SpecialBold"/>
              </w:rPr>
              <w:t>2</w:t>
            </w:r>
            <w:r w:rsidRPr="00195F4D">
              <w:t xml:space="preserve">) </w:t>
            </w:r>
            <w:r w:rsidRPr="00195F4D">
              <w:rPr>
                <w:rStyle w:val="SpecialBold"/>
              </w:rPr>
              <w:t>Literacy and numeracy skills</w:t>
            </w:r>
          </w:p>
          <w:p w:rsidR="00000000" w:rsidP="00195F4D">
            <w:pPr>
              <w:pStyle w:val="BodyText"/>
              <w:rPr>
                <w:lang w:val="en-NZ"/>
              </w:rPr>
            </w:pPr>
            <w:r w:rsidRPr="00195F4D">
              <w:t>Participants are best equipped to achieve competency in this un</w:t>
            </w:r>
            <w:r w:rsidRPr="00195F4D">
              <w:t>it if they have reading, writing and numeracy skills indicated by the following scales. Description of each scale is given in Volume 2, Part 3 'Literacy and Numeracy'</w:t>
            </w:r>
          </w:p>
        </w:tc>
      </w:tr>
      <w:tr w:rsidTr="00C6249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Reading</w:t>
            </w:r>
          </w:p>
        </w:tc>
        <w:tc>
          <w:tcPr>
            <w:tcW w:w="1182"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4</w:t>
            </w:r>
          </w:p>
        </w:tc>
        <w:tc>
          <w:tcPr>
            <w:tcW w:w="1739"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Writing</w:t>
            </w:r>
          </w:p>
        </w:tc>
        <w:tc>
          <w:tcPr>
            <w:tcW w:w="1182"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4</w:t>
            </w:r>
          </w:p>
        </w:tc>
        <w:tc>
          <w:tcPr>
            <w:tcW w:w="1721"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t>Numeracy</w:t>
            </w:r>
          </w:p>
        </w:tc>
        <w:tc>
          <w:tcPr>
            <w:tcW w:w="1182"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t>4</w:t>
            </w:r>
          </w:p>
        </w:tc>
      </w:tr>
    </w:tbl>
    <w:p w:rsidR="00C62498" w:rsidP="00195F4D">
      <w:pPr>
        <w:pStyle w:val="BodyText"/>
      </w:pPr>
    </w:p>
    <w:p w:rsidR="00C62498" w:rsidP="00195F4D">
      <w:pPr>
        <w:pStyle w:val="BodyText"/>
      </w:pPr>
    </w:p>
    <w:p w:rsidR="00000000" w:rsidRPr="00195F4D" w:rsidP="00195F4D">
      <w:pPr>
        <w:pStyle w:val="Heading1"/>
      </w:pPr>
      <w:bookmarkStart w:id="14" w:name="O_589635"/>
      <w:bookmarkEnd w:id="14"/>
      <w:r w:rsidRPr="00195F4D">
        <w:t>Custom Content Section</w:t>
      </w:r>
    </w:p>
    <w:tbl>
      <w:tblPr>
        <w:tblW w:w="0" w:type="auto"/>
        <w:tblLayout w:type="fixed"/>
        <w:tblCellMar>
          <w:left w:w="62" w:type="dxa"/>
          <w:right w:w="62" w:type="dxa"/>
        </w:tblCellMar>
        <w:tblLook w:val="0000"/>
      </w:tblPr>
      <w:tblGrid>
        <w:gridCol w:w="2700"/>
        <w:gridCol w:w="5760"/>
      </w:tblGrid>
      <w:tr w:rsidTr="00C6249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95F4D">
            <w:pPr>
              <w:pStyle w:val="BodyText"/>
              <w:rPr>
                <w:lang w:val="en-NZ"/>
              </w:rPr>
            </w:pPr>
            <w:r w:rsidRPr="00195F4D">
              <w:rPr>
                <w:rStyle w:val="SpecialBold"/>
              </w:rPr>
              <w:t>5</w:t>
            </w:r>
            <w:r w:rsidRPr="00195F4D">
              <w:t>)</w:t>
            </w:r>
          </w:p>
        </w:tc>
      </w:tr>
      <w:tr w:rsidTr="00C6249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5F4D" w:rsidP="00195F4D">
            <w:pPr>
              <w:pStyle w:val="BodyText"/>
            </w:pPr>
            <w:r w:rsidRPr="00195F4D">
              <w:t>Refrigeration and Air Conditioning</w:t>
            </w:r>
          </w:p>
        </w:tc>
      </w:tr>
    </w:tbl>
    <w:p w:rsidR="00C62498" w:rsidP="00195F4D">
      <w:pPr>
        <w:pStyle w:val="BodyText"/>
      </w:pPr>
    </w:p>
    <w:p w:rsidR="00C62498" w:rsidP="00195F4D">
      <w:pPr>
        <w:pStyle w:val="BodyText"/>
      </w:pPr>
    </w:p>
    <w:p w:rsidR="00000000" w:rsidRPr="00195F4D" w:rsidP="00195F4D"/>
    <w:sectPr w:rsidSect="00195F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4D" w:rsidRPr="00C62498" w:rsidP="00C624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98" w:rsidP="00195F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62498" w:rsidP="00195F4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62498" w:rsidP="00195F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4D" w:rsidRPr="00C62498" w:rsidP="00C624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98" w:rsidRPr="002D2AF8" w:rsidP="00195F4D">
    <w:pPr>
      <w:pStyle w:val="Header"/>
      <w:framePr w:wrap="around"/>
    </w:pPr>
    <w:r>
      <w:fldChar w:fldCharType="begin"/>
    </w:r>
    <w:r>
      <w:instrText xml:space="preserve"> TITLE   \* MERGEFORMAT </w:instrText>
    </w:r>
    <w:r>
      <w:fldChar w:fldCharType="separate"/>
    </w:r>
    <w:r>
      <w:t>UEENEEJ121A Monitor and adjust refrigeration energy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62498" w:rsidP="00195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9C5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3A7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806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F4D"/>
    <w:pPr>
      <w:spacing w:before="360" w:after="60"/>
      <w:outlineLvl w:val="0"/>
    </w:pPr>
    <w:rPr>
      <w:sz w:val="32"/>
    </w:rPr>
  </w:style>
  <w:style w:type="paragraph" w:styleId="Heading2">
    <w:name w:val="heading 2"/>
    <w:basedOn w:val="HeadingBase"/>
    <w:next w:val="BodyText"/>
    <w:link w:val="Heading2Char"/>
    <w:qFormat/>
    <w:rsid w:val="00195F4D"/>
    <w:pPr>
      <w:keepLines/>
      <w:spacing w:before="240" w:after="120"/>
      <w:outlineLvl w:val="1"/>
    </w:pPr>
    <w:rPr>
      <w:sz w:val="28"/>
      <w:szCs w:val="40"/>
    </w:rPr>
  </w:style>
  <w:style w:type="paragraph" w:styleId="Heading3">
    <w:name w:val="heading 3"/>
    <w:basedOn w:val="HeadingBase"/>
    <w:next w:val="BodyText"/>
    <w:link w:val="Heading3Char"/>
    <w:qFormat/>
    <w:rsid w:val="00195F4D"/>
    <w:pPr>
      <w:spacing w:before="180" w:after="120"/>
      <w:outlineLvl w:val="2"/>
    </w:pPr>
    <w:rPr>
      <w:spacing w:val="-10"/>
      <w:kern w:val="32"/>
    </w:rPr>
  </w:style>
  <w:style w:type="paragraph" w:styleId="Heading4">
    <w:name w:val="heading 4"/>
    <w:basedOn w:val="HeadingBase"/>
    <w:next w:val="BodyText"/>
    <w:link w:val="Heading4Char"/>
    <w:qFormat/>
    <w:rsid w:val="00195F4D"/>
    <w:pPr>
      <w:spacing w:before="160" w:after="120"/>
      <w:outlineLvl w:val="3"/>
    </w:pPr>
    <w:rPr>
      <w:sz w:val="22"/>
    </w:rPr>
  </w:style>
  <w:style w:type="paragraph" w:styleId="Heading5">
    <w:name w:val="heading 5"/>
    <w:basedOn w:val="HeadingBase"/>
    <w:next w:val="Normal"/>
    <w:link w:val="Heading5Char"/>
    <w:qFormat/>
    <w:rsid w:val="00195F4D"/>
    <w:pPr>
      <w:spacing w:before="80"/>
      <w:outlineLvl w:val="4"/>
    </w:pPr>
    <w:rPr>
      <w:color w:val="918585"/>
      <w:sz w:val="20"/>
    </w:rPr>
  </w:style>
  <w:style w:type="paragraph" w:styleId="Heading6">
    <w:name w:val="heading 6"/>
    <w:basedOn w:val="HeadingBase"/>
    <w:next w:val="Normal"/>
    <w:link w:val="Heading6Char"/>
    <w:qFormat/>
    <w:rsid w:val="00195F4D"/>
    <w:pPr>
      <w:spacing w:before="60"/>
      <w:outlineLvl w:val="5"/>
    </w:pPr>
    <w:rPr>
      <w:color w:val="918585"/>
      <w:sz w:val="20"/>
    </w:rPr>
  </w:style>
  <w:style w:type="paragraph" w:styleId="Heading7">
    <w:name w:val="heading 7"/>
    <w:basedOn w:val="Normal"/>
    <w:next w:val="Normal"/>
    <w:link w:val="Heading7Char"/>
    <w:qFormat/>
    <w:rsid w:val="00195F4D"/>
    <w:pPr>
      <w:ind w:left="720"/>
      <w:outlineLvl w:val="6"/>
    </w:pPr>
    <w:rPr>
      <w:i/>
    </w:rPr>
  </w:style>
  <w:style w:type="paragraph" w:styleId="Heading8">
    <w:name w:val="heading 8"/>
    <w:basedOn w:val="Normal"/>
    <w:next w:val="Normal"/>
    <w:link w:val="Heading8Char"/>
    <w:qFormat/>
    <w:rsid w:val="00195F4D"/>
    <w:pPr>
      <w:ind w:left="720"/>
      <w:outlineLvl w:val="7"/>
    </w:pPr>
    <w:rPr>
      <w:i/>
    </w:rPr>
  </w:style>
  <w:style w:type="paragraph" w:styleId="Heading9">
    <w:name w:val="heading 9"/>
    <w:basedOn w:val="Normal"/>
    <w:next w:val="Normal"/>
    <w:link w:val="Heading9Char"/>
    <w:qFormat/>
    <w:rsid w:val="00195F4D"/>
    <w:pPr>
      <w:ind w:left="720"/>
      <w:outlineLvl w:val="8"/>
    </w:pPr>
    <w:rPr>
      <w:i/>
    </w:rPr>
  </w:style>
  <w:style w:type="character" w:default="1" w:styleId="DefaultParagraphFont">
    <w:name w:val="Default Paragraph Font"/>
    <w:uiPriority w:val="1"/>
    <w:unhideWhenUsed/>
    <w:rsid w:val="00195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F4D"/>
  </w:style>
  <w:style w:type="character" w:customStyle="1" w:styleId="Heading1Char">
    <w:name w:val="Heading 1 Char"/>
    <w:basedOn w:val="DefaultParagraphFont"/>
    <w:link w:val="Heading1"/>
    <w:rsid w:val="00195F4D"/>
    <w:rPr>
      <w:rFonts w:ascii="Times New Roman" w:eastAsia="Times New Roman" w:hAnsi="Times New Roman" w:cs="Times New Roman"/>
      <w:b/>
      <w:sz w:val="32"/>
      <w:szCs w:val="20"/>
      <w:lang w:eastAsia="en-US"/>
    </w:rPr>
  </w:style>
  <w:style w:type="paragraph" w:styleId="BodyText">
    <w:name w:val="Body Text"/>
    <w:basedOn w:val="Normal"/>
    <w:link w:val="BodyTextChar"/>
    <w:rsid w:val="00195F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5F4D"/>
    <w:rPr>
      <w:rFonts w:ascii="Times New Roman" w:eastAsia="Times New Roman" w:hAnsi="Times New Roman" w:cs="Times New Roman"/>
      <w:sz w:val="24"/>
      <w:lang w:eastAsia="en-US"/>
    </w:rPr>
  </w:style>
  <w:style w:type="paragraph" w:styleId="ListBullet">
    <w:name w:val="List Bullet"/>
    <w:basedOn w:val="List"/>
    <w:rsid w:val="00195F4D"/>
    <w:pPr>
      <w:numPr>
        <w:numId w:val="13"/>
      </w:numPr>
      <w:tabs>
        <w:tab w:val="clear" w:pos="340"/>
      </w:tabs>
      <w:spacing w:before="40" w:after="40"/>
    </w:pPr>
  </w:style>
  <w:style w:type="character" w:customStyle="1" w:styleId="SpecialBold">
    <w:name w:val="Special Bold"/>
    <w:basedOn w:val="DefaultParagraphFont"/>
    <w:rsid w:val="00195F4D"/>
    <w:rPr>
      <w:b/>
      <w:spacing w:val="0"/>
    </w:rPr>
  </w:style>
  <w:style w:type="paragraph" w:styleId="ListBullet2">
    <w:name w:val="List Bullet 2"/>
    <w:basedOn w:val="List2"/>
    <w:rsid w:val="00195F4D"/>
    <w:pPr>
      <w:numPr>
        <w:numId w:val="14"/>
      </w:numPr>
      <w:tabs>
        <w:tab w:val="clear" w:pos="680"/>
      </w:tabs>
    </w:pPr>
  </w:style>
  <w:style w:type="paragraph" w:customStyle="1" w:styleId="SuperHeading">
    <w:name w:val="SuperHeading"/>
    <w:basedOn w:val="Normal"/>
    <w:rsid w:val="00195F4D"/>
    <w:pPr>
      <w:spacing w:before="240" w:after="120"/>
      <w:outlineLvl w:val="0"/>
    </w:pPr>
    <w:rPr>
      <w:rFonts w:ascii="Times New Roman" w:hAnsi="Times New Roman"/>
      <w:b/>
      <w:sz w:val="32"/>
    </w:rPr>
  </w:style>
  <w:style w:type="paragraph" w:customStyle="1" w:styleId="AllowPageBreak">
    <w:name w:val="AllowPageBreak"/>
    <w:rsid w:val="00195F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5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F4D"/>
    <w:rPr>
      <w:rFonts w:ascii="Courier New" w:eastAsia="Times New Roman" w:hAnsi="Courier New" w:cs="Times New Roman"/>
      <w:i/>
      <w:szCs w:val="20"/>
      <w:lang w:eastAsia="en-US"/>
    </w:rPr>
  </w:style>
  <w:style w:type="paragraph" w:customStyle="1" w:styleId="HeadingBase">
    <w:name w:val="Heading Base"/>
    <w:rsid w:val="00195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F4D"/>
    <w:pPr>
      <w:tabs>
        <w:tab w:val="right" w:leader="dot" w:pos="9072"/>
      </w:tabs>
      <w:ind w:left="567"/>
    </w:pPr>
    <w:rPr>
      <w:szCs w:val="22"/>
    </w:rPr>
  </w:style>
  <w:style w:type="paragraph" w:customStyle="1" w:styleId="TOCBase">
    <w:name w:val="TOC Base"/>
    <w:rsid w:val="00195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F4D"/>
    <w:pPr>
      <w:tabs>
        <w:tab w:val="right" w:leader="dot" w:pos="9072"/>
      </w:tabs>
      <w:spacing w:before="40" w:after="40"/>
      <w:ind w:left="284"/>
    </w:pPr>
    <w:rPr>
      <w:rFonts w:ascii="Times New Roman" w:hAnsi="Times New Roman"/>
    </w:rPr>
  </w:style>
  <w:style w:type="paragraph" w:styleId="TOC1">
    <w:name w:val="toc 1"/>
    <w:basedOn w:val="TOCBase"/>
    <w:next w:val="Normal"/>
    <w:rsid w:val="00195F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F4D"/>
    <w:rPr>
      <w:rFonts w:ascii="Times New Roman" w:eastAsia="Times New Roman" w:hAnsi="Times New Roman" w:cs="Times New Roman"/>
      <w:sz w:val="16"/>
      <w:lang w:eastAsia="en-US"/>
    </w:rPr>
  </w:style>
  <w:style w:type="paragraph" w:styleId="Title">
    <w:name w:val="Title"/>
    <w:basedOn w:val="HeadingBase"/>
    <w:link w:val="TitleChar"/>
    <w:qFormat/>
    <w:rsid w:val="00195F4D"/>
    <w:pPr>
      <w:spacing w:before="5040"/>
      <w:jc w:val="center"/>
    </w:pPr>
    <w:rPr>
      <w:sz w:val="48"/>
      <w:szCs w:val="72"/>
      <w:lang w:val="en-US"/>
    </w:rPr>
  </w:style>
  <w:style w:type="character" w:customStyle="1" w:styleId="TitleChar">
    <w:name w:val="Title Char"/>
    <w:basedOn w:val="DefaultParagraphFont"/>
    <w:link w:val="Title"/>
    <w:rsid w:val="00195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F4D"/>
    <w:pPr>
      <w:tabs>
        <w:tab w:val="left" w:pos="3600"/>
        <w:tab w:val="left" w:pos="3958"/>
      </w:tabs>
    </w:pPr>
  </w:style>
  <w:style w:type="paragraph" w:styleId="List">
    <w:name w:val="List"/>
    <w:basedOn w:val="BodyText"/>
    <w:next w:val="BodyText"/>
    <w:rsid w:val="00195F4D"/>
    <w:pPr>
      <w:tabs>
        <w:tab w:val="left" w:pos="340"/>
      </w:tabs>
      <w:spacing w:before="60" w:after="60"/>
      <w:ind w:left="340" w:hanging="340"/>
    </w:pPr>
  </w:style>
  <w:style w:type="paragraph" w:customStyle="1" w:styleId="Note">
    <w:name w:val="Note"/>
    <w:basedOn w:val="BodyText"/>
    <w:rsid w:val="00195F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F4D"/>
    <w:pPr>
      <w:framePr w:wrap="auto" w:hAnchor="text" w:y="6049"/>
    </w:pPr>
    <w:rPr>
      <w:color w:val="000000"/>
      <w:sz w:val="40"/>
    </w:rPr>
  </w:style>
  <w:style w:type="paragraph" w:customStyle="1" w:styleId="TOCTitle">
    <w:name w:val="TOCTitle"/>
    <w:basedOn w:val="Heading1"/>
    <w:rsid w:val="00195F4D"/>
    <w:pPr>
      <w:spacing w:after="240"/>
      <w:jc w:val="center"/>
      <w:outlineLvl w:val="9"/>
    </w:pPr>
    <w:rPr>
      <w:caps/>
    </w:rPr>
  </w:style>
  <w:style w:type="paragraph" w:customStyle="1" w:styleId="Version">
    <w:name w:val="Version"/>
    <w:rsid w:val="00195F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F4D"/>
    <w:pPr>
      <w:keepNext w:val="0"/>
      <w:tabs>
        <w:tab w:val="right" w:pos="4176"/>
      </w:tabs>
      <w:ind w:left="198" w:hanging="198"/>
    </w:pPr>
    <w:rPr>
      <w:rFonts w:ascii="Garamond" w:hAnsi="Garamond"/>
    </w:rPr>
  </w:style>
  <w:style w:type="paragraph" w:styleId="IndexHeading">
    <w:name w:val="index heading"/>
    <w:basedOn w:val="Normal"/>
    <w:next w:val="Index1"/>
    <w:semiHidden/>
    <w:rsid w:val="00195F4D"/>
    <w:pPr>
      <w:spacing w:before="120" w:after="120"/>
    </w:pPr>
    <w:rPr>
      <w:rFonts w:ascii="Arial" w:hAnsi="Arial"/>
      <w:b/>
      <w:color w:val="918585"/>
      <w:sz w:val="24"/>
    </w:rPr>
  </w:style>
  <w:style w:type="paragraph" w:styleId="Header">
    <w:name w:val="header"/>
    <w:basedOn w:val="Normal"/>
    <w:link w:val="HeaderChar"/>
    <w:rsid w:val="00195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F4D"/>
    <w:rPr>
      <w:rFonts w:ascii="Times New Roman" w:eastAsia="Times New Roman" w:hAnsi="Times New Roman" w:cs="Times New Roman"/>
      <w:sz w:val="16"/>
      <w:szCs w:val="20"/>
      <w:lang w:val="en-GB" w:eastAsia="en-US"/>
    </w:rPr>
  </w:style>
  <w:style w:type="paragraph" w:customStyle="1" w:styleId="Chapter">
    <w:name w:val="Chapter"/>
    <w:basedOn w:val="Normal"/>
    <w:rsid w:val="00195F4D"/>
    <w:pPr>
      <w:spacing w:before="240"/>
    </w:pPr>
    <w:rPr>
      <w:rFonts w:ascii="Times New Roman" w:hAnsi="Times New Roman"/>
      <w:smallCaps/>
      <w:spacing w:val="80"/>
      <w:sz w:val="28"/>
    </w:rPr>
  </w:style>
  <w:style w:type="paragraph" w:customStyle="1" w:styleId="InChapter">
    <w:name w:val="InChapter"/>
    <w:basedOn w:val="Heading3"/>
    <w:rsid w:val="00195F4D"/>
    <w:pPr>
      <w:spacing w:after="240"/>
      <w:outlineLvl w:val="9"/>
    </w:pPr>
    <w:rPr>
      <w:noProof/>
    </w:rPr>
  </w:style>
  <w:style w:type="paragraph" w:styleId="Index2">
    <w:name w:val="index 2"/>
    <w:basedOn w:val="Normal"/>
    <w:next w:val="Normal"/>
    <w:semiHidden/>
    <w:rsid w:val="00195F4D"/>
    <w:pPr>
      <w:tabs>
        <w:tab w:val="right" w:pos="4176"/>
      </w:tabs>
      <w:ind w:left="568" w:hanging="284"/>
    </w:pPr>
    <w:rPr>
      <w:rFonts w:ascii="Garamond" w:hAnsi="Garamond"/>
    </w:rPr>
  </w:style>
  <w:style w:type="paragraph" w:customStyle="1" w:styleId="Byline">
    <w:name w:val="Byline"/>
    <w:rsid w:val="00195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F4D"/>
    <w:pPr>
      <w:tabs>
        <w:tab w:val="clear" w:pos="3600"/>
        <w:tab w:val="clear" w:pos="3958"/>
      </w:tabs>
      <w:jc w:val="right"/>
    </w:pPr>
  </w:style>
  <w:style w:type="character" w:styleId="Emphasis">
    <w:name w:val="Emphasis"/>
    <w:basedOn w:val="DefaultParagraphFont"/>
    <w:qFormat/>
    <w:rsid w:val="00195F4D"/>
    <w:rPr>
      <w:i/>
    </w:rPr>
  </w:style>
  <w:style w:type="paragraph" w:styleId="Caption">
    <w:name w:val="caption"/>
    <w:basedOn w:val="BodyText"/>
    <w:next w:val="Normal"/>
    <w:qFormat/>
    <w:rsid w:val="00195F4D"/>
    <w:pPr>
      <w:framePr w:w="2268" w:hSpace="181" w:vSpace="181" w:wrap="around" w:vAnchor="text" w:hAnchor="page" w:x="1135" w:y="285" w:anchorLock="1"/>
    </w:pPr>
    <w:rPr>
      <w:i/>
    </w:rPr>
  </w:style>
  <w:style w:type="paragraph" w:customStyle="1" w:styleId="MiniTOCTitle">
    <w:name w:val="MiniTOCTitle"/>
    <w:basedOn w:val="Heading4"/>
    <w:rsid w:val="00195F4D"/>
    <w:pPr>
      <w:spacing w:before="240"/>
      <w:outlineLvl w:val="9"/>
    </w:pPr>
    <w:rPr>
      <w:noProof/>
      <w:sz w:val="24"/>
    </w:rPr>
  </w:style>
  <w:style w:type="paragraph" w:customStyle="1" w:styleId="MiniTOCItem">
    <w:name w:val="MiniTOCItem"/>
    <w:basedOn w:val="ListBullet"/>
    <w:rsid w:val="00195F4D"/>
    <w:pPr>
      <w:numPr>
        <w:numId w:val="0"/>
      </w:numPr>
      <w:tabs>
        <w:tab w:val="right" w:leader="dot" w:pos="6521"/>
      </w:tabs>
      <w:spacing w:before="0" w:after="0"/>
    </w:pPr>
  </w:style>
  <w:style w:type="paragraph" w:customStyle="1" w:styleId="TOFTitle">
    <w:name w:val="TOFTitle"/>
    <w:basedOn w:val="TOCTitle"/>
    <w:rsid w:val="00195F4D"/>
  </w:style>
  <w:style w:type="paragraph" w:styleId="TableofFigures">
    <w:name w:val="table of figures"/>
    <w:basedOn w:val="Normal"/>
    <w:next w:val="Normal"/>
    <w:semiHidden/>
    <w:rsid w:val="00195F4D"/>
    <w:pPr>
      <w:tabs>
        <w:tab w:val="right" w:leader="dot" w:pos="9072"/>
      </w:tabs>
      <w:ind w:left="970" w:hanging="403"/>
    </w:pPr>
    <w:rPr>
      <w:rFonts w:ascii="Times New Roman" w:hAnsi="Times New Roman"/>
      <w:b/>
    </w:rPr>
  </w:style>
  <w:style w:type="paragraph" w:styleId="ListNumber">
    <w:name w:val="List Number"/>
    <w:basedOn w:val="List"/>
    <w:rsid w:val="00195F4D"/>
    <w:pPr>
      <w:numPr>
        <w:numId w:val="11"/>
      </w:numPr>
    </w:pPr>
  </w:style>
  <w:style w:type="character" w:customStyle="1" w:styleId="WingdingSymbols">
    <w:name w:val="Wingding Symbols"/>
    <w:rsid w:val="00195F4D"/>
    <w:rPr>
      <w:rFonts w:ascii="Wingdings" w:hAnsi="Wingdings"/>
    </w:rPr>
  </w:style>
  <w:style w:type="paragraph" w:customStyle="1" w:styleId="TableHeading">
    <w:name w:val="Table Heading"/>
    <w:basedOn w:val="HeadingBase"/>
    <w:rsid w:val="00195F4D"/>
    <w:pPr>
      <w:keepLines/>
      <w:pBdr>
        <w:bottom w:val="single" w:sz="6" w:space="1" w:color="918585"/>
      </w:pBdr>
      <w:spacing w:before="240"/>
    </w:pPr>
  </w:style>
  <w:style w:type="character" w:customStyle="1" w:styleId="HotSpot">
    <w:name w:val="HotSpot"/>
    <w:rsid w:val="00195F4D"/>
    <w:rPr>
      <w:color w:val="0033CC"/>
      <w:u w:val="none"/>
    </w:rPr>
  </w:style>
  <w:style w:type="paragraph" w:customStyle="1" w:styleId="BodyTextRight">
    <w:name w:val="Body Text Right"/>
    <w:basedOn w:val="BodyText"/>
    <w:rsid w:val="00195F4D"/>
    <w:pPr>
      <w:spacing w:before="0" w:after="0"/>
      <w:jc w:val="right"/>
    </w:pPr>
  </w:style>
  <w:style w:type="paragraph" w:styleId="Index3">
    <w:name w:val="index 3"/>
    <w:basedOn w:val="ListNumber2"/>
    <w:next w:val="Normal"/>
    <w:semiHidden/>
    <w:rsid w:val="00195F4D"/>
    <w:pPr>
      <w:numPr>
        <w:numId w:val="0"/>
      </w:numPr>
      <w:tabs>
        <w:tab w:val="right" w:leader="dot" w:pos="4176"/>
      </w:tabs>
    </w:pPr>
  </w:style>
  <w:style w:type="paragraph" w:styleId="ListNumber2">
    <w:name w:val="List Number 2"/>
    <w:basedOn w:val="List2"/>
    <w:rsid w:val="00195F4D"/>
    <w:pPr>
      <w:numPr>
        <w:numId w:val="10"/>
      </w:numPr>
      <w:tabs>
        <w:tab w:val="clear" w:pos="1060"/>
      </w:tabs>
    </w:pPr>
  </w:style>
  <w:style w:type="paragraph" w:customStyle="1" w:styleId="MarginNote">
    <w:name w:val="Margin Note"/>
    <w:basedOn w:val="BodyText"/>
    <w:rsid w:val="00195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F4D"/>
    <w:rPr>
      <w:sz w:val="32"/>
    </w:rPr>
  </w:style>
  <w:style w:type="paragraph" w:customStyle="1" w:styleId="HeadingProcedure">
    <w:name w:val="Heading Procedure"/>
    <w:basedOn w:val="HeadingBase"/>
    <w:next w:val="Normal"/>
    <w:rsid w:val="00195F4D"/>
    <w:pPr>
      <w:tabs>
        <w:tab w:val="left" w:pos="0"/>
      </w:tabs>
      <w:spacing w:before="120" w:after="60"/>
    </w:pPr>
    <w:rPr>
      <w:i/>
      <w:color w:val="918585"/>
      <w:sz w:val="22"/>
    </w:rPr>
  </w:style>
  <w:style w:type="paragraph" w:customStyle="1" w:styleId="TableBodyText">
    <w:name w:val="Table Body Text"/>
    <w:basedOn w:val="BodyText"/>
    <w:rsid w:val="00195F4D"/>
    <w:pPr>
      <w:spacing w:before="60" w:after="60"/>
    </w:pPr>
  </w:style>
  <w:style w:type="paragraph" w:styleId="ListContinue">
    <w:name w:val="List Continue"/>
    <w:basedOn w:val="List"/>
    <w:rsid w:val="00195F4D"/>
    <w:pPr>
      <w:ind w:firstLine="0"/>
    </w:pPr>
  </w:style>
  <w:style w:type="paragraph" w:customStyle="1" w:styleId="ListNote">
    <w:name w:val="List Note"/>
    <w:basedOn w:val="List"/>
    <w:rsid w:val="00195F4D"/>
    <w:pPr>
      <w:pBdr>
        <w:top w:val="single" w:sz="6" w:space="2" w:color="918585"/>
        <w:bottom w:val="single" w:sz="6" w:space="2" w:color="918585"/>
      </w:pBdr>
      <w:tabs>
        <w:tab w:val="left" w:pos="1021"/>
      </w:tabs>
      <w:ind w:firstLine="0"/>
    </w:pPr>
  </w:style>
  <w:style w:type="paragraph" w:customStyle="1" w:styleId="Warning">
    <w:name w:val="Warning"/>
    <w:basedOn w:val="BodyText"/>
    <w:rsid w:val="00195F4D"/>
    <w:pPr>
      <w:shd w:val="clear" w:color="auto" w:fill="D9D9D9"/>
      <w:tabs>
        <w:tab w:val="left" w:pos="992"/>
      </w:tabs>
      <w:ind w:left="119" w:right="119"/>
    </w:pPr>
    <w:rPr>
      <w:sz w:val="20"/>
    </w:rPr>
  </w:style>
  <w:style w:type="paragraph" w:customStyle="1" w:styleId="MarginIcons">
    <w:name w:val="Margin Icons"/>
    <w:basedOn w:val="BodyText"/>
    <w:rsid w:val="00195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F4D"/>
    <w:rPr>
      <w:rFonts w:ascii="Courier New" w:hAnsi="Courier New"/>
    </w:rPr>
  </w:style>
  <w:style w:type="paragraph" w:customStyle="1" w:styleId="NoteBullet">
    <w:name w:val="Note Bullet"/>
    <w:basedOn w:val="Note"/>
    <w:rsid w:val="00195F4D"/>
    <w:pPr>
      <w:tabs>
        <w:tab w:val="clear" w:pos="680"/>
      </w:tabs>
      <w:spacing w:before="60" w:after="60"/>
    </w:pPr>
  </w:style>
  <w:style w:type="paragraph" w:customStyle="1" w:styleId="SubHeading2">
    <w:name w:val="SubHeading2"/>
    <w:basedOn w:val="HeadingBase"/>
    <w:rsid w:val="00195F4D"/>
    <w:pPr>
      <w:spacing w:before="240" w:after="60"/>
    </w:pPr>
    <w:rPr>
      <w:sz w:val="20"/>
    </w:rPr>
  </w:style>
  <w:style w:type="paragraph" w:customStyle="1" w:styleId="SubHeading1">
    <w:name w:val="SubHeading1"/>
    <w:basedOn w:val="HeadingBase"/>
    <w:rsid w:val="00195F4D"/>
    <w:pPr>
      <w:spacing w:before="240" w:after="60"/>
    </w:pPr>
    <w:rPr>
      <w:color w:val="918585"/>
      <w:sz w:val="22"/>
    </w:rPr>
  </w:style>
  <w:style w:type="paragraph" w:customStyle="1" w:styleId="SideHeading">
    <w:name w:val="Side Heading"/>
    <w:basedOn w:val="HeadingBase"/>
    <w:rsid w:val="00195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F4D"/>
    <w:pPr>
      <w:numPr>
        <w:numId w:val="12"/>
      </w:numPr>
    </w:pPr>
  </w:style>
  <w:style w:type="paragraph" w:styleId="PlainText">
    <w:name w:val="Plain Text"/>
    <w:basedOn w:val="Normal"/>
    <w:link w:val="PlainTextChar"/>
    <w:rsid w:val="00195F4D"/>
    <w:rPr>
      <w:sz w:val="20"/>
    </w:rPr>
  </w:style>
  <w:style w:type="character" w:customStyle="1" w:styleId="PlainTextChar">
    <w:name w:val="Plain Text Char"/>
    <w:basedOn w:val="DefaultParagraphFont"/>
    <w:link w:val="PlainText"/>
    <w:rsid w:val="00195F4D"/>
    <w:rPr>
      <w:rFonts w:ascii="Courier New" w:eastAsia="Times New Roman" w:hAnsi="Courier New" w:cs="Times New Roman"/>
      <w:sz w:val="20"/>
      <w:szCs w:val="20"/>
      <w:lang w:eastAsia="en-US"/>
    </w:rPr>
  </w:style>
  <w:style w:type="character" w:customStyle="1" w:styleId="MenuOption">
    <w:name w:val="Menu Option"/>
    <w:basedOn w:val="DefaultParagraphFont"/>
    <w:rsid w:val="00195F4D"/>
    <w:rPr>
      <w:b/>
      <w:smallCaps/>
    </w:rPr>
  </w:style>
  <w:style w:type="paragraph" w:customStyle="1" w:styleId="TableListNumber">
    <w:name w:val="Table List Number"/>
    <w:basedOn w:val="ListNumber"/>
    <w:rsid w:val="00195F4D"/>
    <w:pPr>
      <w:numPr>
        <w:numId w:val="0"/>
      </w:numPr>
    </w:pPr>
  </w:style>
  <w:style w:type="paragraph" w:styleId="TOC4">
    <w:name w:val="toc 4"/>
    <w:basedOn w:val="TOCBase"/>
    <w:next w:val="Normal"/>
    <w:semiHidden/>
    <w:rsid w:val="00195F4D"/>
    <w:pPr>
      <w:tabs>
        <w:tab w:val="right" w:leader="dot" w:pos="9071"/>
      </w:tabs>
      <w:ind w:left="1701"/>
    </w:pPr>
  </w:style>
  <w:style w:type="paragraph" w:customStyle="1" w:styleId="ListAlpha">
    <w:name w:val="List Alpha"/>
    <w:basedOn w:val="List"/>
    <w:rsid w:val="00195F4D"/>
    <w:pPr>
      <w:numPr>
        <w:numId w:val="9"/>
      </w:numPr>
    </w:pPr>
  </w:style>
  <w:style w:type="paragraph" w:customStyle="1" w:styleId="ListAlpha2">
    <w:name w:val="List Alpha 2"/>
    <w:basedOn w:val="List2"/>
    <w:rsid w:val="00195F4D"/>
    <w:pPr>
      <w:numPr>
        <w:numId w:val="8"/>
      </w:numPr>
    </w:pPr>
  </w:style>
  <w:style w:type="paragraph" w:styleId="List2">
    <w:name w:val="List 2"/>
    <w:basedOn w:val="BodyText"/>
    <w:rsid w:val="00195F4D"/>
    <w:pPr>
      <w:tabs>
        <w:tab w:val="left" w:pos="680"/>
      </w:tabs>
      <w:spacing w:before="60" w:after="60"/>
      <w:ind w:left="680" w:hanging="340"/>
    </w:pPr>
  </w:style>
  <w:style w:type="paragraph" w:styleId="List3">
    <w:name w:val="List 3"/>
    <w:basedOn w:val="BodyText"/>
    <w:rsid w:val="00195F4D"/>
    <w:pPr>
      <w:tabs>
        <w:tab w:val="left" w:pos="1021"/>
      </w:tabs>
      <w:spacing w:before="60" w:after="60"/>
      <w:ind w:left="1020" w:hanging="340"/>
    </w:pPr>
  </w:style>
  <w:style w:type="paragraph" w:styleId="List4">
    <w:name w:val="List 4"/>
    <w:basedOn w:val="BodyText"/>
    <w:rsid w:val="00195F4D"/>
    <w:pPr>
      <w:tabs>
        <w:tab w:val="left" w:pos="1361"/>
      </w:tabs>
      <w:spacing w:before="60" w:after="60"/>
      <w:ind w:left="1361" w:hanging="340"/>
    </w:pPr>
  </w:style>
  <w:style w:type="paragraph" w:styleId="List5">
    <w:name w:val="List 5"/>
    <w:basedOn w:val="BodyText"/>
    <w:rsid w:val="00195F4D"/>
    <w:pPr>
      <w:tabs>
        <w:tab w:val="left" w:pos="1701"/>
      </w:tabs>
      <w:spacing w:before="60" w:after="60"/>
      <w:ind w:left="1701" w:hanging="340"/>
    </w:pPr>
  </w:style>
  <w:style w:type="paragraph" w:styleId="ListBullet3">
    <w:name w:val="List Bullet 3"/>
    <w:basedOn w:val="List3"/>
    <w:rsid w:val="00195F4D"/>
    <w:pPr>
      <w:numPr>
        <w:numId w:val="15"/>
      </w:numPr>
      <w:tabs>
        <w:tab w:val="clear" w:pos="1021"/>
      </w:tabs>
      <w:ind w:left="1037" w:hanging="357"/>
    </w:pPr>
  </w:style>
  <w:style w:type="paragraph" w:styleId="ListBullet4">
    <w:name w:val="List Bullet 4"/>
    <w:basedOn w:val="List4"/>
    <w:rsid w:val="00195F4D"/>
    <w:pPr>
      <w:numPr>
        <w:numId w:val="3"/>
      </w:numPr>
    </w:pPr>
  </w:style>
  <w:style w:type="paragraph" w:styleId="ListBullet5">
    <w:name w:val="List Bullet 5"/>
    <w:basedOn w:val="List5"/>
    <w:rsid w:val="00195F4D"/>
    <w:pPr>
      <w:numPr>
        <w:numId w:val="4"/>
      </w:numPr>
    </w:pPr>
  </w:style>
  <w:style w:type="paragraph" w:styleId="ListContinue2">
    <w:name w:val="List Continue 2"/>
    <w:basedOn w:val="List2"/>
    <w:rsid w:val="00195F4D"/>
    <w:pPr>
      <w:ind w:firstLine="0"/>
    </w:pPr>
  </w:style>
  <w:style w:type="paragraph" w:styleId="ListContinue3">
    <w:name w:val="List Continue 3"/>
    <w:basedOn w:val="List3"/>
    <w:rsid w:val="00195F4D"/>
    <w:pPr>
      <w:ind w:left="1021" w:firstLine="0"/>
    </w:pPr>
  </w:style>
  <w:style w:type="paragraph" w:styleId="ListContinue4">
    <w:name w:val="List Continue 4"/>
    <w:basedOn w:val="List4"/>
    <w:rsid w:val="00195F4D"/>
    <w:pPr>
      <w:ind w:firstLine="0"/>
    </w:pPr>
  </w:style>
  <w:style w:type="paragraph" w:styleId="ListContinue5">
    <w:name w:val="List Continue 5"/>
    <w:basedOn w:val="List5"/>
    <w:rsid w:val="00195F4D"/>
    <w:pPr>
      <w:ind w:firstLine="0"/>
    </w:pPr>
  </w:style>
  <w:style w:type="paragraph" w:styleId="ListNumber3">
    <w:name w:val="List Number 3"/>
    <w:basedOn w:val="List3"/>
    <w:rsid w:val="00195F4D"/>
    <w:pPr>
      <w:numPr>
        <w:numId w:val="5"/>
      </w:numPr>
    </w:pPr>
  </w:style>
  <w:style w:type="paragraph" w:styleId="ListNumber4">
    <w:name w:val="List Number 4"/>
    <w:basedOn w:val="List4"/>
    <w:rsid w:val="00195F4D"/>
    <w:pPr>
      <w:numPr>
        <w:numId w:val="6"/>
      </w:numPr>
    </w:pPr>
  </w:style>
  <w:style w:type="paragraph" w:styleId="ListNumber5">
    <w:name w:val="List Number 5"/>
    <w:basedOn w:val="List5"/>
    <w:rsid w:val="00195F4D"/>
    <w:pPr>
      <w:numPr>
        <w:numId w:val="7"/>
      </w:numPr>
    </w:pPr>
  </w:style>
  <w:style w:type="paragraph" w:styleId="BlockText">
    <w:name w:val="Block Text"/>
    <w:basedOn w:val="Normal"/>
    <w:rsid w:val="00195F4D"/>
    <w:pPr>
      <w:spacing w:after="120"/>
      <w:ind w:left="1440" w:right="1440"/>
    </w:pPr>
  </w:style>
  <w:style w:type="character" w:customStyle="1" w:styleId="Subscript">
    <w:name w:val="Subscript"/>
    <w:basedOn w:val="DefaultParagraphFont"/>
    <w:rsid w:val="00195F4D"/>
    <w:rPr>
      <w:sz w:val="16"/>
      <w:vertAlign w:val="subscript"/>
    </w:rPr>
  </w:style>
  <w:style w:type="character" w:customStyle="1" w:styleId="Superscript">
    <w:name w:val="Superscript"/>
    <w:basedOn w:val="DefaultParagraphFont"/>
    <w:rsid w:val="00195F4D"/>
    <w:rPr>
      <w:sz w:val="16"/>
      <w:vertAlign w:val="superscript"/>
    </w:rPr>
  </w:style>
  <w:style w:type="character" w:customStyle="1" w:styleId="Symbols">
    <w:name w:val="Symbols"/>
    <w:basedOn w:val="DefaultParagraphFont"/>
    <w:rsid w:val="00195F4D"/>
    <w:rPr>
      <w:rFonts w:ascii="Symbol" w:hAnsi="Symbol"/>
    </w:rPr>
  </w:style>
  <w:style w:type="character" w:customStyle="1" w:styleId="MenuOptions">
    <w:name w:val="Menu Options"/>
    <w:basedOn w:val="DefaultParagraphFont"/>
    <w:rsid w:val="00195F4D"/>
    <w:rPr>
      <w:rFonts w:ascii="Arial Narrow" w:hAnsi="Arial Narrow"/>
      <w:smallCaps/>
    </w:rPr>
  </w:style>
  <w:style w:type="character" w:customStyle="1" w:styleId="Buttons">
    <w:name w:val="Buttons"/>
    <w:basedOn w:val="DefaultParagraphFont"/>
    <w:rsid w:val="00195F4D"/>
    <w:rPr>
      <w:b/>
    </w:rPr>
  </w:style>
  <w:style w:type="character" w:customStyle="1" w:styleId="Underlined">
    <w:name w:val="Underlined"/>
    <w:basedOn w:val="DefaultParagraphFont"/>
    <w:rsid w:val="00195F4D"/>
    <w:rPr>
      <w:u w:val="single"/>
    </w:rPr>
  </w:style>
  <w:style w:type="paragraph" w:customStyle="1" w:styleId="TableBodyTextRight">
    <w:name w:val="Table Body Text Right"/>
    <w:basedOn w:val="TableBodyText"/>
    <w:rsid w:val="00195F4D"/>
    <w:pPr>
      <w:widowControl w:val="0"/>
      <w:autoSpaceDE w:val="0"/>
      <w:autoSpaceDN w:val="0"/>
      <w:adjustRightInd w:val="0"/>
      <w:jc w:val="right"/>
    </w:pPr>
    <w:rPr>
      <w:rFonts w:cs="Arial"/>
      <w:szCs w:val="18"/>
    </w:rPr>
  </w:style>
  <w:style w:type="paragraph" w:customStyle="1" w:styleId="CopyrightText">
    <w:name w:val="Copyright Text"/>
    <w:basedOn w:val="BodyText"/>
    <w:rsid w:val="00195F4D"/>
    <w:rPr>
      <w:sz w:val="18"/>
    </w:rPr>
  </w:style>
  <w:style w:type="paragraph" w:customStyle="1" w:styleId="BodySmallRight">
    <w:name w:val="Body Small Right"/>
    <w:basedOn w:val="BodyTextRight"/>
    <w:rsid w:val="00195F4D"/>
    <w:rPr>
      <w:sz w:val="18"/>
      <w:szCs w:val="18"/>
    </w:rPr>
  </w:style>
  <w:style w:type="paragraph" w:customStyle="1" w:styleId="MarginEdition">
    <w:name w:val="Margin Edition"/>
    <w:basedOn w:val="MarginNote"/>
    <w:rsid w:val="00195F4D"/>
    <w:pPr>
      <w:spacing w:before="0" w:after="0"/>
    </w:pPr>
    <w:rPr>
      <w:rFonts w:ascii="Times New Roman" w:hAnsi="Times New Roman"/>
      <w:color w:val="999999"/>
    </w:rPr>
  </w:style>
  <w:style w:type="paragraph" w:customStyle="1" w:styleId="Spacer">
    <w:name w:val="Spacer"/>
    <w:basedOn w:val="Normal"/>
    <w:rsid w:val="00195F4D"/>
    <w:rPr>
      <w:sz w:val="2"/>
      <w:szCs w:val="2"/>
    </w:rPr>
  </w:style>
  <w:style w:type="character" w:customStyle="1" w:styleId="Small">
    <w:name w:val="Small"/>
    <w:basedOn w:val="DefaultParagraphFont"/>
    <w:rsid w:val="00195F4D"/>
    <w:rPr>
      <w:sz w:val="16"/>
    </w:rPr>
  </w:style>
  <w:style w:type="paragraph" w:customStyle="1" w:styleId="WideTable">
    <w:name w:val="Wide Table"/>
    <w:basedOn w:val="Normal"/>
    <w:rsid w:val="00195F4D"/>
    <w:pPr>
      <w:ind w:left="-1418"/>
    </w:pPr>
    <w:rPr>
      <w:sz w:val="2"/>
      <w:szCs w:val="2"/>
    </w:rPr>
  </w:style>
  <w:style w:type="character" w:styleId="PageNumber">
    <w:name w:val="page number"/>
    <w:basedOn w:val="DefaultParagraphFont"/>
    <w:rsid w:val="00195F4D"/>
  </w:style>
  <w:style w:type="paragraph" w:styleId="Quote">
    <w:name w:val="Quote"/>
    <w:basedOn w:val="Heading1"/>
    <w:link w:val="QuoteChar"/>
    <w:qFormat/>
    <w:rsid w:val="00195F4D"/>
    <w:rPr>
      <w:b w:val="0"/>
      <w:sz w:val="72"/>
      <w:szCs w:val="72"/>
      <w:lang w:val="en-NZ"/>
    </w:rPr>
  </w:style>
  <w:style w:type="character" w:customStyle="1" w:styleId="QuoteChar">
    <w:name w:val="Quote Char"/>
    <w:basedOn w:val="DefaultParagraphFont"/>
    <w:link w:val="Quote"/>
    <w:rsid w:val="00195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F4D"/>
    <w:pPr>
      <w:pageBreakBefore/>
    </w:pPr>
  </w:style>
  <w:style w:type="paragraph" w:customStyle="1" w:styleId="Border">
    <w:name w:val="Border"/>
    <w:basedOn w:val="Normal"/>
    <w:qFormat/>
    <w:rsid w:val="00195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F4D"/>
    <w:rPr>
      <w:b/>
      <w:bCs/>
      <w:i/>
      <w:iCs/>
      <w:color w:val="auto"/>
    </w:rPr>
  </w:style>
  <w:style w:type="paragraph" w:styleId="IntenseQuote">
    <w:name w:val="Intense Quote"/>
    <w:basedOn w:val="Normal"/>
    <w:next w:val="Normal"/>
    <w:link w:val="IntenseQuoteChar"/>
    <w:uiPriority w:val="30"/>
    <w:qFormat/>
    <w:rsid w:val="00195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F4D"/>
    <w:rPr>
      <w:smallCaps/>
      <w:color w:val="auto"/>
      <w:u w:val="single"/>
    </w:rPr>
  </w:style>
  <w:style w:type="character" w:styleId="IntenseReference">
    <w:name w:val="Intense Reference"/>
    <w:basedOn w:val="DefaultParagraphFont"/>
    <w:uiPriority w:val="32"/>
    <w:qFormat/>
    <w:rsid w:val="00195F4D"/>
    <w:rPr>
      <w:b/>
      <w:bCs/>
      <w:smallCaps/>
      <w:color w:val="auto"/>
      <w:spacing w:val="5"/>
      <w:u w:val="single"/>
    </w:rPr>
  </w:style>
  <w:style w:type="paragraph" w:customStyle="1" w:styleId="2ColumnHeading">
    <w:name w:val="2Column Heading"/>
    <w:basedOn w:val="BodyText"/>
    <w:qFormat/>
    <w:rsid w:val="00195F4D"/>
    <w:pPr>
      <w:spacing w:after="60"/>
      <w:ind w:left="-2268"/>
    </w:pPr>
    <w:rPr>
      <w:b/>
    </w:rPr>
  </w:style>
  <w:style w:type="paragraph" w:customStyle="1" w:styleId="Heading1TOC">
    <w:name w:val="Heading1 TOC"/>
    <w:basedOn w:val="Normal"/>
    <w:qFormat/>
    <w:rsid w:val="00195F4D"/>
    <w:pPr>
      <w:spacing w:before="240" w:after="120"/>
    </w:pPr>
    <w:rPr>
      <w:rFonts w:ascii="Times New Roman" w:hAnsi="Times New Roman"/>
      <w:b/>
      <w:sz w:val="32"/>
    </w:rPr>
  </w:style>
  <w:style w:type="paragraph" w:customStyle="1" w:styleId="Heading2TOC">
    <w:name w:val="Heading2 TOC"/>
    <w:basedOn w:val="Normal"/>
    <w:qFormat/>
    <w:rsid w:val="00195F4D"/>
    <w:pPr>
      <w:spacing w:before="240" w:after="60"/>
    </w:pPr>
    <w:rPr>
      <w:rFonts w:ascii="Times New Roman" w:hAnsi="Times New Roman"/>
      <w:b/>
      <w:sz w:val="28"/>
    </w:rPr>
  </w:style>
  <w:style w:type="character" w:customStyle="1" w:styleId="Underline">
    <w:name w:val="Underline"/>
    <w:basedOn w:val="DefaultParagraphFont"/>
    <w:qFormat/>
    <w:rsid w:val="00195F4D"/>
    <w:rPr>
      <w:u w:val="single"/>
    </w:rPr>
  </w:style>
  <w:style w:type="character" w:customStyle="1" w:styleId="BoldandItalics">
    <w:name w:val="Bold and Italics"/>
    <w:qFormat/>
    <w:rsid w:val="00195F4D"/>
    <w:rPr>
      <w:b/>
      <w:i/>
      <w:u w:val="none"/>
    </w:rPr>
  </w:style>
  <w:style w:type="paragraph" w:styleId="BalloonText">
    <w:name w:val="Balloon Text"/>
    <w:basedOn w:val="Normal"/>
    <w:link w:val="BalloonTextChar"/>
    <w:rsid w:val="00195F4D"/>
    <w:rPr>
      <w:rFonts w:ascii="Tahoma" w:hAnsi="Tahoma" w:cs="Tahoma"/>
      <w:sz w:val="16"/>
      <w:szCs w:val="16"/>
    </w:rPr>
  </w:style>
  <w:style w:type="character" w:customStyle="1" w:styleId="BalloonTextChar">
    <w:name w:val="Balloon Text Char"/>
    <w:basedOn w:val="DefaultParagraphFont"/>
    <w:link w:val="BalloonText"/>
    <w:rsid w:val="00195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F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5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F4D"/>
    <w:rPr>
      <w:b/>
      <w:color w:val="660033"/>
      <w:spacing w:val="0"/>
    </w:rPr>
  </w:style>
  <w:style w:type="paragraph" w:customStyle="1" w:styleId="Nameditemlist">
    <w:name w:val="Named item list"/>
    <w:basedOn w:val="BodyText"/>
    <w:qFormat/>
    <w:rsid w:val="00195F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2298</Words>
  <Characters>14174</Characters>
  <Application>Microsoft Office Word</Application>
  <DocSecurity>0</DocSecurity>
  <Lines>581</Lines>
  <Paragraphs>251</Paragraphs>
  <ScaleCrop>false</ScaleCrop>
  <Company>Author-it Software Corporation Ltd.</Company>
  <LinksUpToDate>false</LinksUpToDate>
  <CharactersWithSpaces>16389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UEENEEJ121A Monitor and adjust refrigeration energy management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2013-08-14T07:55:00Z</dcterms:created>
  <dcterms:modified xsi:type="dcterms:W3CDTF">2013-08-14T07:55:00Z</dcterms:modified>
</cp:coreProperties>
</file>