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4D3" w:rsidP="004834D3">
      <w:pPr>
        <w:pStyle w:val="Title"/>
      </w:pPr>
      <w:r>
        <w:fldChar w:fldCharType="begin"/>
      </w:r>
      <w:r>
        <w:instrText xml:space="preserve"> TITLE   \* MERGEFORMAT </w:instrText>
      </w:r>
      <w:r>
        <w:fldChar w:fldCharType="separate"/>
      </w:r>
      <w:r>
        <w:t>UEENEEJ112A Diagnose and rectify faults in complex air conditioning/ refrigeration systems</w:t>
      </w:r>
      <w:r>
        <w:fldChar w:fldCharType="end"/>
      </w:r>
    </w:p>
    <w:p w:rsidR="004834D3" w:rsidP="004834D3">
      <w:pPr>
        <w:pStyle w:val="Version"/>
        <w:sectPr w:rsidSect="00E56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56319" w:rsidP="00E56319">
      <w:pPr>
        <w:pStyle w:val="SuperHeading"/>
      </w:pPr>
      <w:r w:rsidRPr="00E56319">
        <w:t>UEENEEJ112A Diagnose and rectify faults in complex air conditioning/ refrigeration systems</w:t>
      </w:r>
    </w:p>
    <w:p w:rsidR="00000000" w:rsidRPr="00E56319" w:rsidP="00E56319">
      <w:pPr>
        <w:pStyle w:val="Heading1"/>
      </w:pPr>
      <w:bookmarkStart w:id="1" w:name="O_589512"/>
      <w:bookmarkEnd w:id="1"/>
      <w:r w:rsidRPr="00E56319">
        <w:t>Modification History</w:t>
      </w:r>
    </w:p>
    <w:p w:rsidR="00000000" w:rsidRPr="00E56319" w:rsidP="00E56319">
      <w:pPr>
        <w:pStyle w:val="BodyText"/>
      </w:pPr>
      <w:r w:rsidRPr="00E56319">
        <w:t>Not Applicable</w:t>
      </w:r>
    </w:p>
    <w:p w:rsidR="00000000" w:rsidRPr="00E56319" w:rsidP="00E56319">
      <w:pPr>
        <w:pStyle w:val="AllowPageBreak"/>
      </w:pPr>
    </w:p>
    <w:p w:rsidR="00000000" w:rsidRPr="00E56319" w:rsidP="00E56319">
      <w:pPr>
        <w:pStyle w:val="Heading1"/>
      </w:pPr>
      <w:bookmarkStart w:id="2" w:name="O_589511"/>
      <w:bookmarkEnd w:id="2"/>
      <w:r w:rsidRPr="00E56319">
        <w:t>Unit Descriptor</w:t>
      </w:r>
    </w:p>
    <w:tbl>
      <w:tblPr>
        <w:tblW w:w="0" w:type="auto"/>
        <w:tblLayout w:type="fixed"/>
        <w:tblCellMar>
          <w:left w:w="62" w:type="dxa"/>
          <w:right w:w="62" w:type="dxa"/>
        </w:tblCellMar>
        <w:tblLook w:val="0000"/>
      </w:tblPr>
      <w:tblGrid>
        <w:gridCol w:w="2700"/>
        <w:gridCol w:w="5760"/>
      </w:tblGrid>
      <w:tr w:rsidTr="00483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1</w:t>
            </w:r>
            <w:r w:rsidRPr="00E56319">
              <w:t xml:space="preserve">) </w:t>
            </w:r>
          </w:p>
          <w:p w:rsidR="00000000" w:rsidP="00E56319">
            <w:pPr>
              <w:pStyle w:val="BodyText"/>
              <w:rPr>
                <w:lang w:val="en-NZ"/>
              </w:rPr>
            </w:pPr>
            <w:r w:rsidRPr="00E56319">
              <w:rPr>
                <w:rStyle w:val="SpecialBold"/>
              </w:rPr>
              <w:t>1</w:t>
            </w:r>
            <w:r w:rsidRPr="00E56319">
              <w:t>.</w:t>
            </w:r>
            <w:r w:rsidRPr="00E56319">
              <w:rPr>
                <w:rStyle w:val="SpecialBold"/>
              </w:rPr>
              <w:t>1</w:t>
            </w:r>
            <w:r w:rsidRPr="00E56319">
              <w:t xml:space="preserve">) </w:t>
            </w:r>
            <w:r w:rsidRPr="00E56319">
              <w:rPr>
                <w:rStyle w:val="SpecialBold"/>
              </w:rPr>
              <w:t>Descriptor</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This unit covers diagnosing and rectifying faults in complex refrigeration/air conditioning systems. It encompasses safe working practices, interpreting technical data, applying knowledge of complex refrigeration/air conditioning systems operating paramete</w:t>
            </w:r>
            <w:r w:rsidRPr="00E56319">
              <w:t>rs to logical fault finding processes, implementing fault rectification, safety and functional testing and reporting work activities and outcomes.</w:t>
            </w:r>
          </w:p>
        </w:tc>
      </w:tr>
    </w:tbl>
    <w:p w:rsidR="004834D3" w:rsidP="00E56319">
      <w:pPr>
        <w:pStyle w:val="BodyText"/>
      </w:pPr>
    </w:p>
    <w:p w:rsidR="004834D3" w:rsidP="00E56319">
      <w:pPr>
        <w:pStyle w:val="BodyText"/>
      </w:pPr>
    </w:p>
    <w:p w:rsidR="00000000" w:rsidRPr="00E56319" w:rsidP="00E56319">
      <w:pPr>
        <w:pStyle w:val="Heading1"/>
      </w:pPr>
      <w:bookmarkStart w:id="3" w:name="O_589510"/>
      <w:bookmarkEnd w:id="3"/>
      <w:r w:rsidRPr="00E56319">
        <w:t>Application of the Unit</w:t>
      </w:r>
    </w:p>
    <w:tbl>
      <w:tblPr>
        <w:tblW w:w="0" w:type="auto"/>
        <w:tblLayout w:type="fixed"/>
        <w:tblCellMar>
          <w:left w:w="62" w:type="dxa"/>
          <w:right w:w="62" w:type="dxa"/>
        </w:tblCellMar>
        <w:tblLook w:val="0000"/>
      </w:tblPr>
      <w:tblGrid>
        <w:gridCol w:w="2700"/>
        <w:gridCol w:w="5760"/>
      </w:tblGrid>
      <w:tr w:rsidTr="00483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4</w:t>
            </w:r>
            <w:r w:rsidRPr="00E56319">
              <w:t>)</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E56319">
              <w:t>4 level.</w:t>
            </w:r>
          </w:p>
        </w:tc>
      </w:tr>
    </w:tbl>
    <w:p w:rsidR="004834D3" w:rsidP="00E56319">
      <w:pPr>
        <w:pStyle w:val="BodyText"/>
      </w:pPr>
    </w:p>
    <w:p w:rsidR="004834D3" w:rsidP="00E56319">
      <w:pPr>
        <w:pStyle w:val="BodyText"/>
      </w:pPr>
    </w:p>
    <w:p w:rsidR="00000000" w:rsidRPr="00E56319" w:rsidP="00E56319">
      <w:pPr>
        <w:pStyle w:val="Heading1"/>
      </w:pPr>
      <w:bookmarkStart w:id="4" w:name="O_589509"/>
      <w:bookmarkEnd w:id="4"/>
      <w:r w:rsidRPr="00E56319">
        <w:t>Licensing/Regulatory Information</w:t>
      </w:r>
    </w:p>
    <w:tbl>
      <w:tblPr>
        <w:tblW w:w="0" w:type="auto"/>
        <w:tblLayout w:type="fixed"/>
        <w:tblCellMar>
          <w:left w:w="62" w:type="dxa"/>
          <w:right w:w="62" w:type="dxa"/>
        </w:tblCellMar>
        <w:tblLook w:val="0000"/>
      </w:tblPr>
      <w:tblGrid>
        <w:gridCol w:w="8460"/>
      </w:tblGrid>
      <w:tr w:rsidTr="004834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1</w:t>
            </w:r>
            <w:r w:rsidRPr="00E56319">
              <w:t>.</w:t>
            </w:r>
            <w:r w:rsidRPr="00E56319">
              <w:rPr>
                <w:rStyle w:val="SpecialBold"/>
              </w:rPr>
              <w:t>2</w:t>
            </w:r>
            <w:r w:rsidRPr="00E56319">
              <w:t xml:space="preserve">) </w:t>
            </w:r>
            <w:r w:rsidRPr="00E56319">
              <w:rPr>
                <w:rStyle w:val="SpecialBold"/>
              </w:rPr>
              <w:t>License to practice</w:t>
            </w:r>
          </w:p>
        </w:tc>
      </w:tr>
      <w:tr w:rsidTr="004834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 xml:space="preserve">The skills and knowledge described in this unit require a license to practice in the workplace where plant and equipment operate at voltage </w:t>
            </w:r>
            <w:r w:rsidRPr="00E56319">
              <w:t xml:space="preserve">above 50 V a.c. However other conditions may apply in some jurisdictions subject to regulations related to electrical work. Practice in the workplace and during training is also subject to regulations directly related to occupational health and safety and </w:t>
            </w:r>
            <w:r w:rsidRPr="00E56319">
              <w:t>where applicable contracts of training such as apprenticeships.</w:t>
            </w:r>
          </w:p>
          <w:p w:rsidR="00000000" w:rsidRPr="00E56319" w:rsidP="00E56319">
            <w:pPr>
              <w:pStyle w:val="BodyText"/>
            </w:pPr>
            <w:r w:rsidRPr="00E56319">
              <w:t xml:space="preserve">Note: </w:t>
            </w:r>
            <w:r w:rsidRPr="00E56319">
              <w:br/>
              <w:t>1. Compliance with permits may be required in various jurisdictions and typically relates to the operation of plant, machinery and equipment such as elevating work platforms, powder ope</w:t>
            </w:r>
            <w:r w:rsidRPr="00E56319">
              <w:t>rated fixing tools, power operated tools, vehicles, road signage and traffic control, lifting equipment. Permits may also be required for some work environments such as confined spaces, working aloft, near live electrical apparatus and site rehabilitation.</w:t>
            </w:r>
            <w:r w:rsidRPr="00E56319">
              <w:br/>
              <w:t>2. Compliance may be required in various jurisdictions relating to currency in First Aid, confined space, lifting and risk safety measures.</w:t>
            </w:r>
          </w:p>
        </w:tc>
      </w:tr>
    </w:tbl>
    <w:p w:rsidR="004834D3" w:rsidP="00E56319">
      <w:pPr>
        <w:pStyle w:val="BodyText"/>
      </w:pPr>
    </w:p>
    <w:p w:rsidR="004834D3" w:rsidP="00E56319">
      <w:pPr>
        <w:pStyle w:val="BodyText"/>
      </w:pPr>
    </w:p>
    <w:p w:rsidR="00000000" w:rsidRPr="00E56319" w:rsidP="00E56319">
      <w:pPr>
        <w:pStyle w:val="Heading1"/>
      </w:pPr>
      <w:bookmarkStart w:id="5" w:name="O_589508"/>
      <w:bookmarkEnd w:id="5"/>
      <w:r w:rsidRPr="00E56319">
        <w:t>Pre-Requisites</w:t>
      </w:r>
    </w:p>
    <w:tbl>
      <w:tblPr>
        <w:tblW w:w="0" w:type="auto"/>
        <w:tblLayout w:type="fixed"/>
        <w:tblCellMar>
          <w:left w:w="62" w:type="dxa"/>
          <w:right w:w="62" w:type="dxa"/>
        </w:tblCellMar>
        <w:tblLook w:val="0000"/>
      </w:tblPr>
      <w:tblGrid>
        <w:gridCol w:w="2700"/>
        <w:gridCol w:w="1710"/>
        <w:gridCol w:w="4050"/>
      </w:tblGrid>
      <w:tr w:rsidTr="00483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Prerequisite Unit</w:t>
            </w:r>
            <w:r w:rsidRPr="00E56319">
              <w:t>(</w:t>
            </w:r>
            <w:r w:rsidRPr="00E56319">
              <w:rPr>
                <w:rStyle w:val="SpecialBold"/>
              </w:rPr>
              <w:t>s</w:t>
            </w:r>
            <w:r w:rsidRPr="00E56319">
              <w:t>)</w:t>
            </w:r>
          </w:p>
        </w:tc>
        <w:tc>
          <w:tcPr>
            <w:tcW w:w="5760"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2</w:t>
            </w:r>
            <w:r w:rsidRPr="00E56319">
              <w:t xml:space="preserve">) </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631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2</w:t>
            </w:r>
            <w:r w:rsidRPr="00E56319">
              <w:t>.</w:t>
            </w:r>
            <w:r w:rsidRPr="00E56319">
              <w:rPr>
                <w:rStyle w:val="SpecialBold"/>
              </w:rPr>
              <w:t>1</w:t>
            </w:r>
            <w:r w:rsidRPr="00E56319">
              <w:t xml:space="preserve">) </w:t>
            </w:r>
            <w:r w:rsidRPr="00E56319">
              <w:rPr>
                <w:rStyle w:val="SpecialBold"/>
              </w:rPr>
              <w:t>Competencies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Granting competency in this unit shall be made only after competency in the following unit(s) has/have been confirmed.</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UEENEEJ109A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Verify functionality and compliance of refrigeration and air conditioning installations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Apply Occupational Health and Safety regulations, codes and practices in the workplace</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Fabricate, assemble and dismantle utilities industry components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UEENEEE003</w:t>
            </w:r>
            <w:r w:rsidRPr="00E56319">
              <w:t xml:space="preserve">B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Solve problems in extra-low voltage </w:t>
            </w:r>
            <w:r w:rsidRPr="00E56319">
              <w:t>single path circuits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Fix</w:t>
            </w:r>
            <w:r w:rsidRPr="00E56319">
              <w:t xml:space="preserve"> and secure electrotechnology equipment</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Use drawings, diagrams, schedules, standards, codes and specifications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Document and apply measures to control OHS risks associated with electrotechnology work</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Prepare and connect refrigerant tubing and fittings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Establish the basic operating conditions of vapour compression systems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Establish the basic operating conditions of air conditioning systems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Install refrigerant</w:t>
            </w:r>
            <w:r w:rsidRPr="00E56319">
              <w:t xml:space="preserve"> pipe work, flow controls and accessories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Install air conditioning and refrigeration systems, major components and associated equipment</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Recover, pressure test, evacuate, charge and leak test refrigerants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Select refrigerant piping, accessories and associated controls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Diagnose and rectify faults in air conditioning and refrigeration systems and components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Commission air conditioning and refrigeration systems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Find </w:t>
            </w:r>
            <w:r w:rsidRPr="00E56319">
              <w:t>and rectify faults motors and associated controls in refrigeration and air conditioning systems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Diagnose and rectify faults in air conditioning and refrigeration control systems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Solve problems in low voltage refrigeration circuits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Disconnect / reconnect composite appliances connected to low voltage installation wiring</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UEENEEP017A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Locate and rectify faults in low voltage composite appliances using set procedures</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UEENEEP024A </w:t>
            </w:r>
          </w:p>
        </w:tc>
        <w:tc>
          <w:tcPr>
            <w:tcW w:w="40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Attach cords and plugs to electrical equipment for connection to a single phase 230 Volt supply</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UEENEEP025A </w:t>
            </w:r>
          </w:p>
        </w:tc>
        <w:tc>
          <w:tcPr>
            <w:tcW w:w="405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Attach cords, cables and plugs to electrical equipment for connection to 1000 Va.c. or 1500 Vd.c. supply</w:t>
            </w:r>
          </w:p>
        </w:tc>
      </w:tr>
    </w:tbl>
    <w:p w:rsidR="00000000" w:rsidRPr="00E56319" w:rsidP="00E56319">
      <w:pPr>
        <w:pStyle w:val="BodyText"/>
      </w:pPr>
    </w:p>
    <w:p w:rsidR="00000000" w:rsidRPr="00E56319" w:rsidP="00E56319">
      <w:pPr>
        <w:pStyle w:val="AllowPageBreak"/>
      </w:pPr>
    </w:p>
    <w:p w:rsidR="00000000" w:rsidRPr="00E56319" w:rsidP="00E56319">
      <w:pPr>
        <w:pStyle w:val="Heading1"/>
      </w:pPr>
      <w:bookmarkStart w:id="6" w:name="O_589507"/>
      <w:bookmarkEnd w:id="6"/>
      <w:r w:rsidRPr="00E56319">
        <w:t>Employability Skills Information</w:t>
      </w:r>
    </w:p>
    <w:tbl>
      <w:tblPr>
        <w:tblW w:w="0" w:type="auto"/>
        <w:tblLayout w:type="fixed"/>
        <w:tblCellMar>
          <w:left w:w="62" w:type="dxa"/>
          <w:right w:w="62" w:type="dxa"/>
        </w:tblCellMar>
        <w:tblLook w:val="0000"/>
      </w:tblPr>
      <w:tblGrid>
        <w:gridCol w:w="2700"/>
        <w:gridCol w:w="5760"/>
      </w:tblGrid>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3</w:t>
            </w:r>
            <w:r w:rsidRPr="00E56319">
              <w:t>)</w:t>
            </w:r>
          </w:p>
          <w:p w:rsidR="00000000" w:rsidRPr="00E56319" w:rsidP="00E56319">
            <w:pPr>
              <w:pStyle w:val="BodyText"/>
            </w:pPr>
            <w:r w:rsidRPr="00E56319">
              <w:t>This unit contains Employability Skills</w:t>
            </w:r>
          </w:p>
          <w:p w:rsidR="00000000" w:rsidRPr="00E56319" w:rsidP="00E56319">
            <w:pPr>
              <w:pStyle w:val="BodyText"/>
            </w:pPr>
            <w:r w:rsidRPr="00E56319">
              <w:t>The required outcomes described in this unit of competency contain applicable facets of Employability Skills. The Employability Skills Summary of the qualifica</w:t>
            </w:r>
            <w:r w:rsidRPr="00E56319">
              <w:t>tion in which this unit of competency is packaged will assist in identifying Employability Skill requirements.</w:t>
            </w:r>
          </w:p>
        </w:tc>
      </w:tr>
    </w:tbl>
    <w:p w:rsidR="004834D3" w:rsidP="00E56319">
      <w:pPr>
        <w:pStyle w:val="BodyText"/>
      </w:pPr>
    </w:p>
    <w:p w:rsidR="004834D3" w:rsidP="00E56319">
      <w:pPr>
        <w:pStyle w:val="BodyText"/>
      </w:pPr>
    </w:p>
    <w:p w:rsidR="00000000" w:rsidRPr="00E56319" w:rsidP="00E56319">
      <w:pPr>
        <w:pStyle w:val="Heading1"/>
      </w:pPr>
      <w:bookmarkStart w:id="7" w:name="O_589506"/>
      <w:bookmarkEnd w:id="7"/>
      <w:r w:rsidRPr="00E56319">
        <w:t>Elements and Performance Criteria Pre-Content</w:t>
      </w:r>
    </w:p>
    <w:tbl>
      <w:tblPr>
        <w:tblW w:w="0" w:type="auto"/>
        <w:tblLayout w:type="fixed"/>
        <w:tblCellMar>
          <w:left w:w="62" w:type="dxa"/>
          <w:right w:w="62" w:type="dxa"/>
        </w:tblCellMar>
        <w:tblLook w:val="0000"/>
      </w:tblPr>
      <w:tblGrid>
        <w:gridCol w:w="2150"/>
        <w:gridCol w:w="6447"/>
      </w:tblGrid>
      <w:tr w:rsidTr="004834D3">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6</w:t>
            </w:r>
            <w:r w:rsidRPr="00E56319">
              <w:t>) Elements describe the essential outcomes of a unit</w:t>
            </w:r>
          </w:p>
        </w:tc>
        <w:tc>
          <w:tcPr>
            <w:tcW w:w="6447"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Performance criteria desc</w:t>
            </w:r>
            <w:r w:rsidRPr="00E56319">
              <w:t>ribe the required performance needed to demonstrate achievement of the element. Assessment of performance is to be consistent with the evidence guide.</w:t>
            </w:r>
          </w:p>
        </w:tc>
      </w:tr>
    </w:tbl>
    <w:p w:rsidR="00000000" w:rsidRPr="00E56319" w:rsidP="00E56319">
      <w:pPr>
        <w:pStyle w:val="BodyText"/>
      </w:pPr>
    </w:p>
    <w:p w:rsidR="00000000" w:rsidRPr="00E56319" w:rsidP="00E56319">
      <w:pPr>
        <w:pStyle w:val="AllowPageBreak"/>
      </w:pPr>
    </w:p>
    <w:p w:rsidR="00000000" w:rsidRPr="00E56319" w:rsidP="00E56319">
      <w:pPr>
        <w:pStyle w:val="Heading1"/>
      </w:pPr>
      <w:bookmarkStart w:id="8" w:name="O_589505"/>
      <w:bookmarkEnd w:id="8"/>
      <w:r w:rsidRPr="00E56319">
        <w:t>Elements and Performance Criteria</w:t>
      </w:r>
    </w:p>
    <w:tbl>
      <w:tblPr>
        <w:tblW w:w="0" w:type="auto"/>
        <w:tblLayout w:type="fixed"/>
        <w:tblCellMar>
          <w:left w:w="62" w:type="dxa"/>
          <w:right w:w="62" w:type="dxa"/>
        </w:tblCellMar>
        <w:tblLook w:val="0000"/>
      </w:tblPr>
      <w:tblGrid>
        <w:gridCol w:w="365"/>
        <w:gridCol w:w="1785"/>
        <w:gridCol w:w="909"/>
        <w:gridCol w:w="5538"/>
      </w:tblGrid>
      <w:tr w:rsidTr="004834D3">
        <w:tblPrEx>
          <w:tblW w:w="0" w:type="auto"/>
          <w:tblLayout w:type="fixed"/>
          <w:tblCellMar>
            <w:left w:w="62" w:type="dxa"/>
            <w:right w:w="62" w:type="dxa"/>
          </w:tblCellMar>
          <w:tblLook w:val="0000"/>
        </w:tblPrEx>
        <w:trPr>
          <w:tblHeader/>
        </w:trPr>
        <w:tc>
          <w:tcPr>
            <w:tcW w:w="2150" w:type="dxa"/>
            <w:gridSpan w:val="2"/>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ELEMENT</w:t>
            </w:r>
          </w:p>
        </w:tc>
        <w:tc>
          <w:tcPr>
            <w:tcW w:w="6447"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PERFORMANCE CRITERIA</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1</w:t>
            </w:r>
          </w:p>
        </w:tc>
        <w:tc>
          <w:tcPr>
            <w:tcW w:w="1785" w:type="dxa"/>
            <w:vMerge w:val="restart"/>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Prepare to diagnose and rectify faults.</w:t>
            </w: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1.1</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OHS procedures for a given work area are identified, obtained and understood</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1.2</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Established OHS risk control measures and procedures are followed in preparation for the work.</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1.3</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Safety hazards that have not previously been identified are documented and risk control measures devised and implemented in consultation with appropriate personnel.</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1.4</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The extent of faults is determined from reports and other documentation and from discussion with appropriate personnel.</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1.5</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Appropriate personnel are consulted to ensure the work is coordinated effectively with others involved on the work site.</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1.6</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T</w:t>
            </w:r>
            <w:r w:rsidRPr="00E56319">
              <w:t>ools, equipment and testing devices needed to diagnose faults are obtained in accordance with established procedures and checked for correct operation and safety.</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w:t>
            </w:r>
          </w:p>
        </w:tc>
        <w:tc>
          <w:tcPr>
            <w:tcW w:w="1785" w:type="dxa"/>
            <w:vMerge w:val="restart"/>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Diagnose and rectify faults.</w:t>
            </w: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2.1</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OHS risk control measures and procedures for carrying out</w:t>
            </w:r>
            <w:r w:rsidRPr="00E56319">
              <w:t xml:space="preserve"> the work are followed.</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2.2</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The need to test or measure live is determined in strict accordance with OHS requirements and when necessary conducted within established safety procedures.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2.3</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Circuits/machines/plant are checked as being isolated where necessary in strict accordance OHS requirements and procedures.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2.4</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Logical diagnostic methods are applied to diagnose complex refrigeration/air conditioning systems faults employing measurements and estimations of system operating parameters referenced to system operational requirements.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2.5</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Suspected fault scenarios a</w:t>
            </w:r>
            <w:r w:rsidRPr="00E56319">
              <w:t>re tested as being the source of system problems.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2.6</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Causes of the faults are identified and appropriately competent persons are engaged to rectify the fault where it is outside the scope of the refrigeration and air-conditioning system.</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2.7</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Faults </w:t>
            </w:r>
            <w:r w:rsidRPr="00E56319">
              <w:t>in system components of the system are rectified to raise the refrigeration/air conditioning systems to its operation standard.</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2.8</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System is tested to verify that the system operates as intended and to specified requirements.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2.9</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Decisions for dealing with unexpected situations are made from discussions with appropriate persons and job specifications and requirements.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2.10</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Methods for dealing with unexpected situations are selected on the basis of safety and specified work outco</w:t>
            </w:r>
            <w:r w:rsidRPr="00E56319">
              <w:t>mes.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2.11</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Diagnosis and rectification activities are carried out efficiently without waste of materials or damage to apparatus and the surrounding environment or services and using sustainable energy practices.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3</w:t>
            </w:r>
          </w:p>
        </w:tc>
        <w:tc>
          <w:tcPr>
            <w:tcW w:w="1785"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Complete and report fault diagnosis and</w:t>
            </w:r>
            <w:r w:rsidRPr="00E56319">
              <w:t xml:space="preserve"> rectification activities.</w:t>
            </w: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3.1</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OHS work completion risk control measures and procedures are followed.</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3.2</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Work site is made safe in accordance with established safety procedures.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3.3</w:t>
            </w:r>
          </w:p>
        </w:tc>
        <w:tc>
          <w:tcPr>
            <w:tcW w:w="5538"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Rectification of faults is documented in accordance with establishe</w:t>
            </w:r>
            <w:r w:rsidRPr="00E56319">
              <w:t>d procedures.</w:t>
            </w:r>
          </w:p>
        </w:tc>
      </w:tr>
      <w:tr w:rsidTr="004834D3">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3.4</w:t>
            </w:r>
          </w:p>
        </w:tc>
        <w:tc>
          <w:tcPr>
            <w:tcW w:w="5538"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 xml:space="preserve">Appropriate person or persons notified, in accordance with established procedures, that the system faults have been rectified. </w:t>
            </w:r>
          </w:p>
        </w:tc>
      </w:tr>
    </w:tbl>
    <w:p w:rsidR="004834D3" w:rsidP="00E56319">
      <w:pPr>
        <w:pStyle w:val="BodyText"/>
      </w:pPr>
    </w:p>
    <w:p w:rsidR="004834D3" w:rsidP="00E56319">
      <w:pPr>
        <w:pStyle w:val="BodyText"/>
      </w:pPr>
    </w:p>
    <w:p w:rsidR="00000000" w:rsidRPr="00E56319" w:rsidP="00E56319">
      <w:pPr>
        <w:pStyle w:val="Heading1"/>
      </w:pPr>
      <w:bookmarkStart w:id="9" w:name="O_589504"/>
      <w:bookmarkEnd w:id="9"/>
      <w:r w:rsidRPr="00E56319">
        <w:t>Required Skills and Knowledge</w:t>
      </w:r>
    </w:p>
    <w:tbl>
      <w:tblPr>
        <w:tblW w:w="0" w:type="auto"/>
        <w:tblLayout w:type="fixed"/>
        <w:tblCellMar>
          <w:left w:w="62" w:type="dxa"/>
          <w:right w:w="62" w:type="dxa"/>
        </w:tblCellMar>
        <w:tblLook w:val="0000"/>
      </w:tblPr>
      <w:tblGrid>
        <w:gridCol w:w="8597"/>
      </w:tblGrid>
      <w:tr w:rsidTr="004834D3">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REQUIRED SKILLS AND KNOWLEDGE</w:t>
            </w:r>
          </w:p>
        </w:tc>
      </w:tr>
      <w:tr w:rsidTr="004834D3">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7)</w:t>
            </w:r>
            <w:r w:rsidRPr="00E56319">
              <w:t xml:space="preserve"> This describes the essential skills and knowledge and their level, required for this unit.</w:t>
            </w:r>
          </w:p>
        </w:tc>
      </w:tr>
      <w:tr w:rsidTr="004834D3">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 xml:space="preserve">Evidence shall show that knowledge has been acquired of safe working practices and diagnosing and rectifying faults in complex refrigeration/air </w:t>
            </w:r>
            <w:r w:rsidRPr="00E56319">
              <w:t xml:space="preserve">conditioning systems. </w:t>
            </w:r>
          </w:p>
          <w:p w:rsidR="00000000" w:rsidRPr="00E56319" w:rsidP="00E56319">
            <w:pPr>
              <w:pStyle w:val="BodyText"/>
            </w:pPr>
            <w:r w:rsidRPr="00E56319">
              <w:t>All knowledge and skills detailed in this unit should be contextualised to current industry practices and technologies.</w:t>
            </w:r>
          </w:p>
          <w:p w:rsidR="00000000" w:rsidRPr="00E56319" w:rsidP="00E56319">
            <w:pPr>
              <w:pStyle w:val="BodyText"/>
            </w:pPr>
            <w:r w:rsidRPr="00E56319">
              <w:rPr>
                <w:rStyle w:val="SpecialBold"/>
              </w:rPr>
              <w:t>KS01-EJ112A</w:t>
            </w:r>
            <w:r w:rsidRPr="00E56319">
              <w:rPr>
                <w:rStyle w:val="SpecialBold"/>
              </w:rPr>
              <w:tab/>
              <w:t xml:space="preserve">              Complex refrigeration and air conditioning system fault finding and repair</w:t>
            </w:r>
          </w:p>
          <w:p w:rsidR="00000000" w:rsidRPr="00E56319" w:rsidP="00E56319">
            <w:pPr>
              <w:pStyle w:val="BodyText"/>
            </w:pPr>
            <w:r w:rsidRPr="00E56319">
              <w:t>Evidence sha</w:t>
            </w:r>
            <w:r w:rsidRPr="00E56319">
              <w:t>ll show an understanding of fault finding and repairing complex refrigeration and air conditioning system, applying safe working practices and relevant Standards, Codes and Regulations to an extent indicated by the following aspects:</w:t>
            </w:r>
          </w:p>
          <w:p w:rsidR="00000000" w:rsidRPr="00E56319" w:rsidP="00E56319">
            <w:pPr>
              <w:pStyle w:val="BodyText"/>
            </w:pPr>
            <w:r w:rsidRPr="00E56319">
              <w:t>T1</w:t>
            </w:r>
            <w:r w:rsidRPr="00E56319">
              <w:tab/>
              <w:t>Fault finding techn</w:t>
            </w:r>
            <w:r w:rsidRPr="00E56319">
              <w:t>iques</w:t>
            </w:r>
          </w:p>
          <w:p w:rsidR="00000000" w:rsidRPr="00E56319" w:rsidP="00E56319">
            <w:pPr>
              <w:pStyle w:val="ListBullet"/>
            </w:pPr>
            <w:r w:rsidRPr="00E56319">
              <w:t>Factors to consider in clarifying the nature of a fault encompassing:</w:t>
            </w:r>
          </w:p>
          <w:p w:rsidR="00000000" w:rsidRPr="00E56319" w:rsidP="00E56319">
            <w:pPr>
              <w:pStyle w:val="ListBullet2"/>
            </w:pPr>
            <w:r w:rsidRPr="00E56319">
              <w:t xml:space="preserve">initial fault report </w:t>
            </w:r>
          </w:p>
          <w:p w:rsidR="00000000" w:rsidRPr="00E56319" w:rsidP="00E56319">
            <w:pPr>
              <w:pStyle w:val="ListBullet2"/>
            </w:pPr>
            <w:r w:rsidRPr="00E56319">
              <w:t>confirmation of symptoms of the fault</w:t>
            </w:r>
          </w:p>
          <w:p w:rsidR="00000000" w:rsidRPr="00E56319" w:rsidP="00E56319">
            <w:pPr>
              <w:pStyle w:val="ListBullet2"/>
            </w:pPr>
            <w:r w:rsidRPr="00E56319">
              <w:t>comparison of symptoms with normal operation</w:t>
            </w:r>
          </w:p>
          <w:p w:rsidR="00000000" w:rsidRPr="00E56319" w:rsidP="00E56319">
            <w:pPr>
              <w:pStyle w:val="ListBullet"/>
            </w:pPr>
            <w:r w:rsidRPr="00E56319">
              <w:t>Effect to cause reasoning — assumptions of possible causes</w:t>
            </w:r>
          </w:p>
          <w:p w:rsidR="00000000" w:rsidRPr="00E56319" w:rsidP="00E56319">
            <w:pPr>
              <w:pStyle w:val="ListBullet"/>
            </w:pPr>
            <w:r w:rsidRPr="00E56319">
              <w:t>Methods for testing assumptions encompassing:</w:t>
            </w:r>
          </w:p>
          <w:p w:rsidR="00000000" w:rsidRPr="00E56319" w:rsidP="00E56319">
            <w:pPr>
              <w:pStyle w:val="ListBullet2"/>
            </w:pPr>
            <w:r w:rsidRPr="00E56319">
              <w:t>Visual inspection</w:t>
            </w:r>
          </w:p>
          <w:p w:rsidR="00000000" w:rsidRPr="00E56319" w:rsidP="00E56319">
            <w:pPr>
              <w:pStyle w:val="ListBullet2"/>
            </w:pPr>
            <w:r w:rsidRPr="00E56319">
              <w:t>Sectional testing</w:t>
            </w:r>
          </w:p>
          <w:p w:rsidR="00000000" w:rsidRPr="00E56319" w:rsidP="00E56319">
            <w:pPr>
              <w:pStyle w:val="ListBullet2"/>
            </w:pPr>
            <w:r w:rsidRPr="00E56319">
              <w:t>Split-half tests</w:t>
            </w:r>
          </w:p>
          <w:p w:rsidR="00000000" w:rsidRPr="00E56319" w:rsidP="00E56319">
            <w:pPr>
              <w:pStyle w:val="ListBullet2"/>
            </w:pPr>
            <w:r w:rsidRPr="00E56319">
              <w:t>Component isolation</w:t>
            </w:r>
          </w:p>
          <w:p w:rsidR="00000000" w:rsidRPr="00E56319" w:rsidP="00E56319">
            <w:pPr>
              <w:pStyle w:val="ListBullet"/>
            </w:pPr>
            <w:r w:rsidRPr="00E56319">
              <w:t>Dealing with intermittent faults</w:t>
            </w:r>
          </w:p>
          <w:p w:rsidR="00000000" w:rsidRPr="00E56319" w:rsidP="00E56319">
            <w:pPr>
              <w:pStyle w:val="BodyText"/>
            </w:pPr>
            <w:r w:rsidRPr="00E56319">
              <w:t>Note: Typical causes of intermittent faults are vibration, shock, changes in temperature and electroma</w:t>
            </w:r>
            <w:r w:rsidRPr="00E56319">
              <w:t>gnetic interference.</w:t>
            </w:r>
          </w:p>
          <w:p w:rsidR="00000000" w:rsidRPr="00E56319" w:rsidP="00E56319">
            <w:pPr>
              <w:pStyle w:val="BodyText"/>
            </w:pPr>
            <w:r w:rsidRPr="00E56319">
              <w:t>T2</w:t>
            </w:r>
            <w:r w:rsidRPr="00E56319">
              <w:tab/>
              <w:t>Refrigeration system analysis</w:t>
            </w:r>
          </w:p>
          <w:p w:rsidR="00000000" w:rsidRPr="00E56319" w:rsidP="00E56319">
            <w:pPr>
              <w:pStyle w:val="ListBullet"/>
            </w:pPr>
            <w:r w:rsidRPr="00E56319">
              <w:t>Pressure Enthalpy definitions</w:t>
            </w:r>
          </w:p>
          <w:p w:rsidR="00000000" w:rsidRPr="00E56319" w:rsidP="00E56319">
            <w:pPr>
              <w:pStyle w:val="ListBullet2"/>
            </w:pPr>
            <w:r w:rsidRPr="00E56319">
              <w:t xml:space="preserve">high pressure &amp; low pressure refrigerants </w:t>
            </w:r>
          </w:p>
          <w:p w:rsidR="00000000" w:rsidRPr="00E56319" w:rsidP="00E56319">
            <w:pPr>
              <w:pStyle w:val="ListBullet2"/>
            </w:pPr>
            <w:r w:rsidRPr="00E56319">
              <w:t>triple point of new refrigerants</w:t>
            </w:r>
          </w:p>
          <w:p w:rsidR="00000000" w:rsidRPr="00E56319" w:rsidP="00E56319">
            <w:pPr>
              <w:pStyle w:val="ListBullet2"/>
            </w:pPr>
            <w:r w:rsidRPr="00E56319">
              <w:t>glide of trinary blends</w:t>
            </w:r>
          </w:p>
          <w:p w:rsidR="00000000" w:rsidRPr="00E56319" w:rsidP="00E56319">
            <w:pPr>
              <w:pStyle w:val="ListBullet2"/>
            </w:pPr>
            <w:r w:rsidRPr="00E56319">
              <w:t>differential evaporation of refrigerant blends</w:t>
            </w:r>
          </w:p>
          <w:p w:rsidR="00000000" w:rsidRPr="00E56319" w:rsidP="00E56319">
            <w:pPr>
              <w:pStyle w:val="ListBullet2"/>
            </w:pPr>
            <w:r w:rsidRPr="00E56319">
              <w:t>variable refrigerant volume</w:t>
            </w:r>
          </w:p>
          <w:p w:rsidR="00000000" w:rsidRPr="00E56319" w:rsidP="00E56319">
            <w:pPr>
              <w:pStyle w:val="ListBullet"/>
            </w:pPr>
            <w:r w:rsidRPr="00E56319">
              <w:t>Refrigeration cycle</w:t>
            </w:r>
          </w:p>
          <w:p w:rsidR="00000000" w:rsidRPr="00E56319" w:rsidP="00E56319">
            <w:pPr>
              <w:pStyle w:val="ListBullet2"/>
            </w:pPr>
            <w:r w:rsidRPr="00E56319">
              <w:t>expansion process</w:t>
            </w:r>
          </w:p>
          <w:p w:rsidR="00000000" w:rsidRPr="00E56319" w:rsidP="00E56319">
            <w:pPr>
              <w:pStyle w:val="ListBullet2"/>
            </w:pPr>
            <w:r w:rsidRPr="00E56319">
              <w:t>vaporising process</w:t>
            </w:r>
          </w:p>
          <w:p w:rsidR="00000000" w:rsidRPr="00E56319" w:rsidP="00E56319">
            <w:pPr>
              <w:pStyle w:val="ListBullet2"/>
            </w:pPr>
            <w:r w:rsidRPr="00E56319">
              <w:t>compression process</w:t>
            </w:r>
          </w:p>
          <w:p w:rsidR="00000000" w:rsidRPr="00E56319" w:rsidP="00E56319">
            <w:pPr>
              <w:pStyle w:val="ListBullet2"/>
            </w:pPr>
            <w:r w:rsidRPr="00E56319">
              <w:t>condensing process</w:t>
            </w:r>
          </w:p>
          <w:p w:rsidR="00000000" w:rsidRPr="00E56319" w:rsidP="00E56319">
            <w:pPr>
              <w:pStyle w:val="ListBullet2"/>
            </w:pPr>
            <w:r w:rsidRPr="00E56319">
              <w:t>compression ratio</w:t>
            </w:r>
          </w:p>
          <w:p w:rsidR="00000000" w:rsidRPr="00E56319" w:rsidP="00E56319">
            <w:pPr>
              <w:pStyle w:val="ListBullet"/>
            </w:pPr>
            <w:r w:rsidRPr="00E56319">
              <w:t>Enthalpy processes</w:t>
            </w:r>
          </w:p>
          <w:p w:rsidR="00000000" w:rsidRPr="00E56319" w:rsidP="00E56319">
            <w:pPr>
              <w:pStyle w:val="ListBullet2"/>
            </w:pPr>
            <w:r w:rsidRPr="00E56319">
              <w:t>co-efficient of performance</w:t>
            </w:r>
          </w:p>
          <w:p w:rsidR="00000000" w:rsidRPr="00E56319" w:rsidP="00E56319">
            <w:pPr>
              <w:pStyle w:val="ListBullet2"/>
            </w:pPr>
            <w:r w:rsidRPr="00E56319">
              <w:t>effect of suction temperature on cycle efficiency</w:t>
            </w:r>
          </w:p>
          <w:p w:rsidR="00000000" w:rsidRPr="00E56319" w:rsidP="00E56319">
            <w:pPr>
              <w:pStyle w:val="ListBullet2"/>
            </w:pPr>
            <w:r w:rsidRPr="00E56319">
              <w:t>effect of condensing temperature on cycle efficiency</w:t>
            </w:r>
          </w:p>
          <w:p w:rsidR="00000000" w:rsidRPr="00E56319" w:rsidP="00E56319">
            <w:pPr>
              <w:pStyle w:val="ListBullet"/>
            </w:pPr>
            <w:r w:rsidRPr="00E56319">
              <w:t>Actual refrigerating cycles</w:t>
            </w:r>
          </w:p>
          <w:p w:rsidR="00000000" w:rsidRPr="00E56319" w:rsidP="00E56319">
            <w:pPr>
              <w:pStyle w:val="ListBullet2"/>
            </w:pPr>
            <w:r w:rsidRPr="00E56319">
              <w:t>design operating conditions</w:t>
            </w:r>
          </w:p>
          <w:p w:rsidR="00000000" w:rsidRPr="00E56319" w:rsidP="00E56319">
            <w:pPr>
              <w:pStyle w:val="ListBullet2"/>
            </w:pPr>
            <w:r w:rsidRPr="00E56319">
              <w:t>effects of superheating suction vapour</w:t>
            </w:r>
          </w:p>
          <w:p w:rsidR="00000000" w:rsidRPr="00E56319" w:rsidP="00E56319">
            <w:pPr>
              <w:pStyle w:val="ListBullet2"/>
            </w:pPr>
            <w:r w:rsidRPr="00E56319">
              <w:t>superheating without useful cooling</w:t>
            </w:r>
          </w:p>
          <w:p w:rsidR="00000000" w:rsidRPr="00E56319" w:rsidP="00E56319">
            <w:pPr>
              <w:pStyle w:val="ListBullet2"/>
            </w:pPr>
            <w:r w:rsidRPr="00E56319">
              <w:t>superheating that produces useful cooling</w:t>
            </w:r>
          </w:p>
          <w:p w:rsidR="00000000" w:rsidRPr="00E56319" w:rsidP="00E56319">
            <w:pPr>
              <w:pStyle w:val="ListBullet2"/>
            </w:pPr>
            <w:r w:rsidRPr="00E56319">
              <w:t>superheating in suction pipi</w:t>
            </w:r>
            <w:r w:rsidRPr="00E56319">
              <w:t>ng outside the refrigerated space</w:t>
            </w:r>
          </w:p>
          <w:p w:rsidR="00000000" w:rsidRPr="00E56319" w:rsidP="00E56319">
            <w:pPr>
              <w:pStyle w:val="ListBullet2"/>
            </w:pPr>
            <w:r w:rsidRPr="00E56319">
              <w:t>superheating the vapour inside the refrigerated space</w:t>
            </w:r>
          </w:p>
          <w:p w:rsidR="00000000" w:rsidRPr="00E56319" w:rsidP="00E56319">
            <w:pPr>
              <w:pStyle w:val="ListBullet2"/>
            </w:pPr>
            <w:r w:rsidRPr="00E56319">
              <w:t>effects of subcooling the liquid</w:t>
            </w:r>
          </w:p>
          <w:p w:rsidR="00000000" w:rsidRPr="00E56319" w:rsidP="00E56319">
            <w:pPr>
              <w:pStyle w:val="ListBullet2"/>
            </w:pPr>
            <w:r w:rsidRPr="00E56319">
              <w:t>effects liquid - suction heat exchangers</w:t>
            </w:r>
          </w:p>
          <w:p w:rsidR="00000000" w:rsidRPr="00E56319" w:rsidP="00E56319">
            <w:pPr>
              <w:pStyle w:val="ListBullet2"/>
            </w:pPr>
            <w:r w:rsidRPr="00E56319">
              <w:t>effects of pressure losses resulting from friction</w:t>
            </w:r>
          </w:p>
          <w:p w:rsidR="00000000" w:rsidRPr="00E56319" w:rsidP="00E56319">
            <w:pPr>
              <w:pStyle w:val="ListBullet"/>
            </w:pPr>
            <w:r w:rsidRPr="00E56319">
              <w:t>Refrigeration cycle faults</w:t>
            </w:r>
          </w:p>
          <w:p w:rsidR="00000000" w:rsidRPr="00E56319" w:rsidP="00E56319">
            <w:pPr>
              <w:pStyle w:val="ListBullet2"/>
            </w:pPr>
            <w:r w:rsidRPr="00E56319">
              <w:t>symptoms and causes</w:t>
            </w:r>
          </w:p>
          <w:p w:rsidR="00000000" w:rsidRPr="00E56319" w:rsidP="00E56319">
            <w:pPr>
              <w:pStyle w:val="ListBullet2"/>
            </w:pPr>
            <w:r w:rsidRPr="00E56319">
              <w:t>measurements and fault confirmation tests</w:t>
            </w:r>
          </w:p>
          <w:p w:rsidR="00000000" w:rsidRPr="00E56319" w:rsidP="00E56319">
            <w:pPr>
              <w:pStyle w:val="BodyText"/>
            </w:pPr>
            <w:r w:rsidRPr="00E56319">
              <w:t>T3</w:t>
            </w:r>
            <w:r w:rsidRPr="00E56319">
              <w:tab/>
              <w:t>Air conditioning system analysis</w:t>
            </w:r>
          </w:p>
          <w:p w:rsidR="00000000" w:rsidRPr="00E56319" w:rsidP="00E56319">
            <w:pPr>
              <w:pStyle w:val="ListBullet"/>
            </w:pPr>
            <w:r w:rsidRPr="00E56319">
              <w:t>Psychrometric chart</w:t>
            </w:r>
          </w:p>
          <w:p w:rsidR="00000000" w:rsidRPr="00E56319" w:rsidP="00E56319">
            <w:pPr>
              <w:pStyle w:val="ListBullet2"/>
            </w:pPr>
            <w:r w:rsidRPr="00E56319">
              <w:t xml:space="preserve">properties, definitions and units </w:t>
            </w:r>
          </w:p>
          <w:p w:rsidR="00000000" w:rsidRPr="00E56319" w:rsidP="00E56319">
            <w:pPr>
              <w:pStyle w:val="ListBullet2"/>
            </w:pPr>
            <w:r w:rsidRPr="00E56319">
              <w:t>plotting conditions</w:t>
            </w:r>
          </w:p>
          <w:p w:rsidR="00000000" w:rsidRPr="00E56319" w:rsidP="00E56319">
            <w:pPr>
              <w:pStyle w:val="ListBullet3"/>
            </w:pPr>
            <w:r w:rsidRPr="00E56319">
              <w:t>RA, SA, OA, MA</w:t>
            </w:r>
          </w:p>
          <w:p w:rsidR="00000000" w:rsidRPr="00E56319" w:rsidP="00E56319">
            <w:pPr>
              <w:pStyle w:val="ListBullet"/>
            </w:pPr>
            <w:r w:rsidRPr="00E56319">
              <w:t>Psychometric processes</w:t>
            </w:r>
          </w:p>
          <w:p w:rsidR="00000000" w:rsidRPr="00E56319" w:rsidP="00E56319">
            <w:pPr>
              <w:pStyle w:val="ListBullet2"/>
            </w:pPr>
            <w:r w:rsidRPr="00E56319">
              <w:t>heating</w:t>
            </w:r>
          </w:p>
          <w:p w:rsidR="00000000" w:rsidRPr="00E56319" w:rsidP="00E56319">
            <w:pPr>
              <w:pStyle w:val="ListBullet2"/>
            </w:pPr>
            <w:r w:rsidRPr="00E56319">
              <w:t>cooling only</w:t>
            </w:r>
          </w:p>
          <w:p w:rsidR="00000000" w:rsidRPr="00E56319" w:rsidP="00E56319">
            <w:pPr>
              <w:pStyle w:val="ListBullet2"/>
            </w:pPr>
            <w:r w:rsidRPr="00E56319">
              <w:t>cooling and dehumidification</w:t>
            </w:r>
          </w:p>
          <w:p w:rsidR="00000000" w:rsidRPr="00E56319" w:rsidP="00E56319">
            <w:pPr>
              <w:pStyle w:val="ListBullet2"/>
            </w:pPr>
            <w:r w:rsidRPr="00E56319">
              <w:t>cooling , dehumidification and reheat</w:t>
            </w:r>
          </w:p>
          <w:p w:rsidR="00000000" w:rsidRPr="00E56319" w:rsidP="00E56319">
            <w:pPr>
              <w:pStyle w:val="ListBullet"/>
            </w:pPr>
            <w:r w:rsidRPr="00E56319">
              <w:t>Design operating conditions</w:t>
            </w:r>
          </w:p>
          <w:p w:rsidR="00000000" w:rsidRPr="00E56319" w:rsidP="00E56319">
            <w:pPr>
              <w:pStyle w:val="ListBullet2"/>
            </w:pPr>
            <w:r w:rsidRPr="00E56319">
              <w:t>indoor and outdoor wet and dry bulb temperatures</w:t>
            </w:r>
          </w:p>
          <w:p w:rsidR="00000000" w:rsidRPr="00E56319" w:rsidP="00E56319">
            <w:pPr>
              <w:pStyle w:val="ListBullet2"/>
            </w:pPr>
            <w:r w:rsidRPr="00E56319">
              <w:t>volume flow rate supply, return and outdoor air</w:t>
            </w:r>
          </w:p>
          <w:p w:rsidR="00000000" w:rsidRPr="00E56319" w:rsidP="00E56319">
            <w:pPr>
              <w:pStyle w:val="ListBullet"/>
            </w:pPr>
            <w:r w:rsidRPr="00E56319">
              <w:t>Air conditioning system faults</w:t>
            </w:r>
          </w:p>
          <w:p w:rsidR="00000000" w:rsidRPr="00E56319" w:rsidP="00E56319">
            <w:pPr>
              <w:pStyle w:val="ListBullet2"/>
            </w:pPr>
            <w:r w:rsidRPr="00E56319">
              <w:t>symptoms and causes</w:t>
            </w:r>
          </w:p>
          <w:p w:rsidR="00000000" w:rsidRPr="00E56319" w:rsidP="00E56319">
            <w:pPr>
              <w:pStyle w:val="ListBullet2"/>
            </w:pPr>
            <w:r w:rsidRPr="00E56319">
              <w:t>measurements and fault confirmation tests</w:t>
            </w:r>
          </w:p>
          <w:p w:rsidR="00000000" w:rsidRPr="00E56319" w:rsidP="00E56319">
            <w:pPr>
              <w:pStyle w:val="BodyText"/>
            </w:pPr>
            <w:r w:rsidRPr="00E56319">
              <w:t>T4</w:t>
            </w:r>
            <w:r w:rsidRPr="00E56319">
              <w:tab/>
              <w:t>Power and control system analysis</w:t>
            </w:r>
          </w:p>
          <w:p w:rsidR="00000000" w:rsidRPr="00E56319" w:rsidP="00E56319">
            <w:pPr>
              <w:pStyle w:val="ListBullet"/>
            </w:pPr>
            <w:r w:rsidRPr="00E56319">
              <w:t>power and control circuit diagrams</w:t>
            </w:r>
          </w:p>
          <w:p w:rsidR="00000000" w:rsidRPr="00E56319" w:rsidP="00E56319">
            <w:pPr>
              <w:pStyle w:val="ListBullet"/>
            </w:pPr>
            <w:r w:rsidRPr="00E56319">
              <w:t>sequence of operation</w:t>
            </w:r>
          </w:p>
          <w:p w:rsidR="00000000" w:rsidRPr="00E56319" w:rsidP="00E56319">
            <w:pPr>
              <w:pStyle w:val="ListBullet"/>
            </w:pPr>
            <w:r w:rsidRPr="00E56319">
              <w:t>manufacturers diagrams, specifications and instructions</w:t>
            </w:r>
          </w:p>
          <w:p w:rsidR="00000000" w:rsidRPr="00E56319" w:rsidP="00E56319">
            <w:pPr>
              <w:pStyle w:val="ListBullet"/>
            </w:pPr>
            <w:r w:rsidRPr="00E56319">
              <w:t>power and control circuit faults</w:t>
            </w:r>
          </w:p>
          <w:p w:rsidR="00000000" w:rsidRPr="00E56319" w:rsidP="00E56319">
            <w:pPr>
              <w:pStyle w:val="ListBullet2"/>
            </w:pPr>
            <w:r w:rsidRPr="00E56319">
              <w:t>symptoms and causes</w:t>
            </w:r>
          </w:p>
          <w:p w:rsidR="00000000" w:rsidRPr="00E56319" w:rsidP="00E56319">
            <w:pPr>
              <w:pStyle w:val="ListBullet2"/>
            </w:pPr>
            <w:r w:rsidRPr="00E56319">
              <w:t>measurements and fault confirmation tests</w:t>
            </w:r>
          </w:p>
        </w:tc>
      </w:tr>
    </w:tbl>
    <w:p w:rsidR="004834D3" w:rsidP="00E56319">
      <w:pPr>
        <w:pStyle w:val="BodyText"/>
      </w:pPr>
    </w:p>
    <w:p w:rsidR="004834D3" w:rsidP="00E56319">
      <w:pPr>
        <w:pStyle w:val="BodyText"/>
      </w:pPr>
    </w:p>
    <w:p w:rsidR="00000000" w:rsidRPr="00E56319" w:rsidP="00E56319">
      <w:pPr>
        <w:pStyle w:val="Heading1"/>
      </w:pPr>
      <w:bookmarkStart w:id="10" w:name="O_589503"/>
      <w:bookmarkEnd w:id="10"/>
      <w:r w:rsidRPr="00E56319">
        <w:t>Evidence Guide</w:t>
      </w:r>
    </w:p>
    <w:tbl>
      <w:tblPr>
        <w:tblW w:w="0" w:type="auto"/>
        <w:tblLayout w:type="fixed"/>
        <w:tblCellMar>
          <w:left w:w="62" w:type="dxa"/>
          <w:right w:w="62" w:type="dxa"/>
        </w:tblCellMar>
        <w:tblLook w:val="0000"/>
      </w:tblPr>
      <w:tblGrid>
        <w:gridCol w:w="2160"/>
        <w:gridCol w:w="236"/>
        <w:gridCol w:w="540"/>
        <w:gridCol w:w="5572"/>
        <w:gridCol w:w="89"/>
      </w:tblGrid>
      <w:tr w:rsidTr="004834D3">
        <w:tblPrEx>
          <w:tblW w:w="0" w:type="auto"/>
          <w:tblLayout w:type="fixed"/>
          <w:tblCellMar>
            <w:left w:w="62" w:type="dxa"/>
            <w:right w:w="62" w:type="dxa"/>
          </w:tblCellMar>
          <w:tblLook w:val="0000"/>
        </w:tblPrEx>
        <w:trPr>
          <w:gridAfter w:val="1"/>
          <w:wAfter w:w="89" w:type="dxa"/>
          <w:tblHeader/>
        </w:trPr>
        <w:tc>
          <w:tcPr>
            <w:tcW w:w="8508" w:type="dxa"/>
            <w:gridSpan w:val="4"/>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EVIDENCE GUIDE</w:t>
            </w:r>
          </w:p>
        </w:tc>
      </w:tr>
      <w:tr w:rsidTr="004834D3">
        <w:tblPrEx>
          <w:tblW w:w="0" w:type="auto"/>
          <w:tblLayout w:type="fixed"/>
          <w:tblCellMar>
            <w:left w:w="62" w:type="dxa"/>
            <w:right w:w="62" w:type="dxa"/>
          </w:tblCellMar>
          <w:tblLook w:val="0000"/>
        </w:tblPrEx>
        <w:trPr>
          <w:gridAfter w:val="1"/>
          <w:wAfter w:w="89" w:type="dxa"/>
        </w:trPr>
        <w:tc>
          <w:tcPr>
            <w:tcW w:w="8508" w:type="dxa"/>
            <w:gridSpan w:val="4"/>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9</w:t>
            </w:r>
            <w:r w:rsidRPr="00E56319">
              <w:t xml:space="preserve">) The evidence guide provides advice on assessment and must be read in conjunction with the Performance </w:t>
            </w:r>
            <w:r w:rsidRPr="00E56319">
              <w:t>Criteria, Required Skills and Knowledge, the Range Statement and the Assessment Guidelines for this Training Package. .</w:t>
            </w:r>
          </w:p>
          <w:p w:rsidR="00000000" w:rsidP="00E56319">
            <w:pPr>
              <w:pStyle w:val="BodyText"/>
              <w:rPr>
                <w:lang w:val="en-NZ"/>
              </w:rPr>
            </w:pPr>
            <w:r w:rsidRPr="00E56319">
              <w:t>The Evidence Guide forms an integral part of this Unit. It must be used in conjunction with all parts of this unit and performed in acco</w:t>
            </w:r>
            <w:r w:rsidRPr="00E56319">
              <w:t>rdance with the Assessment Guidelines of this Training Package.</w:t>
            </w:r>
          </w:p>
        </w:tc>
      </w:tr>
      <w:tr w:rsidTr="004834D3">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9</w:t>
            </w:r>
            <w:r w:rsidRPr="00E56319">
              <w:t>.</w:t>
            </w:r>
            <w:r w:rsidRPr="00E56319">
              <w:rPr>
                <w:rStyle w:val="SpecialBold"/>
              </w:rPr>
              <w:t>1</w:t>
            </w:r>
            <w:r w:rsidRPr="00E56319">
              <w:t xml:space="preserve">) </w:t>
            </w:r>
          </w:p>
          <w:p w:rsidR="00000000" w:rsidRPr="00E56319" w:rsidP="00E56319">
            <w:pPr>
              <w:pStyle w:val="BodyText"/>
            </w:pPr>
            <w:r w:rsidRPr="00E56319">
              <w:t>Longitudinal competency development approaches to assessment, such as Profiling, require data to be reliably gathered in a form that can be consistently interp</w:t>
            </w:r>
            <w:r w:rsidRPr="00E56319">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E56319">
              <w:t>of the competency in the normal work environment or, at a minimum, the application of the competency in a realistically simulated work environment. In some circumstances, assessment in part or full can occur outside the workplace. However, it must be in ac</w:t>
            </w:r>
            <w:r w:rsidRPr="00E56319">
              <w:t>cordance with industry and regulatory policy.</w:t>
            </w:r>
          </w:p>
          <w:p w:rsidR="00000000" w:rsidRPr="00E56319" w:rsidP="00E56319">
            <w:pPr>
              <w:pStyle w:val="BodyText"/>
            </w:pPr>
            <w:r w:rsidRPr="00E56319">
              <w:t xml:space="preserve">Methods chosen for a particular assessment will be influenced by various factors. These include the extent of the assessment, the most effective locations for the assessment activities to take place, access to </w:t>
            </w:r>
            <w:r w:rsidRPr="00E56319">
              <w:t>physical resources, additional safety measures that may be required and the critical nature of the competencies being assessed.</w:t>
            </w:r>
          </w:p>
          <w:p w:rsidR="00000000" w:rsidRPr="00E56319" w:rsidP="00E56319">
            <w:pPr>
              <w:pStyle w:val="BodyText"/>
            </w:pPr>
            <w:r w:rsidRPr="00E56319">
              <w:t>The critical safety nature of working with electricity, electrical equipment, gas or any other hazardous substance/material carr</w:t>
            </w:r>
            <w:r w:rsidRPr="00E56319">
              <w:t>ies risk in deeming a person competent. Sources of evidence need to be 'rich' in nature to minimise error in judgment.</w:t>
            </w:r>
          </w:p>
          <w:p w:rsidR="00000000" w:rsidP="00E56319">
            <w:pPr>
              <w:pStyle w:val="BodyText"/>
              <w:rPr>
                <w:lang w:val="en-NZ"/>
              </w:rPr>
            </w:pPr>
            <w:r w:rsidRPr="00E56319">
              <w:t>Activities associated with normal everyday work influence decisions about how/how much the data gathered will contribute to its 'richness'. Some skills are more critical to safety and operational requirements while the same skills may be more or less frequ</w:t>
            </w:r>
            <w:r w:rsidRPr="00E56319">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4834D3">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Critical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9</w:t>
            </w:r>
            <w:r w:rsidRPr="00E56319">
              <w:t>.</w:t>
            </w:r>
            <w:r w:rsidRPr="00E56319">
              <w:rPr>
                <w:rStyle w:val="SpecialBold"/>
              </w:rPr>
              <w:t>2</w:t>
            </w:r>
            <w:r w:rsidRPr="00E56319">
              <w:t xml:space="preserve">) </w:t>
            </w:r>
          </w:p>
          <w:p w:rsidR="00000000" w:rsidP="00E56319">
            <w:pPr>
              <w:pStyle w:val="BodyText"/>
              <w:rPr>
                <w:lang w:val="en-NZ"/>
              </w:rPr>
            </w:pPr>
            <w:r w:rsidRPr="00E56319">
              <w:t>Before the critical aspects of evidence are considered all prerequisites must be met.</w:t>
            </w:r>
          </w:p>
        </w:tc>
      </w:tr>
      <w:tr w:rsidTr="004834D3">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Evidence for competence in this unit shall be considered holistically.  Each El</w:t>
            </w:r>
            <w:r w:rsidRPr="00E56319">
              <w:t>ement and associated performance criteria shall be demonstrated on at least two occasions in accordance with the 'Assessment Guidelines - UEE07'.  Evidence shall also comprise:</w:t>
            </w:r>
          </w:p>
          <w:p w:rsidR="00000000" w:rsidP="00E56319">
            <w:pPr>
              <w:pStyle w:val="ListBullet"/>
              <w:rPr>
                <w:lang w:val="en-NZ"/>
              </w:rPr>
            </w:pPr>
            <w:r w:rsidRPr="00E56319">
              <w:t>A representative body of work performance demonstrated within the timeframes t</w:t>
            </w:r>
            <w:r w:rsidRPr="00E56319">
              <w:t>ypically expected of the discipline, work function and industrial environment. In particular this shall incorporate evidence that shows a candidate is able to:</w:t>
            </w:r>
          </w:p>
        </w:tc>
      </w:tr>
      <w:tr w:rsidTr="004834D3">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56319" w:rsidP="00E56319">
            <w:pPr>
              <w:pStyle w:val="ListBullet2"/>
            </w:pPr>
            <w:r w:rsidRPr="00E56319">
              <w:t xml:space="preserve">Implement Occupational Health and Safety workplace procedures and practices, including </w:t>
            </w:r>
            <w:r w:rsidRPr="00E56319">
              <w:t>the use of risk control measures as specified in the performance criteria and range statement</w:t>
            </w:r>
          </w:p>
          <w:p w:rsidR="00000000" w:rsidRPr="00E56319" w:rsidP="00E56319">
            <w:pPr>
              <w:pStyle w:val="ListBullet2"/>
            </w:pPr>
            <w:r w:rsidRPr="00E56319">
              <w:t>Apply sustainable energy principles and practices as specified in the performance criteria and range statement</w:t>
            </w:r>
          </w:p>
          <w:p w:rsidR="00000000" w:rsidRPr="00E56319" w:rsidP="00E56319">
            <w:pPr>
              <w:pStyle w:val="ListBullet2"/>
            </w:pPr>
            <w:r w:rsidRPr="00E5631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E56319" w:rsidP="00E56319">
            <w:pPr>
              <w:pStyle w:val="ListBullet2"/>
            </w:pPr>
            <w:r w:rsidRPr="00E56319">
              <w:t>Demonst</w:t>
            </w:r>
            <w:r w:rsidRPr="00E56319">
              <w:t>rate an appropriate level of skills enabling employment</w:t>
            </w:r>
          </w:p>
          <w:p w:rsidR="00000000" w:rsidP="00E56319">
            <w:pPr>
              <w:pStyle w:val="ListBullet2"/>
              <w:rPr>
                <w:lang w:val="en-NZ"/>
              </w:rPr>
            </w:pPr>
            <w:r w:rsidRPr="00E56319">
              <w:t>Conduct work observing the relevant Anti Discrimination legislation, regulations, polices and workplace procedures</w:t>
            </w:r>
          </w:p>
        </w:tc>
      </w:tr>
      <w:tr w:rsidTr="004834D3">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56319">
            <w:pPr>
              <w:pStyle w:val="ListBullet"/>
              <w:rPr>
                <w:lang w:val="en-NZ"/>
              </w:rPr>
            </w:pPr>
            <w:r w:rsidRPr="00E56319">
              <w:t>Demonstrated consistent performance across a representative range of contexts fr</w:t>
            </w:r>
            <w:r w:rsidRPr="00E56319">
              <w:t>om the prescribed items below:</w:t>
            </w:r>
          </w:p>
        </w:tc>
      </w:tr>
      <w:tr w:rsidTr="004834D3">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56319">
            <w:pPr>
              <w:pStyle w:val="ListBullet2"/>
              <w:rPr>
                <w:lang w:val="en-NZ"/>
              </w:rPr>
            </w:pPr>
            <w:r w:rsidRPr="00E56319">
              <w:t>Diagnose and rectify faults in complex refrigeration/air conditioning systems as described in 8) and including:</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A</w:t>
            </w:r>
          </w:p>
        </w:tc>
        <w:tc>
          <w:tcPr>
            <w:tcW w:w="5661"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Applying logical diagnostic methods</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B</w:t>
            </w:r>
          </w:p>
        </w:tc>
        <w:tc>
          <w:tcPr>
            <w:tcW w:w="5661"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Using fault scenarios to test the cause of system faults</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C</w:t>
            </w:r>
          </w:p>
        </w:tc>
        <w:tc>
          <w:tcPr>
            <w:tcW w:w="5661"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Identifying faults and competency needed to rectify them</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w:t>
            </w:r>
          </w:p>
        </w:tc>
        <w:tc>
          <w:tcPr>
            <w:tcW w:w="5661"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Rectifying faults in system controls</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E</w:t>
            </w:r>
          </w:p>
        </w:tc>
        <w:tc>
          <w:tcPr>
            <w:tcW w:w="5661"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Verifying that the system operates correctly</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F</w:t>
            </w:r>
          </w:p>
        </w:tc>
        <w:tc>
          <w:tcPr>
            <w:tcW w:w="5661" w:type="dxa"/>
            <w:gridSpan w:val="2"/>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Dealing with unplanned events by drawing on essential knowledge and skills to provide appropriate solutions incorporated in the holistic assessment with the above listed items</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Note: </w:t>
            </w:r>
            <w:r w:rsidRPr="00E56319">
              <w:br/>
              <w:t>Successful completion of relevant vendor training may be used to contri</w:t>
            </w:r>
            <w:r w:rsidRPr="00E56319">
              <w:t>bute to evidence on which competency is deemed. In these cases the alignment of outcomes of vendor training with performance criteria and critical aspects of evidence shall be clearly identified</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Context of and specific resources for assessment</w:t>
            </w:r>
          </w:p>
        </w:tc>
        <w:tc>
          <w:tcPr>
            <w:tcW w:w="6437" w:type="dxa"/>
            <w:gridSpan w:val="4"/>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9</w:t>
            </w:r>
            <w:r w:rsidRPr="00E56319">
              <w:t>.</w:t>
            </w:r>
            <w:r w:rsidRPr="00E56319">
              <w:rPr>
                <w:rStyle w:val="SpecialBold"/>
              </w:rPr>
              <w:t>3</w:t>
            </w:r>
            <w:r w:rsidRPr="00E56319">
              <w:t xml:space="preserve">) </w:t>
            </w:r>
          </w:p>
          <w:p w:rsidR="00000000" w:rsidRPr="00E56319" w:rsidP="00E56319">
            <w:pPr>
              <w:pStyle w:val="BodyText"/>
            </w:pPr>
            <w:r w:rsidRPr="00E56319">
              <w:t>Thi</w:t>
            </w:r>
            <w:r w:rsidRPr="00E56319">
              <w:t>s unit should be assessed as it relates to normal work practice using procedures, information and resources typical of a workplace. This should include:</w:t>
            </w:r>
          </w:p>
          <w:p w:rsidR="00000000" w:rsidRPr="00E56319" w:rsidP="00E56319">
            <w:pPr>
              <w:pStyle w:val="ListBullet"/>
            </w:pPr>
            <w:r w:rsidRPr="00E56319">
              <w:t>OHS policy and work procedures and instructions.</w:t>
            </w:r>
          </w:p>
          <w:p w:rsidR="00000000" w:rsidRPr="00E56319" w:rsidP="00E56319">
            <w:pPr>
              <w:pStyle w:val="ListBullet"/>
            </w:pPr>
            <w:r w:rsidRPr="00E56319">
              <w:t>Suitable work environment, facilities, equipment and materials to undertake actual work as prescribed by this unit.</w:t>
            </w:r>
          </w:p>
          <w:p w:rsidR="00000000" w:rsidRPr="00E56319" w:rsidP="00E56319">
            <w:pPr>
              <w:pStyle w:val="BodyText"/>
            </w:pPr>
            <w:r w:rsidRPr="00E56319">
              <w:t>These should be part of the formal learning/assessment environment.</w:t>
            </w:r>
          </w:p>
          <w:p w:rsidR="00000000" w:rsidRPr="00E56319" w:rsidP="00E56319">
            <w:pPr>
              <w:pStyle w:val="BodyText"/>
            </w:pPr>
            <w:r w:rsidRPr="00E56319">
              <w:t>Note:</w:t>
            </w:r>
          </w:p>
          <w:p w:rsidR="00000000" w:rsidP="00E56319">
            <w:pPr>
              <w:pStyle w:val="BodyText"/>
              <w:rPr>
                <w:lang w:val="en-NZ"/>
              </w:rPr>
            </w:pPr>
            <w:r w:rsidRPr="00E56319">
              <w:t>Where simulation is considered a suitable strategy for assessment,</w:t>
            </w:r>
            <w:r w:rsidRPr="00E56319">
              <w:t xml:space="preserve"> conditions must be authentic and as far as possible reproduce and replicate the workplace and be consistent with the approved industry simulation policy.</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Evidence should show demonstrated competency in diagnosing and rectifying faults in complex refri</w:t>
            </w:r>
            <w:r w:rsidRPr="00E56319">
              <w:t>geration/air conditioning systems.</w:t>
            </w:r>
          </w:p>
        </w:tc>
      </w:tr>
      <w:tr w:rsidTr="00483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Method of assessment</w:t>
            </w:r>
          </w:p>
        </w:tc>
        <w:tc>
          <w:tcPr>
            <w:tcW w:w="6437" w:type="dxa"/>
            <w:gridSpan w:val="4"/>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9</w:t>
            </w:r>
            <w:r w:rsidRPr="00E56319">
              <w:t>.</w:t>
            </w:r>
            <w:r w:rsidRPr="00E56319">
              <w:rPr>
                <w:rStyle w:val="SpecialBold"/>
              </w:rPr>
              <w:t>4</w:t>
            </w:r>
            <w:r w:rsidRPr="00E56319">
              <w:t xml:space="preserve">) </w:t>
            </w:r>
          </w:p>
          <w:p w:rsidR="00000000" w:rsidRPr="00E56319" w:rsidP="00E56319">
            <w:pPr>
              <w:pStyle w:val="BodyText"/>
            </w:pPr>
            <w:r w:rsidRPr="00E56319">
              <w:t>This unit shall be assessed by methods given in Volume 1, Part 3 'Assessment Guidelines'.</w:t>
            </w:r>
          </w:p>
          <w:p w:rsidR="00000000" w:rsidP="00E56319">
            <w:pPr>
              <w:pStyle w:val="BodyText"/>
              <w:rPr>
                <w:lang w:val="en-NZ"/>
              </w:rPr>
            </w:pPr>
            <w:r w:rsidRPr="00E56319">
              <w:t xml:space="preserve">Note: </w:t>
            </w:r>
            <w:r w:rsidRPr="00E56319">
              <w:br/>
            </w:r>
            <w:r w:rsidRPr="00E56319">
              <w:t>Competent performance with inherent safe working practices is expected in the Industry to which this unit applies. This requires assessment in a structured environment which is intended primarily for learning/assessment and incorporates all necessary equip</w:t>
            </w:r>
            <w:r w:rsidRPr="00E56319">
              <w:t>ment and facilities for learners to develop and demonstrate the essential knowledge and skills described in this unit.</w:t>
            </w:r>
          </w:p>
        </w:tc>
      </w:tr>
      <w:tr w:rsidTr="004834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Concurrent assessment and relationship with other units</w:t>
            </w:r>
          </w:p>
        </w:tc>
        <w:tc>
          <w:tcPr>
            <w:tcW w:w="6437" w:type="dxa"/>
            <w:gridSpan w:val="4"/>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9</w:t>
            </w:r>
            <w:r w:rsidRPr="00E56319">
              <w:t>.</w:t>
            </w:r>
            <w:r w:rsidRPr="00E56319">
              <w:rPr>
                <w:rStyle w:val="SpecialBold"/>
              </w:rPr>
              <w:t>5</w:t>
            </w:r>
            <w:r w:rsidRPr="00E56319">
              <w:t>)</w:t>
            </w:r>
          </w:p>
        </w:tc>
      </w:tr>
      <w:tr w:rsidTr="004834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There are no concurrent assessment recommendations for this unit.</w:t>
            </w:r>
          </w:p>
        </w:tc>
      </w:tr>
    </w:tbl>
    <w:p w:rsidR="004834D3" w:rsidP="00E56319">
      <w:pPr>
        <w:pStyle w:val="BodyText"/>
      </w:pPr>
    </w:p>
    <w:p w:rsidR="004834D3" w:rsidP="00E56319">
      <w:pPr>
        <w:pStyle w:val="BodyText"/>
      </w:pPr>
    </w:p>
    <w:p w:rsidR="00000000" w:rsidRPr="00E56319" w:rsidP="00E56319">
      <w:pPr>
        <w:pStyle w:val="Heading1"/>
      </w:pPr>
      <w:bookmarkStart w:id="11" w:name="O_589502"/>
      <w:bookmarkEnd w:id="11"/>
      <w:r w:rsidRPr="00E56319">
        <w:t>Range Statement</w:t>
      </w:r>
    </w:p>
    <w:tbl>
      <w:tblPr>
        <w:tblW w:w="0" w:type="auto"/>
        <w:tblLayout w:type="fixed"/>
        <w:tblCellMar>
          <w:left w:w="62" w:type="dxa"/>
          <w:right w:w="62" w:type="dxa"/>
        </w:tblCellMar>
        <w:tblLook w:val="0000"/>
      </w:tblPr>
      <w:tblGrid>
        <w:gridCol w:w="8597"/>
      </w:tblGrid>
      <w:tr w:rsidTr="004834D3">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RANGE STATEMENT</w:t>
            </w:r>
          </w:p>
        </w:tc>
      </w:tr>
      <w:tr w:rsidTr="004834D3">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8</w:t>
            </w:r>
            <w:r w:rsidRPr="00E56319">
              <w:t>) This relates to the unit as a whole providing the range of contexts and conditions to which the performance criteria apply. It allows for different work environments and situations that will affect p</w:t>
            </w:r>
            <w:r w:rsidRPr="00E56319">
              <w:t>erformance.</w:t>
            </w:r>
          </w:p>
        </w:tc>
      </w:tr>
      <w:tr w:rsidTr="004834D3">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 xml:space="preserve">This unit must be demonstrated in relation to diagnosing and rectifying at least four faults in complex refrigeration/air conditioning systems, </w:t>
            </w:r>
            <w:r w:rsidRPr="00E56319">
              <w:t>incorporating multiple major components (i.e. compressors, condenser, or evaporators) circuits or systems and associated components and controls.</w:t>
            </w:r>
          </w:p>
        </w:tc>
      </w:tr>
      <w:tr w:rsidTr="004834D3">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Generic terms used throughout this Vocational Standard shall be regarded as part of the Range Statement in wh</w:t>
            </w:r>
            <w:r w:rsidRPr="00E56319">
              <w:t>ich competency is demonstrated. The definition of these and other terms that apply are given in Volume 2, Part 2.1.</w:t>
            </w:r>
          </w:p>
        </w:tc>
      </w:tr>
    </w:tbl>
    <w:p w:rsidR="004834D3" w:rsidP="00E56319">
      <w:pPr>
        <w:pStyle w:val="BodyText"/>
      </w:pPr>
    </w:p>
    <w:p w:rsidR="004834D3" w:rsidP="00E56319">
      <w:pPr>
        <w:pStyle w:val="BodyText"/>
      </w:pPr>
    </w:p>
    <w:p w:rsidR="00000000" w:rsidRPr="00E56319" w:rsidP="00E56319">
      <w:pPr>
        <w:pStyle w:val="Heading1"/>
      </w:pPr>
      <w:bookmarkStart w:id="12" w:name="O_589501"/>
      <w:bookmarkEnd w:id="12"/>
      <w:r w:rsidRPr="00E56319">
        <w:t>Unit Sector(s)</w:t>
      </w:r>
    </w:p>
    <w:p w:rsidR="00000000" w:rsidRPr="00E56319" w:rsidP="00E56319">
      <w:pPr>
        <w:pStyle w:val="BodyText"/>
      </w:pPr>
      <w:r w:rsidRPr="00E56319">
        <w:t>Not Applicable</w:t>
      </w:r>
    </w:p>
    <w:p w:rsidR="00000000" w:rsidRPr="00E56319" w:rsidP="00E56319">
      <w:pPr>
        <w:pStyle w:val="AllowPageBreak"/>
      </w:pPr>
    </w:p>
    <w:p w:rsidR="00000000" w:rsidRPr="00E56319" w:rsidP="00E56319">
      <w:pPr>
        <w:pStyle w:val="Heading1"/>
      </w:pPr>
      <w:bookmarkStart w:id="13" w:name="O_589500"/>
      <w:bookmarkEnd w:id="13"/>
      <w:r w:rsidRPr="00E5631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834D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2</w:t>
            </w:r>
            <w:r w:rsidRPr="00E56319">
              <w:t>.</w:t>
            </w:r>
            <w:r w:rsidRPr="00E56319">
              <w:rPr>
                <w:rStyle w:val="SpecialBold"/>
              </w:rPr>
              <w:t>2</w:t>
            </w:r>
            <w:r w:rsidRPr="00E56319">
              <w:t xml:space="preserve">) </w:t>
            </w:r>
            <w:r w:rsidRPr="00E56319">
              <w:rPr>
                <w:rStyle w:val="SpecialBold"/>
              </w:rPr>
              <w:t>Literacy and numeracy skills</w:t>
            </w:r>
          </w:p>
          <w:p w:rsidR="00000000" w:rsidP="00E56319">
            <w:pPr>
              <w:pStyle w:val="BodyText"/>
              <w:rPr>
                <w:lang w:val="en-NZ"/>
              </w:rPr>
            </w:pPr>
            <w:r w:rsidRPr="00E56319">
              <w:t xml:space="preserve">Participants are best </w:t>
            </w:r>
            <w:r w:rsidRPr="00E56319">
              <w:t>equipped to achieve competency in this unit if they have reading, writing and numeracy skills indicated by the following scales. Description of each scale is given in Volume 2, Part 3 'Literacy and Numeracy'</w:t>
            </w:r>
          </w:p>
        </w:tc>
      </w:tr>
      <w:tr w:rsidTr="004834D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Reading</w:t>
            </w:r>
          </w:p>
        </w:tc>
        <w:tc>
          <w:tcPr>
            <w:tcW w:w="1182"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4</w:t>
            </w:r>
          </w:p>
        </w:tc>
        <w:tc>
          <w:tcPr>
            <w:tcW w:w="1739"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Writing</w:t>
            </w:r>
          </w:p>
        </w:tc>
        <w:tc>
          <w:tcPr>
            <w:tcW w:w="1182"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4</w:t>
            </w:r>
          </w:p>
        </w:tc>
        <w:tc>
          <w:tcPr>
            <w:tcW w:w="1721"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t>Numeracy</w:t>
            </w:r>
          </w:p>
        </w:tc>
        <w:tc>
          <w:tcPr>
            <w:tcW w:w="1182"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4</w:t>
            </w:r>
          </w:p>
        </w:tc>
      </w:tr>
    </w:tbl>
    <w:p w:rsidR="004834D3" w:rsidP="00E56319">
      <w:pPr>
        <w:pStyle w:val="BodyText"/>
      </w:pPr>
    </w:p>
    <w:p w:rsidR="004834D3" w:rsidP="00E56319">
      <w:pPr>
        <w:pStyle w:val="BodyText"/>
      </w:pPr>
    </w:p>
    <w:p w:rsidR="00000000" w:rsidRPr="00E56319" w:rsidP="00E56319">
      <w:pPr>
        <w:pStyle w:val="Heading1"/>
      </w:pPr>
      <w:bookmarkStart w:id="14" w:name="O_589499"/>
      <w:bookmarkEnd w:id="14"/>
      <w:r w:rsidRPr="00E56319">
        <w:t>2.2) Literacy and numeracy skills</w:t>
      </w:r>
    </w:p>
    <w:tbl>
      <w:tblPr>
        <w:tblW w:w="0" w:type="auto"/>
        <w:tblLayout w:type="fixed"/>
        <w:tblCellMar>
          <w:left w:w="62" w:type="dxa"/>
          <w:right w:w="62" w:type="dxa"/>
        </w:tblCellMar>
        <w:tblLook w:val="0000"/>
      </w:tblPr>
      <w:tblGrid>
        <w:gridCol w:w="2700"/>
        <w:gridCol w:w="5760"/>
      </w:tblGrid>
      <w:tr w:rsidTr="00483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56319">
            <w:pPr>
              <w:pStyle w:val="BodyText"/>
              <w:rPr>
                <w:lang w:val="en-NZ"/>
              </w:rPr>
            </w:pPr>
            <w:r w:rsidRPr="00E56319">
              <w:rPr>
                <w:rStyle w:val="SpecialBold"/>
              </w:rPr>
              <w:t>5</w:t>
            </w:r>
            <w:r w:rsidRPr="00E56319">
              <w:t>)</w:t>
            </w:r>
          </w:p>
        </w:tc>
      </w:tr>
      <w:tr w:rsidTr="00483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6319" w:rsidP="00E56319">
            <w:pPr>
              <w:pStyle w:val="BodyText"/>
            </w:pPr>
            <w:r w:rsidRPr="00E56319">
              <w:t>Refrigeration and Air Conditioning</w:t>
            </w:r>
          </w:p>
        </w:tc>
      </w:tr>
    </w:tbl>
    <w:p w:rsidR="004834D3" w:rsidP="00E56319">
      <w:pPr>
        <w:pStyle w:val="BodyText"/>
      </w:pPr>
    </w:p>
    <w:p w:rsidR="004834D3" w:rsidP="00E56319">
      <w:pPr>
        <w:pStyle w:val="BodyText"/>
      </w:pPr>
    </w:p>
    <w:p w:rsidR="00000000" w:rsidRPr="00E56319" w:rsidP="00E56319"/>
    <w:sectPr w:rsidSect="00E56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19" w:rsidRPr="004834D3" w:rsidP="00483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D3" w:rsidP="00E56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834D3" w:rsidP="00E563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834D3" w:rsidP="00E563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19" w:rsidRPr="004834D3" w:rsidP="004834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D3" w:rsidRPr="002D2AF8" w:rsidP="00E56319">
    <w:pPr>
      <w:pStyle w:val="Header"/>
      <w:framePr w:wrap="around"/>
    </w:pPr>
    <w:r>
      <w:fldChar w:fldCharType="begin"/>
    </w:r>
    <w:r>
      <w:instrText xml:space="preserve"> TITLE   \* MERGEFORMAT </w:instrText>
    </w:r>
    <w:r>
      <w:fldChar w:fldCharType="separate"/>
    </w:r>
    <w:r>
      <w:t>UEENEEJ112A Diagnose and rectify faults in complex air conditioning/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834D3" w:rsidP="00E56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62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2F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E8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319"/>
    <w:pPr>
      <w:spacing w:before="360" w:after="60"/>
      <w:outlineLvl w:val="0"/>
    </w:pPr>
    <w:rPr>
      <w:sz w:val="32"/>
    </w:rPr>
  </w:style>
  <w:style w:type="paragraph" w:styleId="Heading2">
    <w:name w:val="heading 2"/>
    <w:basedOn w:val="HeadingBase"/>
    <w:next w:val="BodyText"/>
    <w:link w:val="Heading2Char"/>
    <w:qFormat/>
    <w:rsid w:val="00E56319"/>
    <w:pPr>
      <w:keepLines/>
      <w:spacing w:before="240" w:after="120"/>
      <w:outlineLvl w:val="1"/>
    </w:pPr>
    <w:rPr>
      <w:sz w:val="28"/>
      <w:szCs w:val="40"/>
    </w:rPr>
  </w:style>
  <w:style w:type="paragraph" w:styleId="Heading3">
    <w:name w:val="heading 3"/>
    <w:basedOn w:val="HeadingBase"/>
    <w:next w:val="BodyText"/>
    <w:link w:val="Heading3Char"/>
    <w:qFormat/>
    <w:rsid w:val="00E56319"/>
    <w:pPr>
      <w:spacing w:before="180" w:after="120"/>
      <w:outlineLvl w:val="2"/>
    </w:pPr>
    <w:rPr>
      <w:spacing w:val="-10"/>
      <w:kern w:val="32"/>
    </w:rPr>
  </w:style>
  <w:style w:type="paragraph" w:styleId="Heading4">
    <w:name w:val="heading 4"/>
    <w:basedOn w:val="HeadingBase"/>
    <w:next w:val="BodyText"/>
    <w:link w:val="Heading4Char"/>
    <w:qFormat/>
    <w:rsid w:val="00E56319"/>
    <w:pPr>
      <w:spacing w:before="160" w:after="120"/>
      <w:outlineLvl w:val="3"/>
    </w:pPr>
    <w:rPr>
      <w:sz w:val="22"/>
    </w:rPr>
  </w:style>
  <w:style w:type="paragraph" w:styleId="Heading5">
    <w:name w:val="heading 5"/>
    <w:basedOn w:val="HeadingBase"/>
    <w:next w:val="Normal"/>
    <w:link w:val="Heading5Char"/>
    <w:qFormat/>
    <w:rsid w:val="00E56319"/>
    <w:pPr>
      <w:spacing w:before="80"/>
      <w:outlineLvl w:val="4"/>
    </w:pPr>
    <w:rPr>
      <w:color w:val="918585"/>
      <w:sz w:val="20"/>
    </w:rPr>
  </w:style>
  <w:style w:type="paragraph" w:styleId="Heading6">
    <w:name w:val="heading 6"/>
    <w:basedOn w:val="HeadingBase"/>
    <w:next w:val="Normal"/>
    <w:link w:val="Heading6Char"/>
    <w:qFormat/>
    <w:rsid w:val="00E56319"/>
    <w:pPr>
      <w:spacing w:before="60"/>
      <w:outlineLvl w:val="5"/>
    </w:pPr>
    <w:rPr>
      <w:color w:val="918585"/>
      <w:sz w:val="20"/>
    </w:rPr>
  </w:style>
  <w:style w:type="paragraph" w:styleId="Heading7">
    <w:name w:val="heading 7"/>
    <w:basedOn w:val="Normal"/>
    <w:next w:val="Normal"/>
    <w:link w:val="Heading7Char"/>
    <w:qFormat/>
    <w:rsid w:val="00E56319"/>
    <w:pPr>
      <w:ind w:left="720"/>
      <w:outlineLvl w:val="6"/>
    </w:pPr>
    <w:rPr>
      <w:i/>
    </w:rPr>
  </w:style>
  <w:style w:type="paragraph" w:styleId="Heading8">
    <w:name w:val="heading 8"/>
    <w:basedOn w:val="Normal"/>
    <w:next w:val="Normal"/>
    <w:link w:val="Heading8Char"/>
    <w:qFormat/>
    <w:rsid w:val="00E56319"/>
    <w:pPr>
      <w:ind w:left="720"/>
      <w:outlineLvl w:val="7"/>
    </w:pPr>
    <w:rPr>
      <w:i/>
    </w:rPr>
  </w:style>
  <w:style w:type="paragraph" w:styleId="Heading9">
    <w:name w:val="heading 9"/>
    <w:basedOn w:val="Normal"/>
    <w:next w:val="Normal"/>
    <w:link w:val="Heading9Char"/>
    <w:qFormat/>
    <w:rsid w:val="00E56319"/>
    <w:pPr>
      <w:ind w:left="720"/>
      <w:outlineLvl w:val="8"/>
    </w:pPr>
    <w:rPr>
      <w:i/>
    </w:rPr>
  </w:style>
  <w:style w:type="character" w:default="1" w:styleId="DefaultParagraphFont">
    <w:name w:val="Default Paragraph Font"/>
    <w:uiPriority w:val="1"/>
    <w:unhideWhenUsed/>
    <w:rsid w:val="00E56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319"/>
  </w:style>
  <w:style w:type="character" w:customStyle="1" w:styleId="Heading1Char">
    <w:name w:val="Heading 1 Char"/>
    <w:basedOn w:val="DefaultParagraphFont"/>
    <w:link w:val="Heading1"/>
    <w:rsid w:val="00E56319"/>
    <w:rPr>
      <w:rFonts w:ascii="Times New Roman" w:eastAsia="Times New Roman" w:hAnsi="Times New Roman" w:cs="Times New Roman"/>
      <w:b/>
      <w:sz w:val="32"/>
      <w:szCs w:val="20"/>
      <w:lang w:eastAsia="en-US"/>
    </w:rPr>
  </w:style>
  <w:style w:type="paragraph" w:styleId="BodyText">
    <w:name w:val="Body Text"/>
    <w:basedOn w:val="Normal"/>
    <w:link w:val="BodyTextChar"/>
    <w:rsid w:val="00E563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319"/>
    <w:rPr>
      <w:rFonts w:ascii="Times New Roman" w:eastAsia="Times New Roman" w:hAnsi="Times New Roman" w:cs="Times New Roman"/>
      <w:sz w:val="24"/>
      <w:lang w:eastAsia="en-US"/>
    </w:rPr>
  </w:style>
  <w:style w:type="paragraph" w:styleId="ListBullet">
    <w:name w:val="List Bullet"/>
    <w:basedOn w:val="List"/>
    <w:rsid w:val="00E56319"/>
    <w:pPr>
      <w:numPr>
        <w:numId w:val="14"/>
      </w:numPr>
      <w:tabs>
        <w:tab w:val="clear" w:pos="340"/>
      </w:tabs>
      <w:spacing w:before="40" w:after="40"/>
    </w:pPr>
  </w:style>
  <w:style w:type="character" w:customStyle="1" w:styleId="SpecialBold">
    <w:name w:val="Special Bold"/>
    <w:basedOn w:val="DefaultParagraphFont"/>
    <w:rsid w:val="00E56319"/>
    <w:rPr>
      <w:b/>
      <w:spacing w:val="0"/>
    </w:rPr>
  </w:style>
  <w:style w:type="paragraph" w:styleId="ListBullet2">
    <w:name w:val="List Bullet 2"/>
    <w:basedOn w:val="List2"/>
    <w:rsid w:val="00E56319"/>
    <w:pPr>
      <w:numPr>
        <w:numId w:val="15"/>
      </w:numPr>
      <w:tabs>
        <w:tab w:val="clear" w:pos="680"/>
      </w:tabs>
    </w:pPr>
  </w:style>
  <w:style w:type="paragraph" w:customStyle="1" w:styleId="SuperHeading">
    <w:name w:val="SuperHeading"/>
    <w:basedOn w:val="Normal"/>
    <w:rsid w:val="00E56319"/>
    <w:pPr>
      <w:spacing w:before="240" w:after="120"/>
      <w:outlineLvl w:val="0"/>
    </w:pPr>
    <w:rPr>
      <w:rFonts w:ascii="Times New Roman" w:hAnsi="Times New Roman"/>
      <w:b/>
      <w:sz w:val="32"/>
    </w:rPr>
  </w:style>
  <w:style w:type="paragraph" w:customStyle="1" w:styleId="AllowPageBreak">
    <w:name w:val="AllowPageBreak"/>
    <w:rsid w:val="00E563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6319"/>
    <w:pPr>
      <w:numPr>
        <w:numId w:val="3"/>
      </w:numPr>
      <w:tabs>
        <w:tab w:val="clear" w:pos="1021"/>
      </w:tabs>
      <w:ind w:left="1037" w:hanging="357"/>
    </w:pPr>
  </w:style>
  <w:style w:type="character" w:customStyle="1" w:styleId="Heading2Char">
    <w:name w:val="Heading 2 Char"/>
    <w:basedOn w:val="DefaultParagraphFont"/>
    <w:link w:val="Heading2"/>
    <w:rsid w:val="00E56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319"/>
    <w:rPr>
      <w:rFonts w:ascii="Courier New" w:eastAsia="Times New Roman" w:hAnsi="Courier New" w:cs="Times New Roman"/>
      <w:i/>
      <w:szCs w:val="20"/>
      <w:lang w:eastAsia="en-US"/>
    </w:rPr>
  </w:style>
  <w:style w:type="paragraph" w:customStyle="1" w:styleId="HeadingBase">
    <w:name w:val="Heading Base"/>
    <w:rsid w:val="00E56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319"/>
    <w:pPr>
      <w:tabs>
        <w:tab w:val="right" w:leader="dot" w:pos="9072"/>
      </w:tabs>
      <w:ind w:left="567"/>
    </w:pPr>
    <w:rPr>
      <w:szCs w:val="22"/>
    </w:rPr>
  </w:style>
  <w:style w:type="paragraph" w:customStyle="1" w:styleId="TOCBase">
    <w:name w:val="TOC Base"/>
    <w:rsid w:val="00E56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319"/>
    <w:pPr>
      <w:tabs>
        <w:tab w:val="right" w:leader="dot" w:pos="9072"/>
      </w:tabs>
      <w:spacing w:before="40" w:after="40"/>
      <w:ind w:left="284"/>
    </w:pPr>
    <w:rPr>
      <w:rFonts w:ascii="Times New Roman" w:hAnsi="Times New Roman"/>
    </w:rPr>
  </w:style>
  <w:style w:type="paragraph" w:styleId="TOC1">
    <w:name w:val="toc 1"/>
    <w:basedOn w:val="TOCBase"/>
    <w:next w:val="Normal"/>
    <w:rsid w:val="00E563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319"/>
    <w:rPr>
      <w:rFonts w:ascii="Times New Roman" w:eastAsia="Times New Roman" w:hAnsi="Times New Roman" w:cs="Times New Roman"/>
      <w:sz w:val="16"/>
      <w:lang w:eastAsia="en-US"/>
    </w:rPr>
  </w:style>
  <w:style w:type="paragraph" w:styleId="Title">
    <w:name w:val="Title"/>
    <w:basedOn w:val="HeadingBase"/>
    <w:link w:val="TitleChar"/>
    <w:qFormat/>
    <w:rsid w:val="00E56319"/>
    <w:pPr>
      <w:spacing w:before="5040"/>
      <w:jc w:val="center"/>
    </w:pPr>
    <w:rPr>
      <w:sz w:val="48"/>
      <w:szCs w:val="72"/>
      <w:lang w:val="en-US"/>
    </w:rPr>
  </w:style>
  <w:style w:type="character" w:customStyle="1" w:styleId="TitleChar">
    <w:name w:val="Title Char"/>
    <w:basedOn w:val="DefaultParagraphFont"/>
    <w:link w:val="Title"/>
    <w:rsid w:val="00E56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319"/>
    <w:pPr>
      <w:tabs>
        <w:tab w:val="left" w:pos="3600"/>
        <w:tab w:val="left" w:pos="3958"/>
      </w:tabs>
    </w:pPr>
  </w:style>
  <w:style w:type="paragraph" w:styleId="List">
    <w:name w:val="List"/>
    <w:basedOn w:val="BodyText"/>
    <w:next w:val="BodyText"/>
    <w:rsid w:val="00E56319"/>
    <w:pPr>
      <w:tabs>
        <w:tab w:val="left" w:pos="340"/>
      </w:tabs>
      <w:spacing w:before="60" w:after="60"/>
      <w:ind w:left="340" w:hanging="340"/>
    </w:pPr>
  </w:style>
  <w:style w:type="paragraph" w:customStyle="1" w:styleId="Note">
    <w:name w:val="Note"/>
    <w:basedOn w:val="BodyText"/>
    <w:rsid w:val="00E56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319"/>
    <w:pPr>
      <w:framePr w:wrap="auto" w:hAnchor="text" w:y="6049"/>
    </w:pPr>
    <w:rPr>
      <w:color w:val="000000"/>
      <w:sz w:val="40"/>
    </w:rPr>
  </w:style>
  <w:style w:type="paragraph" w:customStyle="1" w:styleId="TOCTitle">
    <w:name w:val="TOCTitle"/>
    <w:basedOn w:val="Heading1"/>
    <w:rsid w:val="00E56319"/>
    <w:pPr>
      <w:spacing w:after="240"/>
      <w:jc w:val="center"/>
      <w:outlineLvl w:val="9"/>
    </w:pPr>
    <w:rPr>
      <w:caps/>
    </w:rPr>
  </w:style>
  <w:style w:type="paragraph" w:customStyle="1" w:styleId="Version">
    <w:name w:val="Version"/>
    <w:rsid w:val="00E56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319"/>
    <w:pPr>
      <w:keepNext w:val="0"/>
      <w:tabs>
        <w:tab w:val="right" w:pos="4176"/>
      </w:tabs>
      <w:ind w:left="198" w:hanging="198"/>
    </w:pPr>
    <w:rPr>
      <w:rFonts w:ascii="Garamond" w:hAnsi="Garamond"/>
    </w:rPr>
  </w:style>
  <w:style w:type="paragraph" w:styleId="IndexHeading">
    <w:name w:val="index heading"/>
    <w:basedOn w:val="Normal"/>
    <w:next w:val="Index1"/>
    <w:semiHidden/>
    <w:rsid w:val="00E56319"/>
    <w:pPr>
      <w:spacing w:before="120" w:after="120"/>
    </w:pPr>
    <w:rPr>
      <w:rFonts w:ascii="Arial" w:hAnsi="Arial"/>
      <w:b/>
      <w:color w:val="918585"/>
      <w:sz w:val="24"/>
    </w:rPr>
  </w:style>
  <w:style w:type="paragraph" w:styleId="Header">
    <w:name w:val="header"/>
    <w:basedOn w:val="Normal"/>
    <w:link w:val="HeaderChar"/>
    <w:rsid w:val="00E56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319"/>
    <w:rPr>
      <w:rFonts w:ascii="Times New Roman" w:eastAsia="Times New Roman" w:hAnsi="Times New Roman" w:cs="Times New Roman"/>
      <w:sz w:val="16"/>
      <w:szCs w:val="20"/>
      <w:lang w:val="en-GB" w:eastAsia="en-US"/>
    </w:rPr>
  </w:style>
  <w:style w:type="paragraph" w:customStyle="1" w:styleId="Chapter">
    <w:name w:val="Chapter"/>
    <w:basedOn w:val="Normal"/>
    <w:rsid w:val="00E56319"/>
    <w:pPr>
      <w:spacing w:before="240"/>
    </w:pPr>
    <w:rPr>
      <w:rFonts w:ascii="Times New Roman" w:hAnsi="Times New Roman"/>
      <w:smallCaps/>
      <w:spacing w:val="80"/>
      <w:sz w:val="28"/>
    </w:rPr>
  </w:style>
  <w:style w:type="paragraph" w:customStyle="1" w:styleId="InChapter">
    <w:name w:val="InChapter"/>
    <w:basedOn w:val="Heading3"/>
    <w:rsid w:val="00E56319"/>
    <w:pPr>
      <w:spacing w:after="240"/>
      <w:outlineLvl w:val="9"/>
    </w:pPr>
    <w:rPr>
      <w:noProof/>
    </w:rPr>
  </w:style>
  <w:style w:type="paragraph" w:styleId="Index2">
    <w:name w:val="index 2"/>
    <w:basedOn w:val="Normal"/>
    <w:next w:val="Normal"/>
    <w:semiHidden/>
    <w:rsid w:val="00E56319"/>
    <w:pPr>
      <w:tabs>
        <w:tab w:val="right" w:pos="4176"/>
      </w:tabs>
      <w:ind w:left="568" w:hanging="284"/>
    </w:pPr>
    <w:rPr>
      <w:rFonts w:ascii="Garamond" w:hAnsi="Garamond"/>
    </w:rPr>
  </w:style>
  <w:style w:type="paragraph" w:customStyle="1" w:styleId="Byline">
    <w:name w:val="Byline"/>
    <w:rsid w:val="00E56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319"/>
    <w:pPr>
      <w:tabs>
        <w:tab w:val="clear" w:pos="3600"/>
        <w:tab w:val="clear" w:pos="3958"/>
      </w:tabs>
      <w:jc w:val="right"/>
    </w:pPr>
  </w:style>
  <w:style w:type="character" w:styleId="Emphasis">
    <w:name w:val="Emphasis"/>
    <w:basedOn w:val="DefaultParagraphFont"/>
    <w:qFormat/>
    <w:rsid w:val="00E56319"/>
    <w:rPr>
      <w:i/>
    </w:rPr>
  </w:style>
  <w:style w:type="paragraph" w:styleId="Caption">
    <w:name w:val="caption"/>
    <w:basedOn w:val="BodyText"/>
    <w:next w:val="Normal"/>
    <w:qFormat/>
    <w:rsid w:val="00E56319"/>
    <w:pPr>
      <w:framePr w:w="2268" w:hSpace="181" w:vSpace="181" w:wrap="around" w:vAnchor="text" w:hAnchor="page" w:x="1135" w:y="285" w:anchorLock="1"/>
    </w:pPr>
    <w:rPr>
      <w:i/>
    </w:rPr>
  </w:style>
  <w:style w:type="paragraph" w:customStyle="1" w:styleId="MiniTOCTitle">
    <w:name w:val="MiniTOCTitle"/>
    <w:basedOn w:val="Heading4"/>
    <w:rsid w:val="00E56319"/>
    <w:pPr>
      <w:spacing w:before="240"/>
      <w:outlineLvl w:val="9"/>
    </w:pPr>
    <w:rPr>
      <w:noProof/>
      <w:sz w:val="24"/>
    </w:rPr>
  </w:style>
  <w:style w:type="paragraph" w:customStyle="1" w:styleId="MiniTOCItem">
    <w:name w:val="MiniTOCItem"/>
    <w:basedOn w:val="ListBullet"/>
    <w:rsid w:val="00E56319"/>
    <w:pPr>
      <w:numPr>
        <w:numId w:val="0"/>
      </w:numPr>
      <w:tabs>
        <w:tab w:val="right" w:leader="dot" w:pos="6521"/>
      </w:tabs>
      <w:spacing w:before="0" w:after="0"/>
    </w:pPr>
  </w:style>
  <w:style w:type="paragraph" w:customStyle="1" w:styleId="TOFTitle">
    <w:name w:val="TOFTitle"/>
    <w:basedOn w:val="TOCTitle"/>
    <w:rsid w:val="00E56319"/>
  </w:style>
  <w:style w:type="paragraph" w:styleId="TableofFigures">
    <w:name w:val="table of figures"/>
    <w:basedOn w:val="Normal"/>
    <w:next w:val="Normal"/>
    <w:semiHidden/>
    <w:rsid w:val="00E56319"/>
    <w:pPr>
      <w:tabs>
        <w:tab w:val="right" w:leader="dot" w:pos="9072"/>
      </w:tabs>
      <w:ind w:left="970" w:hanging="403"/>
    </w:pPr>
    <w:rPr>
      <w:rFonts w:ascii="Times New Roman" w:hAnsi="Times New Roman"/>
      <w:b/>
    </w:rPr>
  </w:style>
  <w:style w:type="paragraph" w:styleId="ListNumber">
    <w:name w:val="List Number"/>
    <w:basedOn w:val="List"/>
    <w:rsid w:val="00E56319"/>
    <w:pPr>
      <w:numPr>
        <w:numId w:val="12"/>
      </w:numPr>
    </w:pPr>
  </w:style>
  <w:style w:type="character" w:customStyle="1" w:styleId="WingdingSymbols">
    <w:name w:val="Wingding Symbols"/>
    <w:rsid w:val="00E56319"/>
    <w:rPr>
      <w:rFonts w:ascii="Wingdings" w:hAnsi="Wingdings"/>
    </w:rPr>
  </w:style>
  <w:style w:type="paragraph" w:customStyle="1" w:styleId="TableHeading">
    <w:name w:val="Table Heading"/>
    <w:basedOn w:val="HeadingBase"/>
    <w:rsid w:val="00E56319"/>
    <w:pPr>
      <w:keepLines/>
      <w:pBdr>
        <w:bottom w:val="single" w:sz="6" w:space="1" w:color="918585"/>
      </w:pBdr>
      <w:spacing w:before="240"/>
    </w:pPr>
  </w:style>
  <w:style w:type="character" w:customStyle="1" w:styleId="HotSpot">
    <w:name w:val="HotSpot"/>
    <w:rsid w:val="00E56319"/>
    <w:rPr>
      <w:color w:val="0033CC"/>
      <w:u w:val="none"/>
    </w:rPr>
  </w:style>
  <w:style w:type="paragraph" w:customStyle="1" w:styleId="BodyTextRight">
    <w:name w:val="Body Text Right"/>
    <w:basedOn w:val="BodyText"/>
    <w:rsid w:val="00E56319"/>
    <w:pPr>
      <w:spacing w:before="0" w:after="0"/>
      <w:jc w:val="right"/>
    </w:pPr>
  </w:style>
  <w:style w:type="paragraph" w:styleId="Index3">
    <w:name w:val="index 3"/>
    <w:basedOn w:val="ListNumber2"/>
    <w:next w:val="Normal"/>
    <w:semiHidden/>
    <w:rsid w:val="00E56319"/>
    <w:pPr>
      <w:numPr>
        <w:numId w:val="0"/>
      </w:numPr>
      <w:tabs>
        <w:tab w:val="right" w:leader="dot" w:pos="4176"/>
      </w:tabs>
    </w:pPr>
  </w:style>
  <w:style w:type="paragraph" w:styleId="ListNumber2">
    <w:name w:val="List Number 2"/>
    <w:basedOn w:val="List2"/>
    <w:rsid w:val="00E56319"/>
    <w:pPr>
      <w:numPr>
        <w:numId w:val="11"/>
      </w:numPr>
      <w:tabs>
        <w:tab w:val="clear" w:pos="1060"/>
      </w:tabs>
    </w:pPr>
  </w:style>
  <w:style w:type="paragraph" w:customStyle="1" w:styleId="MarginNote">
    <w:name w:val="Margin Note"/>
    <w:basedOn w:val="BodyText"/>
    <w:rsid w:val="00E56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319"/>
    <w:rPr>
      <w:sz w:val="32"/>
    </w:rPr>
  </w:style>
  <w:style w:type="paragraph" w:customStyle="1" w:styleId="HeadingProcedure">
    <w:name w:val="Heading Procedure"/>
    <w:basedOn w:val="HeadingBase"/>
    <w:next w:val="Normal"/>
    <w:rsid w:val="00E56319"/>
    <w:pPr>
      <w:tabs>
        <w:tab w:val="left" w:pos="0"/>
      </w:tabs>
      <w:spacing w:before="120" w:after="60"/>
    </w:pPr>
    <w:rPr>
      <w:i/>
      <w:color w:val="918585"/>
      <w:sz w:val="22"/>
    </w:rPr>
  </w:style>
  <w:style w:type="paragraph" w:customStyle="1" w:styleId="TableBodyText">
    <w:name w:val="Table Body Text"/>
    <w:basedOn w:val="BodyText"/>
    <w:rsid w:val="00E56319"/>
    <w:pPr>
      <w:spacing w:before="60" w:after="60"/>
    </w:pPr>
  </w:style>
  <w:style w:type="paragraph" w:styleId="ListContinue">
    <w:name w:val="List Continue"/>
    <w:basedOn w:val="List"/>
    <w:rsid w:val="00E56319"/>
    <w:pPr>
      <w:ind w:firstLine="0"/>
    </w:pPr>
  </w:style>
  <w:style w:type="paragraph" w:customStyle="1" w:styleId="ListNote">
    <w:name w:val="List Note"/>
    <w:basedOn w:val="List"/>
    <w:rsid w:val="00E56319"/>
    <w:pPr>
      <w:pBdr>
        <w:top w:val="single" w:sz="6" w:space="2" w:color="918585"/>
        <w:bottom w:val="single" w:sz="6" w:space="2" w:color="918585"/>
      </w:pBdr>
      <w:tabs>
        <w:tab w:val="left" w:pos="1021"/>
      </w:tabs>
      <w:ind w:firstLine="0"/>
    </w:pPr>
  </w:style>
  <w:style w:type="paragraph" w:customStyle="1" w:styleId="Warning">
    <w:name w:val="Warning"/>
    <w:basedOn w:val="BodyText"/>
    <w:rsid w:val="00E56319"/>
    <w:pPr>
      <w:shd w:val="clear" w:color="auto" w:fill="D9D9D9"/>
      <w:tabs>
        <w:tab w:val="left" w:pos="992"/>
      </w:tabs>
      <w:ind w:left="119" w:right="119"/>
    </w:pPr>
    <w:rPr>
      <w:sz w:val="20"/>
    </w:rPr>
  </w:style>
  <w:style w:type="paragraph" w:customStyle="1" w:styleId="MarginIcons">
    <w:name w:val="Margin Icons"/>
    <w:basedOn w:val="BodyText"/>
    <w:rsid w:val="00E56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319"/>
    <w:rPr>
      <w:rFonts w:ascii="Courier New" w:hAnsi="Courier New"/>
    </w:rPr>
  </w:style>
  <w:style w:type="paragraph" w:customStyle="1" w:styleId="NoteBullet">
    <w:name w:val="Note Bullet"/>
    <w:basedOn w:val="Note"/>
    <w:rsid w:val="00E56319"/>
    <w:pPr>
      <w:tabs>
        <w:tab w:val="clear" w:pos="680"/>
      </w:tabs>
      <w:spacing w:before="60" w:after="60"/>
    </w:pPr>
  </w:style>
  <w:style w:type="paragraph" w:customStyle="1" w:styleId="SubHeading2">
    <w:name w:val="SubHeading2"/>
    <w:basedOn w:val="HeadingBase"/>
    <w:rsid w:val="00E56319"/>
    <w:pPr>
      <w:spacing w:before="240" w:after="60"/>
    </w:pPr>
    <w:rPr>
      <w:sz w:val="20"/>
    </w:rPr>
  </w:style>
  <w:style w:type="paragraph" w:customStyle="1" w:styleId="SubHeading1">
    <w:name w:val="SubHeading1"/>
    <w:basedOn w:val="HeadingBase"/>
    <w:rsid w:val="00E56319"/>
    <w:pPr>
      <w:spacing w:before="240" w:after="60"/>
    </w:pPr>
    <w:rPr>
      <w:color w:val="918585"/>
      <w:sz w:val="22"/>
    </w:rPr>
  </w:style>
  <w:style w:type="paragraph" w:customStyle="1" w:styleId="SideHeading">
    <w:name w:val="Side Heading"/>
    <w:basedOn w:val="HeadingBase"/>
    <w:rsid w:val="00E56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319"/>
    <w:pPr>
      <w:numPr>
        <w:numId w:val="13"/>
      </w:numPr>
    </w:pPr>
  </w:style>
  <w:style w:type="paragraph" w:styleId="PlainText">
    <w:name w:val="Plain Text"/>
    <w:basedOn w:val="Normal"/>
    <w:link w:val="PlainTextChar"/>
    <w:rsid w:val="00E56319"/>
    <w:rPr>
      <w:sz w:val="20"/>
    </w:rPr>
  </w:style>
  <w:style w:type="character" w:customStyle="1" w:styleId="PlainTextChar">
    <w:name w:val="Plain Text Char"/>
    <w:basedOn w:val="DefaultParagraphFont"/>
    <w:link w:val="PlainText"/>
    <w:rsid w:val="00E56319"/>
    <w:rPr>
      <w:rFonts w:ascii="Courier New" w:eastAsia="Times New Roman" w:hAnsi="Courier New" w:cs="Times New Roman"/>
      <w:sz w:val="20"/>
      <w:szCs w:val="20"/>
      <w:lang w:eastAsia="en-US"/>
    </w:rPr>
  </w:style>
  <w:style w:type="character" w:customStyle="1" w:styleId="MenuOption">
    <w:name w:val="Menu Option"/>
    <w:basedOn w:val="DefaultParagraphFont"/>
    <w:rsid w:val="00E56319"/>
    <w:rPr>
      <w:b/>
      <w:smallCaps/>
    </w:rPr>
  </w:style>
  <w:style w:type="paragraph" w:customStyle="1" w:styleId="TableListNumber">
    <w:name w:val="Table List Number"/>
    <w:basedOn w:val="ListNumber"/>
    <w:rsid w:val="00E56319"/>
    <w:pPr>
      <w:numPr>
        <w:numId w:val="0"/>
      </w:numPr>
    </w:pPr>
  </w:style>
  <w:style w:type="paragraph" w:styleId="TOC4">
    <w:name w:val="toc 4"/>
    <w:basedOn w:val="TOCBase"/>
    <w:next w:val="Normal"/>
    <w:semiHidden/>
    <w:rsid w:val="00E56319"/>
    <w:pPr>
      <w:tabs>
        <w:tab w:val="right" w:leader="dot" w:pos="9071"/>
      </w:tabs>
      <w:ind w:left="1701"/>
    </w:pPr>
  </w:style>
  <w:style w:type="paragraph" w:customStyle="1" w:styleId="ListAlpha">
    <w:name w:val="List Alpha"/>
    <w:basedOn w:val="List"/>
    <w:rsid w:val="00E56319"/>
    <w:pPr>
      <w:numPr>
        <w:numId w:val="10"/>
      </w:numPr>
    </w:pPr>
  </w:style>
  <w:style w:type="paragraph" w:customStyle="1" w:styleId="ListAlpha2">
    <w:name w:val="List Alpha 2"/>
    <w:basedOn w:val="List2"/>
    <w:rsid w:val="00E56319"/>
    <w:pPr>
      <w:numPr>
        <w:numId w:val="9"/>
      </w:numPr>
    </w:pPr>
  </w:style>
  <w:style w:type="paragraph" w:styleId="List2">
    <w:name w:val="List 2"/>
    <w:basedOn w:val="BodyText"/>
    <w:rsid w:val="00E56319"/>
    <w:pPr>
      <w:tabs>
        <w:tab w:val="left" w:pos="680"/>
      </w:tabs>
      <w:spacing w:before="60" w:after="60"/>
      <w:ind w:left="680" w:hanging="340"/>
    </w:pPr>
  </w:style>
  <w:style w:type="paragraph" w:styleId="List3">
    <w:name w:val="List 3"/>
    <w:basedOn w:val="BodyText"/>
    <w:rsid w:val="00E56319"/>
    <w:pPr>
      <w:tabs>
        <w:tab w:val="left" w:pos="1021"/>
      </w:tabs>
      <w:spacing w:before="60" w:after="60"/>
      <w:ind w:left="1020" w:hanging="340"/>
    </w:pPr>
  </w:style>
  <w:style w:type="paragraph" w:styleId="List4">
    <w:name w:val="List 4"/>
    <w:basedOn w:val="BodyText"/>
    <w:rsid w:val="00E56319"/>
    <w:pPr>
      <w:tabs>
        <w:tab w:val="left" w:pos="1361"/>
      </w:tabs>
      <w:spacing w:before="60" w:after="60"/>
      <w:ind w:left="1361" w:hanging="340"/>
    </w:pPr>
  </w:style>
  <w:style w:type="paragraph" w:styleId="List5">
    <w:name w:val="List 5"/>
    <w:basedOn w:val="BodyText"/>
    <w:rsid w:val="00E56319"/>
    <w:pPr>
      <w:tabs>
        <w:tab w:val="left" w:pos="1701"/>
      </w:tabs>
      <w:spacing w:before="60" w:after="60"/>
      <w:ind w:left="1701" w:hanging="340"/>
    </w:pPr>
  </w:style>
  <w:style w:type="paragraph" w:styleId="ListBullet4">
    <w:name w:val="List Bullet 4"/>
    <w:basedOn w:val="List4"/>
    <w:rsid w:val="00E56319"/>
    <w:pPr>
      <w:numPr>
        <w:numId w:val="4"/>
      </w:numPr>
    </w:pPr>
  </w:style>
  <w:style w:type="paragraph" w:styleId="ListBullet5">
    <w:name w:val="List Bullet 5"/>
    <w:basedOn w:val="List5"/>
    <w:rsid w:val="00E56319"/>
    <w:pPr>
      <w:numPr>
        <w:numId w:val="5"/>
      </w:numPr>
    </w:pPr>
  </w:style>
  <w:style w:type="paragraph" w:styleId="ListContinue2">
    <w:name w:val="List Continue 2"/>
    <w:basedOn w:val="List2"/>
    <w:rsid w:val="00E56319"/>
    <w:pPr>
      <w:ind w:firstLine="0"/>
    </w:pPr>
  </w:style>
  <w:style w:type="paragraph" w:styleId="ListContinue3">
    <w:name w:val="List Continue 3"/>
    <w:basedOn w:val="List3"/>
    <w:rsid w:val="00E56319"/>
    <w:pPr>
      <w:ind w:left="1021" w:firstLine="0"/>
    </w:pPr>
  </w:style>
  <w:style w:type="paragraph" w:styleId="ListContinue4">
    <w:name w:val="List Continue 4"/>
    <w:basedOn w:val="List4"/>
    <w:rsid w:val="00E56319"/>
    <w:pPr>
      <w:ind w:firstLine="0"/>
    </w:pPr>
  </w:style>
  <w:style w:type="paragraph" w:styleId="ListContinue5">
    <w:name w:val="List Continue 5"/>
    <w:basedOn w:val="List5"/>
    <w:rsid w:val="00E56319"/>
    <w:pPr>
      <w:ind w:firstLine="0"/>
    </w:pPr>
  </w:style>
  <w:style w:type="paragraph" w:styleId="ListNumber3">
    <w:name w:val="List Number 3"/>
    <w:basedOn w:val="List3"/>
    <w:rsid w:val="00E56319"/>
    <w:pPr>
      <w:numPr>
        <w:numId w:val="6"/>
      </w:numPr>
    </w:pPr>
  </w:style>
  <w:style w:type="paragraph" w:styleId="ListNumber4">
    <w:name w:val="List Number 4"/>
    <w:basedOn w:val="List4"/>
    <w:rsid w:val="00E56319"/>
    <w:pPr>
      <w:numPr>
        <w:numId w:val="7"/>
      </w:numPr>
    </w:pPr>
  </w:style>
  <w:style w:type="paragraph" w:styleId="ListNumber5">
    <w:name w:val="List Number 5"/>
    <w:basedOn w:val="List5"/>
    <w:rsid w:val="00E56319"/>
    <w:pPr>
      <w:numPr>
        <w:numId w:val="8"/>
      </w:numPr>
    </w:pPr>
  </w:style>
  <w:style w:type="paragraph" w:styleId="BlockText">
    <w:name w:val="Block Text"/>
    <w:basedOn w:val="Normal"/>
    <w:rsid w:val="00E56319"/>
    <w:pPr>
      <w:spacing w:after="120"/>
      <w:ind w:left="1440" w:right="1440"/>
    </w:pPr>
  </w:style>
  <w:style w:type="character" w:customStyle="1" w:styleId="Subscript">
    <w:name w:val="Subscript"/>
    <w:basedOn w:val="DefaultParagraphFont"/>
    <w:rsid w:val="00E56319"/>
    <w:rPr>
      <w:sz w:val="16"/>
      <w:vertAlign w:val="subscript"/>
    </w:rPr>
  </w:style>
  <w:style w:type="character" w:customStyle="1" w:styleId="Superscript">
    <w:name w:val="Superscript"/>
    <w:basedOn w:val="DefaultParagraphFont"/>
    <w:rsid w:val="00E56319"/>
    <w:rPr>
      <w:sz w:val="16"/>
      <w:vertAlign w:val="superscript"/>
    </w:rPr>
  </w:style>
  <w:style w:type="character" w:customStyle="1" w:styleId="Symbols">
    <w:name w:val="Symbols"/>
    <w:basedOn w:val="DefaultParagraphFont"/>
    <w:rsid w:val="00E56319"/>
    <w:rPr>
      <w:rFonts w:ascii="Symbol" w:hAnsi="Symbol"/>
    </w:rPr>
  </w:style>
  <w:style w:type="character" w:customStyle="1" w:styleId="MenuOptions">
    <w:name w:val="Menu Options"/>
    <w:basedOn w:val="DefaultParagraphFont"/>
    <w:rsid w:val="00E56319"/>
    <w:rPr>
      <w:rFonts w:ascii="Arial Narrow" w:hAnsi="Arial Narrow"/>
      <w:smallCaps/>
    </w:rPr>
  </w:style>
  <w:style w:type="character" w:customStyle="1" w:styleId="Buttons">
    <w:name w:val="Buttons"/>
    <w:basedOn w:val="DefaultParagraphFont"/>
    <w:rsid w:val="00E56319"/>
    <w:rPr>
      <w:b/>
    </w:rPr>
  </w:style>
  <w:style w:type="character" w:customStyle="1" w:styleId="Underlined">
    <w:name w:val="Underlined"/>
    <w:basedOn w:val="DefaultParagraphFont"/>
    <w:rsid w:val="00E56319"/>
    <w:rPr>
      <w:u w:val="single"/>
    </w:rPr>
  </w:style>
  <w:style w:type="paragraph" w:customStyle="1" w:styleId="TableBodyTextRight">
    <w:name w:val="Table Body Text Right"/>
    <w:basedOn w:val="TableBodyText"/>
    <w:rsid w:val="00E56319"/>
    <w:pPr>
      <w:widowControl w:val="0"/>
      <w:autoSpaceDE w:val="0"/>
      <w:autoSpaceDN w:val="0"/>
      <w:adjustRightInd w:val="0"/>
      <w:jc w:val="right"/>
    </w:pPr>
    <w:rPr>
      <w:rFonts w:cs="Arial"/>
      <w:szCs w:val="18"/>
    </w:rPr>
  </w:style>
  <w:style w:type="paragraph" w:customStyle="1" w:styleId="CopyrightText">
    <w:name w:val="Copyright Text"/>
    <w:basedOn w:val="BodyText"/>
    <w:rsid w:val="00E56319"/>
    <w:rPr>
      <w:sz w:val="18"/>
    </w:rPr>
  </w:style>
  <w:style w:type="paragraph" w:customStyle="1" w:styleId="BodySmallRight">
    <w:name w:val="Body Small Right"/>
    <w:basedOn w:val="BodyTextRight"/>
    <w:rsid w:val="00E56319"/>
    <w:rPr>
      <w:sz w:val="18"/>
      <w:szCs w:val="18"/>
    </w:rPr>
  </w:style>
  <w:style w:type="paragraph" w:customStyle="1" w:styleId="MarginEdition">
    <w:name w:val="Margin Edition"/>
    <w:basedOn w:val="MarginNote"/>
    <w:rsid w:val="00E56319"/>
    <w:pPr>
      <w:spacing w:before="0" w:after="0"/>
    </w:pPr>
    <w:rPr>
      <w:rFonts w:ascii="Times New Roman" w:hAnsi="Times New Roman"/>
      <w:color w:val="999999"/>
    </w:rPr>
  </w:style>
  <w:style w:type="paragraph" w:customStyle="1" w:styleId="Spacer">
    <w:name w:val="Spacer"/>
    <w:basedOn w:val="Normal"/>
    <w:rsid w:val="00E56319"/>
    <w:rPr>
      <w:sz w:val="2"/>
      <w:szCs w:val="2"/>
    </w:rPr>
  </w:style>
  <w:style w:type="character" w:customStyle="1" w:styleId="Small">
    <w:name w:val="Small"/>
    <w:basedOn w:val="DefaultParagraphFont"/>
    <w:rsid w:val="00E56319"/>
    <w:rPr>
      <w:sz w:val="16"/>
    </w:rPr>
  </w:style>
  <w:style w:type="paragraph" w:customStyle="1" w:styleId="WideTable">
    <w:name w:val="Wide Table"/>
    <w:basedOn w:val="Normal"/>
    <w:rsid w:val="00E56319"/>
    <w:pPr>
      <w:ind w:left="-1418"/>
    </w:pPr>
    <w:rPr>
      <w:sz w:val="2"/>
      <w:szCs w:val="2"/>
    </w:rPr>
  </w:style>
  <w:style w:type="character" w:styleId="PageNumber">
    <w:name w:val="page number"/>
    <w:basedOn w:val="DefaultParagraphFont"/>
    <w:rsid w:val="00E56319"/>
  </w:style>
  <w:style w:type="paragraph" w:styleId="Quote">
    <w:name w:val="Quote"/>
    <w:basedOn w:val="Heading1"/>
    <w:link w:val="QuoteChar"/>
    <w:qFormat/>
    <w:rsid w:val="00E56319"/>
    <w:rPr>
      <w:b w:val="0"/>
      <w:sz w:val="72"/>
      <w:szCs w:val="72"/>
      <w:lang w:val="en-NZ"/>
    </w:rPr>
  </w:style>
  <w:style w:type="character" w:customStyle="1" w:styleId="QuoteChar">
    <w:name w:val="Quote Char"/>
    <w:basedOn w:val="DefaultParagraphFont"/>
    <w:link w:val="Quote"/>
    <w:rsid w:val="00E56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319"/>
    <w:pPr>
      <w:pageBreakBefore/>
    </w:pPr>
  </w:style>
  <w:style w:type="paragraph" w:customStyle="1" w:styleId="Border">
    <w:name w:val="Border"/>
    <w:basedOn w:val="Normal"/>
    <w:qFormat/>
    <w:rsid w:val="00E56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319"/>
    <w:rPr>
      <w:b/>
      <w:bCs/>
      <w:i/>
      <w:iCs/>
      <w:color w:val="auto"/>
    </w:rPr>
  </w:style>
  <w:style w:type="paragraph" w:styleId="IntenseQuote">
    <w:name w:val="Intense Quote"/>
    <w:basedOn w:val="Normal"/>
    <w:next w:val="Normal"/>
    <w:link w:val="IntenseQuoteChar"/>
    <w:uiPriority w:val="30"/>
    <w:qFormat/>
    <w:rsid w:val="00E56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319"/>
    <w:rPr>
      <w:smallCaps/>
      <w:color w:val="auto"/>
      <w:u w:val="single"/>
    </w:rPr>
  </w:style>
  <w:style w:type="character" w:styleId="IntenseReference">
    <w:name w:val="Intense Reference"/>
    <w:basedOn w:val="DefaultParagraphFont"/>
    <w:uiPriority w:val="32"/>
    <w:qFormat/>
    <w:rsid w:val="00E56319"/>
    <w:rPr>
      <w:b/>
      <w:bCs/>
      <w:smallCaps/>
      <w:color w:val="auto"/>
      <w:spacing w:val="5"/>
      <w:u w:val="single"/>
    </w:rPr>
  </w:style>
  <w:style w:type="paragraph" w:customStyle="1" w:styleId="2ColumnHeading">
    <w:name w:val="2Column Heading"/>
    <w:basedOn w:val="BodyText"/>
    <w:qFormat/>
    <w:rsid w:val="00E56319"/>
    <w:pPr>
      <w:spacing w:after="60"/>
      <w:ind w:left="-2268"/>
    </w:pPr>
    <w:rPr>
      <w:b/>
    </w:rPr>
  </w:style>
  <w:style w:type="paragraph" w:customStyle="1" w:styleId="Heading1TOC">
    <w:name w:val="Heading1 TOC"/>
    <w:basedOn w:val="Normal"/>
    <w:qFormat/>
    <w:rsid w:val="00E56319"/>
    <w:pPr>
      <w:spacing w:before="240" w:after="120"/>
    </w:pPr>
    <w:rPr>
      <w:rFonts w:ascii="Times New Roman" w:hAnsi="Times New Roman"/>
      <w:b/>
      <w:sz w:val="32"/>
    </w:rPr>
  </w:style>
  <w:style w:type="paragraph" w:customStyle="1" w:styleId="Heading2TOC">
    <w:name w:val="Heading2 TOC"/>
    <w:basedOn w:val="Normal"/>
    <w:qFormat/>
    <w:rsid w:val="00E56319"/>
    <w:pPr>
      <w:spacing w:before="240" w:after="60"/>
    </w:pPr>
    <w:rPr>
      <w:rFonts w:ascii="Times New Roman" w:hAnsi="Times New Roman"/>
      <w:b/>
      <w:sz w:val="28"/>
    </w:rPr>
  </w:style>
  <w:style w:type="character" w:customStyle="1" w:styleId="Underline">
    <w:name w:val="Underline"/>
    <w:basedOn w:val="DefaultParagraphFont"/>
    <w:qFormat/>
    <w:rsid w:val="00E56319"/>
    <w:rPr>
      <w:u w:val="single"/>
    </w:rPr>
  </w:style>
  <w:style w:type="character" w:customStyle="1" w:styleId="BoldandItalics">
    <w:name w:val="Bold and Italics"/>
    <w:qFormat/>
    <w:rsid w:val="00E56319"/>
    <w:rPr>
      <w:b/>
      <w:i/>
      <w:u w:val="none"/>
    </w:rPr>
  </w:style>
  <w:style w:type="paragraph" w:styleId="BalloonText">
    <w:name w:val="Balloon Text"/>
    <w:basedOn w:val="Normal"/>
    <w:link w:val="BalloonTextChar"/>
    <w:rsid w:val="00E56319"/>
    <w:rPr>
      <w:rFonts w:ascii="Tahoma" w:hAnsi="Tahoma" w:cs="Tahoma"/>
      <w:sz w:val="16"/>
      <w:szCs w:val="16"/>
    </w:rPr>
  </w:style>
  <w:style w:type="character" w:customStyle="1" w:styleId="BalloonTextChar">
    <w:name w:val="Balloon Text Char"/>
    <w:basedOn w:val="DefaultParagraphFont"/>
    <w:link w:val="BalloonText"/>
    <w:rsid w:val="00E56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3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319"/>
    <w:rPr>
      <w:b/>
      <w:color w:val="660033"/>
      <w:spacing w:val="0"/>
    </w:rPr>
  </w:style>
  <w:style w:type="paragraph" w:customStyle="1" w:styleId="Nameditemlist">
    <w:name w:val="Named item list"/>
    <w:basedOn w:val="BodyText"/>
    <w:qFormat/>
    <w:rsid w:val="00E563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2509</Words>
  <Characters>15625</Characters>
  <Application>Microsoft Office Word</Application>
  <DocSecurity>0</DocSecurity>
  <Lines>615</Lines>
  <Paragraphs>272</Paragraphs>
  <ScaleCrop>false</ScaleCrop>
  <Company>Author-it Software Corporation Ltd.</Company>
  <LinksUpToDate>false</LinksUpToDate>
  <CharactersWithSpaces>17987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UEENEEJ112A Diagnose and rectify faults in complex air conditioning/ refrigeration systems</dc:title>
  <dc:subject>Approved</dc:subject>
  <dc:creator>E-OZ Training Standards</dc:creator>
  <cp:keywords>Release: 3</cp:keywords>
  <dc:description>Review Date: 12 April 2008</dc:description>
  <cp:lastModifiedBy>TPCMS</cp:lastModifiedBy>
  <cp:revision>3</cp:revision>
  <dcterms:created xsi:type="dcterms:W3CDTF">2013-08-14T07:56:00Z</dcterms:created>
  <dcterms:modified xsi:type="dcterms:W3CDTF">2013-08-14T07:56:00Z</dcterms:modified>
</cp:coreProperties>
</file>