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0012" w:rsidP="007B0012">
      <w:pPr>
        <w:pStyle w:val="Title"/>
      </w:pPr>
      <w:r>
        <w:fldChar w:fldCharType="begin"/>
      </w:r>
      <w:r>
        <w:instrText xml:space="preserve"> TITLE   \* MERGEFORMAT </w:instrText>
      </w:r>
      <w:r>
        <w:fldChar w:fldCharType="separate"/>
      </w:r>
      <w:r>
        <w:t>UEENEEJ111A Diagnose and rectify faults in air conditioning and refrigeration systems and components</w:t>
      </w:r>
      <w:r>
        <w:fldChar w:fldCharType="end"/>
      </w:r>
    </w:p>
    <w:p w:rsidR="007B0012" w:rsidP="007B0012">
      <w:pPr>
        <w:pStyle w:val="Version"/>
        <w:sectPr w:rsidSect="004F21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4F2199" w:rsidP="004F2199">
      <w:pPr>
        <w:pStyle w:val="SuperHeading"/>
      </w:pPr>
      <w:r w:rsidRPr="004F2199">
        <w:t>UEENEEJ111A Diagnose and rectify faults in air conditioning and refrigeration systems and components</w:t>
      </w:r>
    </w:p>
    <w:p w:rsidR="00000000" w:rsidRPr="004F2199" w:rsidP="004F2199">
      <w:pPr>
        <w:pStyle w:val="Heading1"/>
      </w:pPr>
      <w:bookmarkStart w:id="1" w:name="O_589497"/>
      <w:bookmarkEnd w:id="1"/>
      <w:r w:rsidRPr="004F2199">
        <w:t>Modification History</w:t>
      </w:r>
    </w:p>
    <w:p w:rsidR="00000000" w:rsidRPr="004F2199" w:rsidP="004F2199">
      <w:pPr>
        <w:pStyle w:val="BodyText"/>
      </w:pPr>
      <w:r w:rsidRPr="004F2199">
        <w:t>Not Applicable</w:t>
      </w:r>
    </w:p>
    <w:p w:rsidR="00000000" w:rsidRPr="004F2199" w:rsidP="004F2199">
      <w:pPr>
        <w:pStyle w:val="AllowPageBreak"/>
      </w:pPr>
    </w:p>
    <w:p w:rsidR="00000000" w:rsidRPr="004F2199" w:rsidP="004F2199">
      <w:pPr>
        <w:pStyle w:val="Heading1"/>
      </w:pPr>
      <w:bookmarkStart w:id="2" w:name="O_589496"/>
      <w:bookmarkEnd w:id="2"/>
      <w:r w:rsidRPr="004F2199">
        <w:t>Unit Descriptor</w:t>
      </w:r>
    </w:p>
    <w:tbl>
      <w:tblPr>
        <w:tblW w:w="0" w:type="auto"/>
        <w:tblLayout w:type="fixed"/>
        <w:tblCellMar>
          <w:left w:w="62" w:type="dxa"/>
          <w:right w:w="62" w:type="dxa"/>
        </w:tblCellMar>
        <w:tblLook w:val="0000"/>
      </w:tblPr>
      <w:tblGrid>
        <w:gridCol w:w="2700"/>
        <w:gridCol w:w="5760"/>
      </w:tblGrid>
      <w:tr w:rsidTr="007B001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F2199" w:rsidP="004F2199">
            <w:pPr>
              <w:pStyle w:val="BodyText"/>
            </w:pPr>
            <w:r w:rsidRPr="004F219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4F2199" w:rsidP="004F2199">
            <w:pPr>
              <w:pStyle w:val="BodyText"/>
            </w:pPr>
            <w:r w:rsidRPr="004F2199">
              <w:rPr>
                <w:rStyle w:val="SpecialBold"/>
              </w:rPr>
              <w:t>1</w:t>
            </w:r>
            <w:r w:rsidRPr="004F2199">
              <w:t xml:space="preserve">) </w:t>
            </w:r>
          </w:p>
          <w:p w:rsidR="00000000" w:rsidP="004F2199">
            <w:pPr>
              <w:pStyle w:val="BodyText"/>
              <w:rPr>
                <w:lang w:val="en-NZ"/>
              </w:rPr>
            </w:pPr>
            <w:r w:rsidRPr="004F2199">
              <w:rPr>
                <w:rStyle w:val="SpecialBold"/>
              </w:rPr>
              <w:t>1</w:t>
            </w:r>
            <w:r w:rsidRPr="004F2199">
              <w:t>.</w:t>
            </w:r>
            <w:r w:rsidRPr="004F2199">
              <w:rPr>
                <w:rStyle w:val="SpecialBold"/>
              </w:rPr>
              <w:t>1</w:t>
            </w:r>
            <w:r w:rsidRPr="004F2199">
              <w:t xml:space="preserve">) </w:t>
            </w:r>
            <w:r w:rsidRPr="004F2199">
              <w:rPr>
                <w:rStyle w:val="SpecialBold"/>
              </w:rPr>
              <w:t>Descriptor</w:t>
            </w:r>
          </w:p>
        </w:tc>
      </w:tr>
      <w:tr w:rsidTr="007B00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F2199" w:rsidP="004F2199">
            <w:pPr>
              <w:pStyle w:val="BodyText"/>
            </w:pPr>
            <w:r w:rsidRPr="004F2199">
              <w:t xml:space="preserve">This unit covers diagnosing, repairing faults and replacing faulty components in refrigeration and air conditioning systems, components, interconnecting circuits and equipment operating at voltages up to 1,000 V a.c. It encompasses working safely, reading </w:t>
            </w:r>
            <w:r w:rsidRPr="004F2199">
              <w:t>electrical circuit diagrams, refrigeration, hydronic and air distribution system diagrams and manufacturers reference material, sketching diagrams from traced wiring and piping systems, applying logical fault finding procedures, conducting repairs, replaci</w:t>
            </w:r>
            <w:r w:rsidRPr="004F2199">
              <w:t>ng components and completing the necessary service documentation.</w:t>
            </w:r>
          </w:p>
        </w:tc>
      </w:tr>
    </w:tbl>
    <w:p w:rsidR="007B0012" w:rsidP="004F2199">
      <w:pPr>
        <w:pStyle w:val="BodyText"/>
      </w:pPr>
    </w:p>
    <w:p w:rsidR="007B0012" w:rsidP="004F2199">
      <w:pPr>
        <w:pStyle w:val="BodyText"/>
      </w:pPr>
    </w:p>
    <w:p w:rsidR="00000000" w:rsidRPr="004F2199" w:rsidP="004F2199">
      <w:pPr>
        <w:pStyle w:val="Heading1"/>
      </w:pPr>
      <w:bookmarkStart w:id="3" w:name="O_589495"/>
      <w:bookmarkEnd w:id="3"/>
      <w:r w:rsidRPr="004F2199">
        <w:t>Application of the Unit</w:t>
      </w:r>
    </w:p>
    <w:tbl>
      <w:tblPr>
        <w:tblW w:w="0" w:type="auto"/>
        <w:tblLayout w:type="fixed"/>
        <w:tblCellMar>
          <w:left w:w="62" w:type="dxa"/>
          <w:right w:w="62" w:type="dxa"/>
        </w:tblCellMar>
        <w:tblLook w:val="0000"/>
      </w:tblPr>
      <w:tblGrid>
        <w:gridCol w:w="2700"/>
        <w:gridCol w:w="5760"/>
      </w:tblGrid>
      <w:tr w:rsidTr="007B001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F2199" w:rsidP="004F2199">
            <w:pPr>
              <w:pStyle w:val="BodyText"/>
            </w:pPr>
            <w:r w:rsidRPr="004F2199">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rPr>
                <w:rStyle w:val="SpecialBold"/>
              </w:rPr>
              <w:t>4</w:t>
            </w:r>
            <w:r w:rsidRPr="004F2199">
              <w:t>)</w:t>
            </w:r>
          </w:p>
        </w:tc>
      </w:tr>
      <w:tr w:rsidTr="007B00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F2199" w:rsidP="004F2199">
            <w:pPr>
              <w:pStyle w:val="BodyText"/>
            </w:pPr>
            <w:r w:rsidRPr="004F2199">
              <w:t>This unit is intended t</w:t>
            </w:r>
            <w:r w:rsidRPr="004F2199">
              <w:t>o augment previously acquired competencies. It is suitable for employment-based programs under an approved contract of training.</w:t>
            </w:r>
          </w:p>
        </w:tc>
      </w:tr>
    </w:tbl>
    <w:p w:rsidR="007B0012" w:rsidP="004F2199">
      <w:pPr>
        <w:pStyle w:val="BodyText"/>
      </w:pPr>
    </w:p>
    <w:p w:rsidR="007B0012" w:rsidP="004F2199">
      <w:pPr>
        <w:pStyle w:val="BodyText"/>
      </w:pPr>
    </w:p>
    <w:p w:rsidR="00000000" w:rsidRPr="004F2199" w:rsidP="004F2199">
      <w:pPr>
        <w:pStyle w:val="Heading1"/>
      </w:pPr>
      <w:bookmarkStart w:id="4" w:name="O_589494"/>
      <w:bookmarkEnd w:id="4"/>
      <w:r w:rsidRPr="004F2199">
        <w:t>Licensing/Regulatory Information</w:t>
      </w:r>
    </w:p>
    <w:tbl>
      <w:tblPr>
        <w:tblW w:w="0" w:type="auto"/>
        <w:tblLayout w:type="fixed"/>
        <w:tblCellMar>
          <w:left w:w="62" w:type="dxa"/>
          <w:right w:w="62" w:type="dxa"/>
        </w:tblCellMar>
        <w:tblLook w:val="0000"/>
      </w:tblPr>
      <w:tblGrid>
        <w:gridCol w:w="8460"/>
      </w:tblGrid>
      <w:tr w:rsidTr="007B001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rPr>
                <w:rStyle w:val="SpecialBold"/>
              </w:rPr>
              <w:t>1</w:t>
            </w:r>
            <w:r w:rsidRPr="004F2199">
              <w:t>.</w:t>
            </w:r>
            <w:r w:rsidRPr="004F2199">
              <w:rPr>
                <w:rStyle w:val="SpecialBold"/>
              </w:rPr>
              <w:t>2</w:t>
            </w:r>
            <w:r w:rsidRPr="004F2199">
              <w:t xml:space="preserve">) </w:t>
            </w:r>
            <w:r w:rsidRPr="004F2199">
              <w:rPr>
                <w:rStyle w:val="SpecialBold"/>
              </w:rPr>
              <w:t>License to practice</w:t>
            </w:r>
          </w:p>
        </w:tc>
      </w:tr>
      <w:tr w:rsidTr="007B001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F2199" w:rsidP="004F2199">
            <w:pPr>
              <w:pStyle w:val="BodyText"/>
            </w:pPr>
            <w:r w:rsidRPr="004F2199">
              <w:t>The skills and knowledge described in this unit require a license to practice in the workplace where plant and equipment operate at voltage above 50 V a.c. or 120 V d.c. In some States/Territories a licence is required to practise this unit in the workplac</w:t>
            </w:r>
            <w:r w:rsidRPr="004F2199">
              <w:t>e subject to regulations for undertaking refrigeration and air conditioning work and in particular working with refrigerants. Practice in workplace and during training is also subject to regulations directly related to occupational health and safety and wh</w:t>
            </w:r>
            <w:r w:rsidRPr="004F2199">
              <w:t>ere applicable contracts of training such as apprenticeships.</w:t>
            </w:r>
          </w:p>
          <w:p w:rsidR="00000000" w:rsidRPr="004F2199" w:rsidP="004F2199">
            <w:pPr>
              <w:pStyle w:val="BodyText"/>
            </w:pPr>
            <w:r w:rsidRPr="004F2199">
              <w:t xml:space="preserve">Note: </w:t>
            </w:r>
            <w:r w:rsidRPr="004F2199">
              <w:br/>
              <w:t>1. Compliance with permits may be required in various jurisdictions and typically relates to the operation of plant, machinery and equipment such as elevating work platforms, powder opera</w:t>
            </w:r>
            <w:r w:rsidRPr="004F2199">
              <w:t>ted fixing tools, power operated tools, vehicles, road signage and traffic control, lifting equipment. Permits may also be required for some work environments such as confined spaces, working aloft, near live electrical apparatus and site rehabilitation.</w:t>
            </w:r>
            <w:r w:rsidRPr="004F2199">
              <w:br/>
              <w:t>2</w:t>
            </w:r>
            <w:r w:rsidRPr="004F2199">
              <w:t>. Compliance may be required in various jurisdictions relating to currency in First Aid, confined space, lifting and risk safety measures.</w:t>
            </w:r>
          </w:p>
        </w:tc>
      </w:tr>
    </w:tbl>
    <w:p w:rsidR="007B0012" w:rsidP="004F2199">
      <w:pPr>
        <w:pStyle w:val="BodyText"/>
      </w:pPr>
    </w:p>
    <w:p w:rsidR="007B0012" w:rsidP="004F2199">
      <w:pPr>
        <w:pStyle w:val="BodyText"/>
      </w:pPr>
    </w:p>
    <w:p w:rsidR="00000000" w:rsidRPr="004F2199" w:rsidP="004F2199">
      <w:pPr>
        <w:pStyle w:val="Heading1"/>
      </w:pPr>
      <w:bookmarkStart w:id="5" w:name="O_589493"/>
      <w:bookmarkEnd w:id="5"/>
      <w:r w:rsidRPr="004F2199">
        <w:t>Pre-Requisites</w:t>
      </w:r>
    </w:p>
    <w:tbl>
      <w:tblPr>
        <w:tblW w:w="0" w:type="auto"/>
        <w:tblLayout w:type="fixed"/>
        <w:tblCellMar>
          <w:left w:w="62" w:type="dxa"/>
          <w:right w:w="62" w:type="dxa"/>
        </w:tblCellMar>
        <w:tblLook w:val="0000"/>
      </w:tblPr>
      <w:tblGrid>
        <w:gridCol w:w="2700"/>
        <w:gridCol w:w="1800"/>
        <w:gridCol w:w="3960"/>
      </w:tblGrid>
      <w:tr w:rsidTr="007B001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F2199" w:rsidP="004F2199">
            <w:pPr>
              <w:pStyle w:val="BodyText"/>
            </w:pPr>
            <w:r w:rsidRPr="004F2199">
              <w:rPr>
                <w:rStyle w:val="SpecialBold"/>
              </w:rPr>
              <w:t>Prerequisite Unit</w:t>
            </w:r>
            <w:r w:rsidRPr="004F2199">
              <w:t>(</w:t>
            </w:r>
            <w:r w:rsidRPr="004F2199">
              <w:rPr>
                <w:rStyle w:val="SpecialBold"/>
              </w:rPr>
              <w:t>s</w:t>
            </w:r>
            <w:r w:rsidRPr="004F2199">
              <w:t>)</w:t>
            </w:r>
          </w:p>
        </w:tc>
        <w:tc>
          <w:tcPr>
            <w:tcW w:w="5760" w:type="dxa"/>
            <w:gridSpan w:val="2"/>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rPr>
                <w:rStyle w:val="SpecialBold"/>
              </w:rPr>
              <w:t>2</w:t>
            </w:r>
            <w:r w:rsidRPr="004F2199">
              <w:t xml:space="preserve">) </w:t>
            </w:r>
          </w:p>
        </w:tc>
      </w:tr>
      <w:tr w:rsidTr="007B00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F2199">
            <w:pPr>
              <w:pStyle w:val="BodyText"/>
              <w:keepNext w:val="0"/>
              <w:keepLines w:val="0"/>
              <w:contextualSpacing w:val="0"/>
            </w:pPr>
          </w:p>
        </w:tc>
        <w:tc>
          <w:tcPr>
            <w:tcW w:w="5760" w:type="dxa"/>
            <w:gridSpan w:val="2"/>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rPr>
                <w:rStyle w:val="SpecialBold"/>
              </w:rPr>
              <w:t>2</w:t>
            </w:r>
            <w:r w:rsidRPr="004F2199">
              <w:t>.</w:t>
            </w:r>
            <w:r w:rsidRPr="004F2199">
              <w:rPr>
                <w:rStyle w:val="SpecialBold"/>
              </w:rPr>
              <w:t>1</w:t>
            </w:r>
            <w:r w:rsidRPr="004F2199">
              <w:t xml:space="preserve">) </w:t>
            </w:r>
            <w:r w:rsidRPr="004F2199">
              <w:rPr>
                <w:rStyle w:val="SpecialBold"/>
              </w:rPr>
              <w:t>Competencies</w:t>
            </w:r>
          </w:p>
        </w:tc>
      </w:tr>
      <w:tr w:rsidTr="007B00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Granting competency in this unit shall be made only after competency in the following unit(s) has/have been confirmed.</w:t>
            </w:r>
          </w:p>
        </w:tc>
      </w:tr>
      <w:tr w:rsidTr="007B00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 xml:space="preserve">UEENEEJ107A </w:t>
            </w:r>
          </w:p>
        </w:tc>
        <w:tc>
          <w:tcPr>
            <w:tcW w:w="3960" w:type="dxa"/>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Install air conditioning and refrigeration systems, major components and associated equipment</w:t>
            </w:r>
          </w:p>
        </w:tc>
      </w:tr>
      <w:tr w:rsidTr="007B00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 xml:space="preserve">UEENEEJ110A </w:t>
            </w:r>
          </w:p>
        </w:tc>
        <w:tc>
          <w:tcPr>
            <w:tcW w:w="3960" w:type="dxa"/>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Select refrigerant piping, accessories and associated controls</w:t>
            </w:r>
          </w:p>
        </w:tc>
      </w:tr>
      <w:tr w:rsidTr="007B00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 xml:space="preserve">UEENEEP017A </w:t>
            </w:r>
          </w:p>
        </w:tc>
        <w:tc>
          <w:tcPr>
            <w:tcW w:w="3960" w:type="dxa"/>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Locate and rectify faults in low voltage composite appliances using set procedures</w:t>
            </w:r>
          </w:p>
        </w:tc>
      </w:tr>
      <w:tr w:rsidTr="007B00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 xml:space="preserve">UEENEEE101A </w:t>
            </w:r>
          </w:p>
        </w:tc>
        <w:tc>
          <w:tcPr>
            <w:tcW w:w="3960" w:type="dxa"/>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Apply Occupational Health and Safety regulations, codes and practices in the wor</w:t>
            </w:r>
            <w:r w:rsidRPr="004F2199">
              <w:t>kplace</w:t>
            </w:r>
          </w:p>
        </w:tc>
      </w:tr>
      <w:tr w:rsidTr="007B00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 xml:space="preserve">UEENEEE102A </w:t>
            </w:r>
          </w:p>
        </w:tc>
        <w:tc>
          <w:tcPr>
            <w:tcW w:w="3960" w:type="dxa"/>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Fabricate, assemble and dismantle utilities industry components</w:t>
            </w:r>
          </w:p>
        </w:tc>
      </w:tr>
      <w:tr w:rsidTr="007B00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 xml:space="preserve">UEENEEE003B </w:t>
            </w:r>
          </w:p>
        </w:tc>
        <w:tc>
          <w:tcPr>
            <w:tcW w:w="3960" w:type="dxa"/>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Solve problems in extra-low voltage single path circuits</w:t>
            </w:r>
          </w:p>
        </w:tc>
      </w:tr>
      <w:tr w:rsidTr="007B00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 xml:space="preserve">UEENEEE105A </w:t>
            </w:r>
          </w:p>
        </w:tc>
        <w:tc>
          <w:tcPr>
            <w:tcW w:w="3960" w:type="dxa"/>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Fix and secure electrotechnology equipment</w:t>
            </w:r>
          </w:p>
        </w:tc>
      </w:tr>
      <w:tr w:rsidTr="007B00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 xml:space="preserve">UEENEEE107A </w:t>
            </w:r>
          </w:p>
        </w:tc>
        <w:tc>
          <w:tcPr>
            <w:tcW w:w="3960" w:type="dxa"/>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Use drawings, diagrams, schedules, standards, codes and specifications</w:t>
            </w:r>
          </w:p>
        </w:tc>
      </w:tr>
      <w:tr w:rsidTr="007B00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 xml:space="preserve">UEENEEE137A </w:t>
            </w:r>
          </w:p>
        </w:tc>
        <w:tc>
          <w:tcPr>
            <w:tcW w:w="3960" w:type="dxa"/>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Document and apply measures to control OHS risks associated with electrotechnology work</w:t>
            </w:r>
          </w:p>
        </w:tc>
      </w:tr>
      <w:tr w:rsidTr="007B00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 xml:space="preserve">UEENEEJ102A </w:t>
            </w:r>
          </w:p>
        </w:tc>
        <w:tc>
          <w:tcPr>
            <w:tcW w:w="3960" w:type="dxa"/>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Prepare and connect refrigerant tubing and fittings</w:t>
            </w:r>
          </w:p>
        </w:tc>
      </w:tr>
      <w:tr w:rsidTr="007B00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 xml:space="preserve">UEENEEJ103A </w:t>
            </w:r>
          </w:p>
        </w:tc>
        <w:tc>
          <w:tcPr>
            <w:tcW w:w="3960" w:type="dxa"/>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Establish the basic operating conditions of vapour compression systems</w:t>
            </w:r>
          </w:p>
        </w:tc>
      </w:tr>
      <w:tr w:rsidTr="007B00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 xml:space="preserve">UEENEEJ104A </w:t>
            </w:r>
          </w:p>
        </w:tc>
        <w:tc>
          <w:tcPr>
            <w:tcW w:w="3960" w:type="dxa"/>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Establish the basic operating conditions of air conditioning systems</w:t>
            </w:r>
          </w:p>
        </w:tc>
      </w:tr>
      <w:tr w:rsidTr="007B00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 xml:space="preserve">UEENEEJ106A </w:t>
            </w:r>
          </w:p>
        </w:tc>
        <w:tc>
          <w:tcPr>
            <w:tcW w:w="3960" w:type="dxa"/>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Install refrigerant pipe work, flow controls and accessories</w:t>
            </w:r>
          </w:p>
        </w:tc>
      </w:tr>
      <w:tr w:rsidTr="007B00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 xml:space="preserve">UEENEEJ108A </w:t>
            </w:r>
          </w:p>
        </w:tc>
        <w:tc>
          <w:tcPr>
            <w:tcW w:w="3960" w:type="dxa"/>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Recover, pressure test, evacuate, charge and leak test refrigerants</w:t>
            </w:r>
          </w:p>
        </w:tc>
      </w:tr>
      <w:tr w:rsidTr="007B00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 xml:space="preserve">UEENEEJ153A </w:t>
            </w:r>
          </w:p>
        </w:tc>
        <w:tc>
          <w:tcPr>
            <w:tcW w:w="3960" w:type="dxa"/>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Find and rectify faults motors and associated controls in refrigeration and air conditioning systems</w:t>
            </w:r>
          </w:p>
        </w:tc>
      </w:tr>
      <w:tr w:rsidTr="007B00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 xml:space="preserve">UEENEEJ194A </w:t>
            </w:r>
          </w:p>
        </w:tc>
        <w:tc>
          <w:tcPr>
            <w:tcW w:w="3960" w:type="dxa"/>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Solve problems in low voltage refrigeration circuits</w:t>
            </w:r>
          </w:p>
        </w:tc>
      </w:tr>
      <w:tr w:rsidTr="007B00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UE</w:t>
            </w:r>
            <w:r w:rsidRPr="004F2199">
              <w:t xml:space="preserve">ENEEJ170A </w:t>
            </w:r>
          </w:p>
        </w:tc>
        <w:tc>
          <w:tcPr>
            <w:tcW w:w="3960" w:type="dxa"/>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Diagnose and rectify faults in air conditioning and refrigeration control systems</w:t>
            </w:r>
          </w:p>
        </w:tc>
      </w:tr>
      <w:tr w:rsidTr="007B00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 xml:space="preserve">UEENEEP012A </w:t>
            </w:r>
          </w:p>
        </w:tc>
        <w:tc>
          <w:tcPr>
            <w:tcW w:w="3960" w:type="dxa"/>
            <w:tcBorders>
              <w:top w:val="nil"/>
              <w:left w:val="nil"/>
              <w:bottom w:val="nil"/>
              <w:right w:val="nil"/>
            </w:tcBorders>
            <w:tcMar>
              <w:top w:w="0" w:type="dxa"/>
              <w:left w:w="62" w:type="dxa"/>
              <w:bottom w:w="0" w:type="dxa"/>
              <w:right w:w="62" w:type="dxa"/>
            </w:tcMar>
          </w:tcPr>
          <w:p w:rsidR="00000000" w:rsidRPr="004F2199" w:rsidP="004F2199">
            <w:pPr>
              <w:pStyle w:val="BodyText"/>
            </w:pPr>
            <w:r w:rsidRPr="004F2199">
              <w:t>Disconnect / reconnect composite appliances connected to low voltage installation wiring</w:t>
            </w:r>
          </w:p>
        </w:tc>
      </w:tr>
    </w:tbl>
    <w:p w:rsidR="007B0012" w:rsidP="004F2199">
      <w:pPr>
        <w:pStyle w:val="BodyText"/>
      </w:pPr>
    </w:p>
    <w:p w:rsidR="007B0012" w:rsidP="004F2199">
      <w:pPr>
        <w:pStyle w:val="BodyText"/>
      </w:pPr>
    </w:p>
    <w:p w:rsidR="00000000" w:rsidRPr="004F2199" w:rsidP="004F2199">
      <w:pPr>
        <w:pStyle w:val="Heading1"/>
      </w:pPr>
      <w:bookmarkStart w:id="6" w:name="O_589492"/>
      <w:bookmarkEnd w:id="6"/>
      <w:r w:rsidRPr="004F2199">
        <w:t>Employability Skills Information</w:t>
      </w:r>
    </w:p>
    <w:tbl>
      <w:tblPr>
        <w:tblW w:w="0" w:type="auto"/>
        <w:tblLayout w:type="fixed"/>
        <w:tblCellMar>
          <w:left w:w="62" w:type="dxa"/>
          <w:right w:w="62" w:type="dxa"/>
        </w:tblCellMar>
        <w:tblLook w:val="0000"/>
      </w:tblPr>
      <w:tblGrid>
        <w:gridCol w:w="2700"/>
        <w:gridCol w:w="5760"/>
      </w:tblGrid>
      <w:tr w:rsidTr="007B00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F2199" w:rsidP="004F2199">
            <w:pPr>
              <w:pStyle w:val="BodyText"/>
            </w:pPr>
            <w:r w:rsidRPr="004F219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4F2199" w:rsidP="004F2199">
            <w:pPr>
              <w:pStyle w:val="BodyText"/>
            </w:pPr>
            <w:r w:rsidRPr="004F2199">
              <w:rPr>
                <w:rStyle w:val="SpecialBold"/>
              </w:rPr>
              <w:t>3</w:t>
            </w:r>
            <w:r w:rsidRPr="004F2199">
              <w:t>)</w:t>
            </w:r>
          </w:p>
          <w:p w:rsidR="00000000" w:rsidRPr="004F2199" w:rsidP="004F2199">
            <w:pPr>
              <w:pStyle w:val="BodyText"/>
            </w:pPr>
            <w:r w:rsidRPr="004F2199">
              <w:t>This unit contains Employability Skills</w:t>
            </w:r>
          </w:p>
          <w:p w:rsidR="00000000" w:rsidRPr="004F2199" w:rsidP="004F2199">
            <w:pPr>
              <w:pStyle w:val="BodyText"/>
            </w:pPr>
            <w:r w:rsidRPr="004F2199">
              <w:t>The required outcomes described in this unit of competency contain applicable facets of Employability Skills. The Employability Skills Summary of the qualification in which this unit of compet</w:t>
            </w:r>
            <w:r w:rsidRPr="004F2199">
              <w:t>ency is packaged will assist in identifying Employability Skill requirements.</w:t>
            </w:r>
          </w:p>
        </w:tc>
      </w:tr>
    </w:tbl>
    <w:p w:rsidR="007B0012" w:rsidP="004F2199">
      <w:pPr>
        <w:pStyle w:val="BodyText"/>
      </w:pPr>
    </w:p>
    <w:p w:rsidR="007B0012" w:rsidP="004F2199">
      <w:pPr>
        <w:pStyle w:val="BodyText"/>
      </w:pPr>
    </w:p>
    <w:p w:rsidR="00000000" w:rsidRPr="004F2199" w:rsidP="004F2199">
      <w:pPr>
        <w:pStyle w:val="Heading1"/>
      </w:pPr>
      <w:bookmarkStart w:id="7" w:name="O_589491"/>
      <w:bookmarkEnd w:id="7"/>
      <w:r w:rsidRPr="004F2199">
        <w:t>Elements and Performance Criteria Pre-Content</w:t>
      </w:r>
    </w:p>
    <w:tbl>
      <w:tblPr>
        <w:tblW w:w="0" w:type="auto"/>
        <w:tblLayout w:type="fixed"/>
        <w:tblCellMar>
          <w:left w:w="62" w:type="dxa"/>
          <w:right w:w="62" w:type="dxa"/>
        </w:tblCellMar>
        <w:tblLook w:val="0000"/>
      </w:tblPr>
      <w:tblGrid>
        <w:gridCol w:w="2700"/>
        <w:gridCol w:w="5760"/>
      </w:tblGrid>
      <w:tr w:rsidTr="007B00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rPr>
                <w:rStyle w:val="SpecialBold"/>
              </w:rPr>
              <w:t>6</w:t>
            </w:r>
            <w:r w:rsidRPr="004F2199">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4F2199" w:rsidP="004F2199">
            <w:pPr>
              <w:pStyle w:val="BodyText"/>
            </w:pPr>
            <w:r w:rsidRPr="004F2199">
              <w:t>Performance criteria describe the required performance needed to demonstrate achievement of the element. Assessment of performance is to be consistent with the evidence guide.</w:t>
            </w:r>
          </w:p>
        </w:tc>
      </w:tr>
    </w:tbl>
    <w:p w:rsidR="00000000" w:rsidRPr="004F2199" w:rsidP="004F2199">
      <w:pPr>
        <w:pStyle w:val="BodyText"/>
      </w:pPr>
    </w:p>
    <w:p w:rsidR="00000000" w:rsidRPr="004F2199" w:rsidP="004F2199">
      <w:pPr>
        <w:pStyle w:val="AllowPageBreak"/>
      </w:pPr>
    </w:p>
    <w:p w:rsidR="00000000" w:rsidRPr="004F2199" w:rsidP="004F2199">
      <w:pPr>
        <w:pStyle w:val="Heading1"/>
      </w:pPr>
      <w:bookmarkStart w:id="8" w:name="O_589490"/>
      <w:bookmarkEnd w:id="8"/>
      <w:r w:rsidRPr="004F2199">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7B0012">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4F2199" w:rsidP="004F2199">
            <w:pPr>
              <w:pStyle w:val="BodyText"/>
            </w:pPr>
            <w:r w:rsidRPr="004F219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rPr>
                <w:rStyle w:val="SpecialBold"/>
              </w:rPr>
              <w:t>PERFORMANCE CRITER</w:t>
            </w:r>
            <w:r w:rsidRPr="004F2199">
              <w:rPr>
                <w:rStyle w:val="SpecialBold"/>
              </w:rPr>
              <w:t>IA</w:t>
            </w:r>
          </w:p>
        </w:tc>
      </w:tr>
      <w:tr w:rsidTr="007B001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1</w:t>
            </w:r>
          </w:p>
        </w:tc>
        <w:tc>
          <w:tcPr>
            <w:tcW w:w="2340" w:type="dxa"/>
            <w:vMerge w:val="restart"/>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Prepare to find and rectify faults</w:t>
            </w:r>
          </w:p>
        </w:tc>
        <w:tc>
          <w:tcPr>
            <w:tcW w:w="900" w:type="dxa"/>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1.1</w:t>
            </w:r>
          </w:p>
        </w:tc>
        <w:tc>
          <w:tcPr>
            <w:tcW w:w="4860" w:type="dxa"/>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 xml:space="preserve">OHS procedures for a given work area are identified, identified, obtained and understood </w:t>
            </w:r>
          </w:p>
        </w:tc>
      </w:tr>
      <w:tr w:rsidTr="007B001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1.2</w:t>
            </w:r>
          </w:p>
        </w:tc>
        <w:tc>
          <w:tcPr>
            <w:tcW w:w="4860" w:type="dxa"/>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OHS risk control measures and procedures in preparation for the work are followed.</w:t>
            </w:r>
          </w:p>
        </w:tc>
      </w:tr>
      <w:tr w:rsidTr="007B001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1.3</w:t>
            </w:r>
          </w:p>
        </w:tc>
        <w:tc>
          <w:tcPr>
            <w:tcW w:w="4860" w:type="dxa"/>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The nature of th</w:t>
            </w:r>
            <w:r w:rsidRPr="004F2199">
              <w:t>e fault is obtained from documentation and/or from work supervisor to establish the scope of work to be undertaken.</w:t>
            </w:r>
          </w:p>
        </w:tc>
      </w:tr>
      <w:tr w:rsidTr="007B001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1.4</w:t>
            </w:r>
          </w:p>
        </w:tc>
        <w:tc>
          <w:tcPr>
            <w:tcW w:w="4860" w:type="dxa"/>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 xml:space="preserve">Advice is sought from the work supervisor to ensure the work is coordinated effectively with others. </w:t>
            </w:r>
          </w:p>
        </w:tc>
      </w:tr>
      <w:tr w:rsidTr="007B001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1.5</w:t>
            </w:r>
          </w:p>
        </w:tc>
        <w:tc>
          <w:tcPr>
            <w:tcW w:w="4860" w:type="dxa"/>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Sources of materials that may be required for the work are accessed in accordance with established procedures.</w:t>
            </w:r>
          </w:p>
        </w:tc>
      </w:tr>
      <w:tr w:rsidTr="007B001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1.6</w:t>
            </w:r>
          </w:p>
        </w:tc>
        <w:tc>
          <w:tcPr>
            <w:tcW w:w="4860" w:type="dxa"/>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Tools, equipment and testing devices needed to carry out the work are obtained in accordance with established procedures and checked for c</w:t>
            </w:r>
            <w:r w:rsidRPr="004F2199">
              <w:t>orrect operation and safety</w:t>
            </w:r>
          </w:p>
        </w:tc>
      </w:tr>
      <w:tr w:rsidTr="007B001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2</w:t>
            </w:r>
          </w:p>
        </w:tc>
        <w:tc>
          <w:tcPr>
            <w:tcW w:w="2340" w:type="dxa"/>
            <w:vMerge w:val="restart"/>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Find faults</w:t>
            </w:r>
          </w:p>
        </w:tc>
        <w:tc>
          <w:tcPr>
            <w:tcW w:w="900" w:type="dxa"/>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2.1</w:t>
            </w:r>
          </w:p>
        </w:tc>
        <w:tc>
          <w:tcPr>
            <w:tcW w:w="4860" w:type="dxa"/>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OHS risk control measures and procedures for carrying out the work are followed.</w:t>
            </w:r>
          </w:p>
        </w:tc>
      </w:tr>
      <w:tr w:rsidTr="007B001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2.2</w:t>
            </w:r>
          </w:p>
        </w:tc>
        <w:tc>
          <w:tcPr>
            <w:tcW w:w="4860" w:type="dxa"/>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 xml:space="preserve">The need to test or measure live and operating system is determined in strict accordance with OHS </w:t>
            </w:r>
            <w:r w:rsidRPr="004F2199">
              <w:t>requirements and when necessary conducted within established safety procedures</w:t>
            </w:r>
          </w:p>
        </w:tc>
      </w:tr>
      <w:tr w:rsidTr="007B001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2.3</w:t>
            </w:r>
          </w:p>
        </w:tc>
        <w:tc>
          <w:tcPr>
            <w:tcW w:w="4860" w:type="dxa"/>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Circuits/machines/plant are checked as being isolated where necessary in strict accordance OHS requirements and procedures</w:t>
            </w:r>
          </w:p>
        </w:tc>
      </w:tr>
      <w:tr w:rsidTr="007B001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2.4</w:t>
            </w:r>
          </w:p>
        </w:tc>
        <w:tc>
          <w:tcPr>
            <w:tcW w:w="4860" w:type="dxa"/>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 xml:space="preserve">Fault finding is approached methodically drawing on knowledge of refrigeration and air conditioning systems using observation, measurement, calculations and comparison with normal system and component parameters/values. </w:t>
            </w:r>
          </w:p>
        </w:tc>
      </w:tr>
      <w:tr w:rsidTr="007B001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2.5</w:t>
            </w:r>
          </w:p>
        </w:tc>
        <w:tc>
          <w:tcPr>
            <w:tcW w:w="4860" w:type="dxa"/>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Faults beyond the scope of r</w:t>
            </w:r>
            <w:r w:rsidRPr="004F2199">
              <w:t>efrigeration and air conditioning work are identified.</w:t>
            </w:r>
          </w:p>
        </w:tc>
      </w:tr>
      <w:tr w:rsidTr="007B001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2.6</w:t>
            </w:r>
          </w:p>
        </w:tc>
        <w:tc>
          <w:tcPr>
            <w:tcW w:w="4860" w:type="dxa"/>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System components are removed/dismantled where necessary and parts stored to protect them against loss or damage</w:t>
            </w:r>
          </w:p>
        </w:tc>
      </w:tr>
      <w:tr w:rsidTr="007B001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2.7</w:t>
            </w:r>
          </w:p>
        </w:tc>
        <w:tc>
          <w:tcPr>
            <w:tcW w:w="4860" w:type="dxa"/>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Faulty components are rechecked and their fault status confirmed.</w:t>
            </w:r>
          </w:p>
        </w:tc>
      </w:tr>
      <w:tr w:rsidTr="007B001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2.8</w:t>
            </w:r>
          </w:p>
        </w:tc>
        <w:tc>
          <w:tcPr>
            <w:tcW w:w="4860" w:type="dxa"/>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Unexpected situations are dealt with safely and with the approval of an authorised person.</w:t>
            </w:r>
          </w:p>
        </w:tc>
      </w:tr>
      <w:tr w:rsidTr="007B001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2.9</w:t>
            </w:r>
          </w:p>
        </w:tc>
        <w:tc>
          <w:tcPr>
            <w:tcW w:w="4860" w:type="dxa"/>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Fault finding activities are carried out without damage to apparatus, circuits, the surrounding environment or services and using sustainable energy practices</w:t>
            </w:r>
            <w:r w:rsidRPr="004F2199">
              <w:t>.</w:t>
            </w:r>
          </w:p>
        </w:tc>
      </w:tr>
      <w:tr w:rsidTr="007B001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3</w:t>
            </w:r>
          </w:p>
        </w:tc>
        <w:tc>
          <w:tcPr>
            <w:tcW w:w="2340" w:type="dxa"/>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Repair fault</w:t>
            </w:r>
          </w:p>
        </w:tc>
        <w:tc>
          <w:tcPr>
            <w:tcW w:w="900" w:type="dxa"/>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3.1</w:t>
            </w:r>
          </w:p>
        </w:tc>
        <w:tc>
          <w:tcPr>
            <w:tcW w:w="4860" w:type="dxa"/>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OHS risk control measures and procedures for carrying out the work are followed.</w:t>
            </w:r>
          </w:p>
        </w:tc>
      </w:tr>
      <w:tr w:rsidTr="007B001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3.2</w:t>
            </w:r>
          </w:p>
        </w:tc>
        <w:tc>
          <w:tcPr>
            <w:tcW w:w="4860" w:type="dxa"/>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Arrangements are made for appropriately competent and authorised person to rectify faults that are beyond the scope of refrigeration and air condi</w:t>
            </w:r>
            <w:r w:rsidRPr="004F2199">
              <w:t>tioning work.</w:t>
            </w:r>
          </w:p>
        </w:tc>
      </w:tr>
      <w:tr w:rsidTr="007B001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3.3</w:t>
            </w:r>
          </w:p>
        </w:tc>
        <w:tc>
          <w:tcPr>
            <w:tcW w:w="4860" w:type="dxa"/>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Equipment is checked as being isolated where necessary in strict accordance OHS requirements and procedures</w:t>
            </w:r>
          </w:p>
        </w:tc>
      </w:tr>
      <w:tr w:rsidTr="007B001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3.4</w:t>
            </w:r>
          </w:p>
        </w:tc>
        <w:tc>
          <w:tcPr>
            <w:tcW w:w="4860" w:type="dxa"/>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Materials required to rectify faults are sourced and obtained in accordance with established procedures.</w:t>
            </w:r>
          </w:p>
        </w:tc>
      </w:tr>
      <w:tr w:rsidTr="007B001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3.5</w:t>
            </w:r>
          </w:p>
        </w:tc>
        <w:tc>
          <w:tcPr>
            <w:tcW w:w="4860" w:type="dxa"/>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Repairs are affected efficiently without damage to other components or apparatus and using sustainable energy principles.</w:t>
            </w:r>
          </w:p>
        </w:tc>
      </w:tr>
      <w:tr w:rsidTr="007B001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3.6</w:t>
            </w:r>
          </w:p>
        </w:tc>
        <w:tc>
          <w:tcPr>
            <w:tcW w:w="4860" w:type="dxa"/>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Effectiveness of the repair is tested in accordance with established procedures.</w:t>
            </w:r>
          </w:p>
        </w:tc>
      </w:tr>
      <w:tr w:rsidTr="007B001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3.7</w:t>
            </w:r>
          </w:p>
        </w:tc>
        <w:tc>
          <w:tcPr>
            <w:tcW w:w="4860" w:type="dxa"/>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System is reassembled and finally teste</w:t>
            </w:r>
            <w:r w:rsidRPr="004F2199">
              <w:t>d to ensure it is operating safely, effectively and complies with relevant requirements.</w:t>
            </w:r>
          </w:p>
        </w:tc>
      </w:tr>
      <w:tr w:rsidTr="007B001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4</w:t>
            </w:r>
          </w:p>
        </w:tc>
        <w:tc>
          <w:tcPr>
            <w:tcW w:w="2340" w:type="dxa"/>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Completion and report fault finding and rectification activities</w:t>
            </w:r>
          </w:p>
        </w:tc>
        <w:tc>
          <w:tcPr>
            <w:tcW w:w="900" w:type="dxa"/>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4.1</w:t>
            </w:r>
          </w:p>
        </w:tc>
        <w:tc>
          <w:tcPr>
            <w:tcW w:w="4860" w:type="dxa"/>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OHS work completion risk control measures and procedures are followed.</w:t>
            </w:r>
          </w:p>
        </w:tc>
      </w:tr>
      <w:tr w:rsidTr="007B001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4.2</w:t>
            </w:r>
          </w:p>
        </w:tc>
        <w:tc>
          <w:tcPr>
            <w:tcW w:w="4860" w:type="dxa"/>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Work area is cleaned and made safe in accordance with established procedures.</w:t>
            </w:r>
          </w:p>
        </w:tc>
      </w:tr>
      <w:tr w:rsidTr="007B001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4.3</w:t>
            </w:r>
          </w:p>
        </w:tc>
        <w:tc>
          <w:tcPr>
            <w:tcW w:w="4860" w:type="dxa"/>
            <w:tcBorders>
              <w:top w:val="nil"/>
              <w:left w:val="nil"/>
              <w:bottom w:val="nil"/>
              <w:right w:val="nil"/>
            </w:tcBorders>
            <w:tcMar>
              <w:top w:w="0" w:type="dxa"/>
              <w:left w:w="62" w:type="dxa"/>
              <w:bottom w:w="0" w:type="dxa"/>
              <w:right w:w="62" w:type="dxa"/>
            </w:tcMar>
          </w:tcPr>
          <w:p w:rsidR="00000000" w:rsidRPr="004F2199" w:rsidP="004F2199">
            <w:pPr>
              <w:pStyle w:val="BodyText"/>
            </w:pPr>
            <w:r w:rsidRPr="004F2199">
              <w:t>Written justification is made for repairs to circuits/apparatus.</w:t>
            </w:r>
          </w:p>
        </w:tc>
      </w:tr>
    </w:tbl>
    <w:p w:rsidR="007B0012" w:rsidP="004F2199">
      <w:pPr>
        <w:pStyle w:val="BodyText"/>
      </w:pPr>
    </w:p>
    <w:p w:rsidR="007B0012" w:rsidP="004F2199">
      <w:pPr>
        <w:pStyle w:val="BodyText"/>
      </w:pPr>
    </w:p>
    <w:p w:rsidR="00000000" w:rsidRPr="004F2199" w:rsidP="004F2199">
      <w:pPr>
        <w:pStyle w:val="Heading1"/>
      </w:pPr>
      <w:bookmarkStart w:id="9" w:name="O_589489"/>
      <w:bookmarkEnd w:id="9"/>
      <w:r w:rsidRPr="004F2199">
        <w:t>Required Skills and Knowledge</w:t>
      </w:r>
    </w:p>
    <w:tbl>
      <w:tblPr>
        <w:tblW w:w="0" w:type="auto"/>
        <w:tblLayout w:type="fixed"/>
        <w:tblCellMar>
          <w:left w:w="62" w:type="dxa"/>
          <w:right w:w="62" w:type="dxa"/>
        </w:tblCellMar>
        <w:tblLook w:val="0000"/>
      </w:tblPr>
      <w:tblGrid>
        <w:gridCol w:w="8460"/>
      </w:tblGrid>
      <w:tr w:rsidTr="007B001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rPr>
                <w:rStyle w:val="SpecialBold"/>
              </w:rPr>
              <w:t>REQUIRED SKILLS AND KNOWLEDGE</w:t>
            </w:r>
          </w:p>
        </w:tc>
      </w:tr>
      <w:tr w:rsidTr="007B001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rPr>
                <w:rStyle w:val="SpecialBold"/>
              </w:rPr>
              <w:t xml:space="preserve">7) </w:t>
            </w:r>
            <w:r w:rsidRPr="004F2199">
              <w:t>This describes the essential skills and knowledge and their level, required for this unit.</w:t>
            </w:r>
          </w:p>
        </w:tc>
      </w:tr>
      <w:tr w:rsidTr="007B001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F2199" w:rsidP="004F2199">
            <w:pPr>
              <w:pStyle w:val="BodyText"/>
            </w:pPr>
            <w:r w:rsidRPr="004F2199">
              <w:t>Evidence shall show that knowledge has been acquired of safe working practices and diagnosing and rectifying faults in refrigeration and air conditioning systems an</w:t>
            </w:r>
            <w:r w:rsidRPr="004F2199">
              <w:t xml:space="preserve">d components. </w:t>
            </w:r>
          </w:p>
          <w:p w:rsidR="00000000" w:rsidRPr="004F2199" w:rsidP="004F2199">
            <w:pPr>
              <w:pStyle w:val="BodyText"/>
            </w:pPr>
            <w:r w:rsidRPr="004F2199">
              <w:t>All knowledge and skills detailed in this unit should be contextualised to current industry practices and technologies.</w:t>
            </w:r>
          </w:p>
          <w:p w:rsidR="00000000" w:rsidRPr="004F2199" w:rsidP="004F2199">
            <w:pPr>
              <w:pStyle w:val="BodyText"/>
            </w:pPr>
            <w:r w:rsidRPr="004F2199">
              <w:rPr>
                <w:rStyle w:val="SpecialBold"/>
              </w:rPr>
              <w:t xml:space="preserve">KS01-EJ111A </w:t>
            </w:r>
            <w:r w:rsidRPr="004F2199">
              <w:rPr>
                <w:rStyle w:val="SpecialBold"/>
              </w:rPr>
              <w:tab/>
              <w:t xml:space="preserve">              Refrigeration and air conditioning systems fault diagnosis and repai</w:t>
            </w:r>
            <w:r w:rsidRPr="004F2199">
              <w:t>r</w:t>
            </w:r>
          </w:p>
          <w:p w:rsidR="00000000" w:rsidRPr="004F2199" w:rsidP="004F2199">
            <w:pPr>
              <w:pStyle w:val="BodyText"/>
            </w:pPr>
            <w:r w:rsidRPr="004F2199">
              <w:t>Evidence shall show an u</w:t>
            </w:r>
            <w:r w:rsidRPr="004F2199">
              <w:t>nderstanding of refrigeration and air conditioning system fault diagnosis and repair, applying safe working practices and relevant Standards, Codes and Regulations to an extent indicated by the following aspects:</w:t>
            </w:r>
          </w:p>
          <w:p w:rsidR="00000000" w:rsidRPr="004F2199" w:rsidP="004F2199">
            <w:pPr>
              <w:pStyle w:val="BodyText"/>
            </w:pPr>
            <w:r w:rsidRPr="004F2199">
              <w:t>T1</w:t>
            </w:r>
            <w:r w:rsidRPr="004F2199">
              <w:tab/>
              <w:t>Preventative maintenance schedules and p</w:t>
            </w:r>
            <w:r w:rsidRPr="004F2199">
              <w:t>rocedures.</w:t>
            </w:r>
          </w:p>
          <w:p w:rsidR="00000000" w:rsidRPr="004F2199" w:rsidP="004F2199">
            <w:pPr>
              <w:pStyle w:val="BodyText"/>
            </w:pPr>
            <w:r w:rsidRPr="004F2199">
              <w:t>T2</w:t>
            </w:r>
            <w:r w:rsidRPr="004F2199">
              <w:tab/>
              <w:t>Normal and abnormal system and component operations including:</w:t>
            </w:r>
          </w:p>
          <w:p w:rsidR="00000000" w:rsidRPr="004F2199" w:rsidP="004F2199">
            <w:pPr>
              <w:pStyle w:val="ListBullet"/>
            </w:pPr>
            <w:r w:rsidRPr="004F2199">
              <w:t>Systems design operating conditions</w:t>
            </w:r>
          </w:p>
          <w:p w:rsidR="00000000" w:rsidRPr="004F2199" w:rsidP="004F2199">
            <w:pPr>
              <w:pStyle w:val="ListBullet"/>
            </w:pPr>
            <w:r w:rsidRPr="004F2199">
              <w:t>Overcharge and undercharge</w:t>
            </w:r>
          </w:p>
          <w:p w:rsidR="00000000" w:rsidRPr="004F2199" w:rsidP="004F2199">
            <w:pPr>
              <w:pStyle w:val="ListBullet"/>
            </w:pPr>
            <w:r w:rsidRPr="004F2199">
              <w:t>High and low evaporator superheat</w:t>
            </w:r>
          </w:p>
          <w:p w:rsidR="00000000" w:rsidRPr="004F2199" w:rsidP="004F2199">
            <w:pPr>
              <w:pStyle w:val="ListBullet"/>
            </w:pPr>
            <w:r w:rsidRPr="004F2199">
              <w:t>High and low condensing pressure</w:t>
            </w:r>
          </w:p>
          <w:p w:rsidR="00000000" w:rsidRPr="004F2199" w:rsidP="004F2199">
            <w:pPr>
              <w:pStyle w:val="ListBullet"/>
            </w:pPr>
            <w:r w:rsidRPr="004F2199">
              <w:t>High and low evaporation pressure</w:t>
            </w:r>
          </w:p>
          <w:p w:rsidR="00000000" w:rsidRPr="004F2199" w:rsidP="004F2199">
            <w:pPr>
              <w:pStyle w:val="ListBullet"/>
            </w:pPr>
            <w:r w:rsidRPr="004F2199">
              <w:t>High and low liquid sub-cooling</w:t>
            </w:r>
          </w:p>
          <w:p w:rsidR="00000000" w:rsidRPr="004F2199" w:rsidP="004F2199">
            <w:pPr>
              <w:pStyle w:val="ListBullet"/>
            </w:pPr>
            <w:r w:rsidRPr="004F2199">
              <w:t>Low air/water flow rate through condenser and evaporator</w:t>
            </w:r>
          </w:p>
          <w:p w:rsidR="00000000" w:rsidRPr="004F2199" w:rsidP="004F2199">
            <w:pPr>
              <w:pStyle w:val="ListBullet"/>
            </w:pPr>
            <w:r w:rsidRPr="004F2199">
              <w:t>Inefficient compressor</w:t>
            </w:r>
          </w:p>
          <w:p w:rsidR="00000000" w:rsidRPr="004F2199" w:rsidP="004F2199">
            <w:pPr>
              <w:pStyle w:val="ListBullet"/>
            </w:pPr>
            <w:r w:rsidRPr="004F2199">
              <w:t>Open, closed and short circuits in motors and controls</w:t>
            </w:r>
          </w:p>
          <w:p w:rsidR="00000000" w:rsidRPr="004F2199" w:rsidP="004F2199">
            <w:pPr>
              <w:pStyle w:val="BodyText"/>
            </w:pPr>
            <w:r w:rsidRPr="004F2199">
              <w:t>T3</w:t>
            </w:r>
            <w:r w:rsidRPr="004F2199">
              <w:tab/>
              <w:t>Finding and rectify system faults</w:t>
            </w:r>
          </w:p>
          <w:p w:rsidR="00000000" w:rsidRPr="004F2199" w:rsidP="004F2199">
            <w:pPr>
              <w:pStyle w:val="ListBullet"/>
            </w:pPr>
            <w:r w:rsidRPr="004F2199">
              <w:t>Factors to consider in clarifying the nature of a f</w:t>
            </w:r>
            <w:r w:rsidRPr="004F2199">
              <w:t>ault including; initial fault report, confirmation of symptoms of the fault, comparison of symptoms with normal operation</w:t>
            </w:r>
          </w:p>
          <w:p w:rsidR="00000000" w:rsidRPr="004F2199" w:rsidP="004F2199">
            <w:pPr>
              <w:pStyle w:val="ListBullet"/>
            </w:pPr>
            <w:r w:rsidRPr="004F2199">
              <w:t>Effect to cause reasoning — assumptions of possible causes</w:t>
            </w:r>
          </w:p>
          <w:p w:rsidR="00000000" w:rsidRPr="004F2199" w:rsidP="004F2199">
            <w:pPr>
              <w:pStyle w:val="ListBullet"/>
            </w:pPr>
            <w:r w:rsidRPr="004F2199">
              <w:t>Methods for testing assumptions including; visual inspection, sectional tes</w:t>
            </w:r>
            <w:r w:rsidRPr="004F2199">
              <w:t>ting, split-half tests, component isolation</w:t>
            </w:r>
          </w:p>
          <w:p w:rsidR="00000000" w:rsidRPr="004F2199" w:rsidP="004F2199">
            <w:pPr>
              <w:pStyle w:val="ListBullet"/>
            </w:pPr>
            <w:r w:rsidRPr="004F2199">
              <w:t>Dealing with intermittent faults caused by vibration, shock, changes in temperature and electromagnetic interference.</w:t>
            </w:r>
          </w:p>
          <w:p w:rsidR="00000000" w:rsidRPr="004F2199" w:rsidP="004F2199">
            <w:pPr>
              <w:pStyle w:val="ListBullet"/>
            </w:pPr>
            <w:r w:rsidRPr="004F2199">
              <w:t>Rectifying control system faults including adjustments, repairs and replacement of components,</w:t>
            </w:r>
            <w:r w:rsidRPr="004F2199">
              <w:t xml:space="preserve"> controls and accessories</w:t>
            </w:r>
          </w:p>
          <w:p w:rsidR="00000000" w:rsidRPr="004F2199" w:rsidP="004F2199">
            <w:pPr>
              <w:pStyle w:val="BodyText"/>
            </w:pPr>
            <w:r w:rsidRPr="004F2199">
              <w:t>T4</w:t>
            </w:r>
            <w:r w:rsidRPr="004F2199">
              <w:tab/>
              <w:t>Diagnosing and rectifying faults on refrigeration and air conditioning systems including;</w:t>
            </w:r>
          </w:p>
          <w:p w:rsidR="00000000" w:rsidRPr="004F2199" w:rsidP="004F2199">
            <w:pPr>
              <w:pStyle w:val="ListBullet"/>
            </w:pPr>
            <w:r w:rsidRPr="004F2199">
              <w:t>Appliance refrigerated systems</w:t>
            </w:r>
          </w:p>
          <w:p w:rsidR="00000000" w:rsidRPr="004F2199" w:rsidP="004F2199">
            <w:pPr>
              <w:pStyle w:val="ListBullet"/>
            </w:pPr>
            <w:r w:rsidRPr="004F2199">
              <w:t>Cool room and freezer room systems</w:t>
            </w:r>
          </w:p>
          <w:p w:rsidR="00000000" w:rsidRPr="004F2199" w:rsidP="004F2199">
            <w:pPr>
              <w:pStyle w:val="ListBullet"/>
            </w:pPr>
            <w:r w:rsidRPr="004F2199">
              <w:t xml:space="preserve">Merchandising and display cabinets </w:t>
            </w:r>
          </w:p>
          <w:p w:rsidR="00000000" w:rsidRPr="004F2199" w:rsidP="004F2199">
            <w:pPr>
              <w:pStyle w:val="ListBullet"/>
            </w:pPr>
            <w:r w:rsidRPr="004F2199">
              <w:t>Residential air conditioning syste</w:t>
            </w:r>
            <w:r w:rsidRPr="004F2199">
              <w:t>ms</w:t>
            </w:r>
          </w:p>
          <w:p w:rsidR="00000000" w:rsidRPr="004F2199" w:rsidP="004F2199">
            <w:pPr>
              <w:pStyle w:val="ListBullet"/>
            </w:pPr>
            <w:r w:rsidRPr="004F2199">
              <w:t>Package air conditioning systems</w:t>
            </w:r>
          </w:p>
        </w:tc>
      </w:tr>
    </w:tbl>
    <w:p w:rsidR="007B0012" w:rsidP="004F2199">
      <w:pPr>
        <w:pStyle w:val="BodyText"/>
      </w:pPr>
    </w:p>
    <w:p w:rsidR="007B0012" w:rsidP="004F2199">
      <w:pPr>
        <w:pStyle w:val="BodyText"/>
      </w:pPr>
    </w:p>
    <w:p w:rsidR="00000000" w:rsidRPr="004F2199" w:rsidP="004F2199">
      <w:pPr>
        <w:pStyle w:val="Heading1"/>
      </w:pPr>
      <w:bookmarkStart w:id="10" w:name="O_589488"/>
      <w:bookmarkEnd w:id="10"/>
      <w:r w:rsidRPr="004F2199">
        <w:t>Evidence Guide</w:t>
      </w:r>
    </w:p>
    <w:tbl>
      <w:tblPr>
        <w:tblW w:w="0" w:type="auto"/>
        <w:tblLayout w:type="fixed"/>
        <w:tblCellMar>
          <w:left w:w="62" w:type="dxa"/>
          <w:right w:w="62" w:type="dxa"/>
        </w:tblCellMar>
        <w:tblLook w:val="0000"/>
      </w:tblPr>
      <w:tblGrid>
        <w:gridCol w:w="2160"/>
        <w:gridCol w:w="720"/>
        <w:gridCol w:w="540"/>
        <w:gridCol w:w="720"/>
        <w:gridCol w:w="4320"/>
      </w:tblGrid>
      <w:tr w:rsidTr="007B0012">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rPr>
                <w:rStyle w:val="SpecialBold"/>
              </w:rPr>
              <w:t>EVIDENCE GUIDE</w:t>
            </w:r>
          </w:p>
        </w:tc>
      </w:tr>
      <w:tr w:rsidTr="007B0012">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4F2199" w:rsidP="004F2199">
            <w:pPr>
              <w:pStyle w:val="BodyText"/>
            </w:pPr>
            <w:r w:rsidRPr="004F2199">
              <w:rPr>
                <w:rStyle w:val="SpecialBold"/>
              </w:rPr>
              <w:t>9</w:t>
            </w:r>
            <w:r w:rsidRPr="004F2199">
              <w:t xml:space="preserve">) The evidence guide provides advice on assessment and must be read in conjunction with the Performance </w:t>
            </w:r>
            <w:r w:rsidRPr="004F2199">
              <w:t>Criteria, Required Skills and Knowledge, the Range Statement and the Assessment Guidelines for this Training Package. .</w:t>
            </w:r>
          </w:p>
          <w:p w:rsidR="00000000" w:rsidP="004F2199">
            <w:pPr>
              <w:pStyle w:val="BodyText"/>
              <w:rPr>
                <w:lang w:val="en-NZ"/>
              </w:rPr>
            </w:pPr>
            <w:r w:rsidRPr="004F2199">
              <w:t>The Evidence Guide forms an integral part of this Unit. It must be used in conjunction with all parts of this unit and performed in acco</w:t>
            </w:r>
            <w:r w:rsidRPr="004F2199">
              <w:t>rdance with the Assessment Guidelines of this Training Package.</w:t>
            </w:r>
          </w:p>
        </w:tc>
      </w:tr>
      <w:tr w:rsidTr="007B001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F2199" w:rsidP="004F2199">
            <w:pPr>
              <w:pStyle w:val="BodyText"/>
            </w:pPr>
            <w:r w:rsidRPr="004F2199">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4F2199" w:rsidP="004F2199">
            <w:pPr>
              <w:pStyle w:val="BodyText"/>
            </w:pPr>
            <w:r w:rsidRPr="004F2199">
              <w:rPr>
                <w:rStyle w:val="SpecialBold"/>
              </w:rPr>
              <w:t>9</w:t>
            </w:r>
            <w:r w:rsidRPr="004F2199">
              <w:t>.</w:t>
            </w:r>
            <w:r w:rsidRPr="004F2199">
              <w:rPr>
                <w:rStyle w:val="SpecialBold"/>
              </w:rPr>
              <w:t>1</w:t>
            </w:r>
            <w:r w:rsidRPr="004F2199">
              <w:t xml:space="preserve">) </w:t>
            </w:r>
          </w:p>
          <w:p w:rsidR="00000000" w:rsidRPr="004F2199" w:rsidP="004F2199">
            <w:pPr>
              <w:pStyle w:val="BodyText"/>
            </w:pPr>
            <w:r w:rsidRPr="004F2199">
              <w:t>Longitudinal competency development approaches to assessment, such as Profiling, require data to be reliably gathered in a form that</w:t>
            </w:r>
            <w:r w:rsidRPr="004F2199">
              <w:t xml:space="preserve"> can be consistently interpreted over time. This approach is best utilised in Apprenticeship programs and reduces assessment intervention. It is the industry-preferred model for apprenticeships. However, where summative (or final) assessment is used it is </w:t>
            </w:r>
            <w:r w:rsidRPr="004F2199">
              <w:t>to include the application of the competency in the normal work environment or, at a minimum, the application of the competency in a realistically simulated work environment. In some circumstances, assessment in part or full can occur outside the workplace</w:t>
            </w:r>
            <w:r w:rsidRPr="004F2199">
              <w:t>. However, it must be in accordance with industry and regulatory policy.</w:t>
            </w:r>
          </w:p>
          <w:p w:rsidR="00000000" w:rsidRPr="004F2199" w:rsidP="004F2199">
            <w:pPr>
              <w:pStyle w:val="BodyText"/>
            </w:pPr>
            <w:r w:rsidRPr="004F2199">
              <w:t>Methods chosen for a particular assessment will be influenced by various factors. These include the extent of the assessment, the most effective locations for the assessment activitie</w:t>
            </w:r>
            <w:r w:rsidRPr="004F2199">
              <w:t>s to take place, access to physical resources, additional safety measures that may be required and the critical nature of the competencies being assessed.</w:t>
            </w:r>
          </w:p>
          <w:p w:rsidR="00000000" w:rsidRPr="004F2199" w:rsidP="004F2199">
            <w:pPr>
              <w:pStyle w:val="BodyText"/>
            </w:pPr>
            <w:r w:rsidRPr="004F2199">
              <w:t>The critical safety nature of working with electricity, electrical equipment, gas or any other hazard</w:t>
            </w:r>
            <w:r w:rsidRPr="004F2199">
              <w:t>ous substance/material carries risk in deeming a person competent. Sources of evidence need to be 'rich' in nature to minimise error in judgment.</w:t>
            </w:r>
          </w:p>
          <w:p w:rsidR="00000000" w:rsidP="004F2199">
            <w:pPr>
              <w:pStyle w:val="BodyText"/>
              <w:rPr>
                <w:lang w:val="en-NZ"/>
              </w:rPr>
            </w:pPr>
            <w:r w:rsidRPr="004F2199">
              <w:t xml:space="preserve">Activities associated with normal everyday work influence decisions about how/how much the data gathered will </w:t>
            </w:r>
            <w:r w:rsidRPr="004F2199">
              <w:t xml:space="preserve">contribute to its 'richness'. Some skills are more critical to safety and operational requirements while the same skills may be more or less frequently practised. These points are raised for the assessors to consider when choosing an assessment method and </w:t>
            </w:r>
            <w:r w:rsidRPr="004F2199">
              <w:t>developing assessment instruments. Sample assessment instruments are included for Assessors in the Assessment Guidelines of this Training Package.</w:t>
            </w:r>
          </w:p>
        </w:tc>
      </w:tr>
      <w:tr w:rsidTr="007B0012">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4F2199" w:rsidP="004F2199">
            <w:pPr>
              <w:pStyle w:val="BodyText"/>
            </w:pPr>
            <w:r w:rsidRPr="004F2199">
              <w:rPr>
                <w:rStyle w:val="SpecialBold"/>
              </w:rPr>
              <w:t xml:space="preserve">Critical aspects of evidence required to demonstrate </w:t>
            </w:r>
            <w:r w:rsidRPr="004F2199">
              <w:rPr>
                <w:rStyle w:val="SpecialBold"/>
              </w:rPr>
              <w:t>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4F2199" w:rsidP="004F2199">
            <w:pPr>
              <w:pStyle w:val="BodyText"/>
            </w:pPr>
            <w:r w:rsidRPr="004F2199">
              <w:rPr>
                <w:rStyle w:val="SpecialBold"/>
              </w:rPr>
              <w:t>9</w:t>
            </w:r>
            <w:r w:rsidRPr="004F2199">
              <w:t>.</w:t>
            </w:r>
            <w:r w:rsidRPr="004F2199">
              <w:rPr>
                <w:rStyle w:val="SpecialBold"/>
              </w:rPr>
              <w:t>2</w:t>
            </w:r>
            <w:r w:rsidRPr="004F2199">
              <w:t xml:space="preserve">) </w:t>
            </w:r>
          </w:p>
          <w:p w:rsidR="00000000" w:rsidP="004F2199">
            <w:pPr>
              <w:pStyle w:val="BodyText"/>
              <w:rPr>
                <w:lang w:val="en-NZ"/>
              </w:rPr>
            </w:pPr>
            <w:r w:rsidRPr="004F2199">
              <w:t>Before the critical as</w:t>
            </w:r>
            <w:r w:rsidRPr="004F2199">
              <w:t>pects of evidence are considered all prerequisites must be met.</w:t>
            </w:r>
          </w:p>
        </w:tc>
      </w:tr>
      <w:tr w:rsidTr="007B001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4F2199" w:rsidP="004F2199">
            <w:pPr>
              <w:pStyle w:val="BodyText"/>
            </w:pPr>
            <w:r w:rsidRPr="004F2199">
              <w:t xml:space="preserve">Evidence for competence in this unit shall be considered holistically.  Each Element and associated performance criteria shall be demonstrated </w:t>
            </w:r>
            <w:r w:rsidRPr="004F2199">
              <w:t>on at least two occasions in accordance with the 'Assessment Guidelines - UEE07'.  Evidence shall also comprise:</w:t>
            </w:r>
          </w:p>
          <w:p w:rsidR="00000000" w:rsidP="004F2199">
            <w:pPr>
              <w:pStyle w:val="ListBullet"/>
              <w:rPr>
                <w:lang w:val="en-NZ"/>
              </w:rPr>
            </w:pPr>
            <w:r w:rsidRPr="004F2199">
              <w:t>A representative body of work performance demonstrated within the timeframes typically expected of the discipline, work function and industria</w:t>
            </w:r>
            <w:r w:rsidRPr="004F2199">
              <w:t>l environment. In particular this shall incorporate evidence that shows a candidate is able to:</w:t>
            </w:r>
          </w:p>
        </w:tc>
      </w:tr>
      <w:tr w:rsidTr="007B001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F2199">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4F2199" w:rsidP="004F2199">
            <w:pPr>
              <w:pStyle w:val="ListBullet2"/>
            </w:pPr>
            <w:r w:rsidRPr="004F2199">
              <w:t xml:space="preserve">Implement Occupational Health and Safety workplace procedures and practices including </w:t>
            </w:r>
            <w:r w:rsidRPr="004F2199">
              <w:t>the use of risk control measures as specified in the performance criteria and range statement</w:t>
            </w:r>
          </w:p>
          <w:p w:rsidR="00000000" w:rsidRPr="004F2199" w:rsidP="004F2199">
            <w:pPr>
              <w:pStyle w:val="ListBullet2"/>
            </w:pPr>
            <w:r w:rsidRPr="004F2199">
              <w:t>Apply sustainable energy principles and practices as specified in the performance criteria and range statement</w:t>
            </w:r>
          </w:p>
          <w:p w:rsidR="00000000" w:rsidRPr="004F2199" w:rsidP="004F2199">
            <w:pPr>
              <w:pStyle w:val="ListBullet2"/>
            </w:pPr>
            <w:r w:rsidRPr="004F2199">
              <w:t>Demonstrate an understanding of the essential knowl</w:t>
            </w:r>
            <w:r w:rsidRPr="004F2199">
              <w:t>edge and associated skills as described in this unit.  It may be required by some jurisdictions that RTOs provide a percentile graded result for the purpose of regulatory or licensing requirements.</w:t>
            </w:r>
          </w:p>
          <w:p w:rsidR="00000000" w:rsidRPr="004F2199" w:rsidP="004F2199">
            <w:pPr>
              <w:pStyle w:val="ListBullet2"/>
            </w:pPr>
            <w:r w:rsidRPr="004F2199">
              <w:t>Demonstrate an appropriate level of skills enabling employ</w:t>
            </w:r>
            <w:r w:rsidRPr="004F2199">
              <w:t>ment</w:t>
            </w:r>
          </w:p>
          <w:p w:rsidR="00000000" w:rsidP="004F2199">
            <w:pPr>
              <w:pStyle w:val="ListBullet2"/>
              <w:rPr>
                <w:lang w:val="en-NZ"/>
              </w:rPr>
            </w:pPr>
            <w:r w:rsidRPr="004F2199">
              <w:t>Conduct work observing the relevant Anti Discrimination legislation, regulations, polices and workplace procedures</w:t>
            </w:r>
          </w:p>
        </w:tc>
      </w:tr>
      <w:tr w:rsidTr="007B001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F2199">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4F2199">
            <w:pPr>
              <w:pStyle w:val="ListBullet"/>
              <w:rPr>
                <w:lang w:val="en-NZ"/>
              </w:rPr>
            </w:pPr>
            <w:r w:rsidRPr="004F2199">
              <w:t>Demonstrated consistent performance across a representative range of contexts from the prescribed items below:</w:t>
            </w:r>
          </w:p>
        </w:tc>
      </w:tr>
      <w:tr w:rsidTr="007B001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F2199">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4F2199">
            <w:pPr>
              <w:pStyle w:val="ListBullet2"/>
              <w:rPr>
                <w:lang w:val="en-NZ"/>
              </w:rPr>
            </w:pPr>
            <w:r w:rsidRPr="004F2199">
              <w:t>Diagnose and rectify faults in refrigeration and air conditioning systems and components as described in 8) and including:</w:t>
            </w:r>
          </w:p>
        </w:tc>
      </w:tr>
      <w:tr w:rsidTr="007B001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A</w:t>
            </w:r>
          </w:p>
        </w:tc>
        <w:tc>
          <w:tcPr>
            <w:tcW w:w="5040" w:type="dxa"/>
            <w:gridSpan w:val="2"/>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Using methodical fault finding techniques</w:t>
            </w:r>
          </w:p>
        </w:tc>
      </w:tr>
      <w:tr w:rsidTr="007B001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B</w:t>
            </w:r>
          </w:p>
        </w:tc>
        <w:tc>
          <w:tcPr>
            <w:tcW w:w="5040" w:type="dxa"/>
            <w:gridSpan w:val="2"/>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Finding faults efficiently</w:t>
            </w:r>
          </w:p>
        </w:tc>
      </w:tr>
      <w:tr w:rsidTr="007B001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C</w:t>
            </w:r>
          </w:p>
        </w:tc>
        <w:tc>
          <w:tcPr>
            <w:tcW w:w="5040" w:type="dxa"/>
            <w:gridSpan w:val="2"/>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Rectifying faults without damage</w:t>
            </w:r>
          </w:p>
        </w:tc>
      </w:tr>
      <w:tr w:rsidTr="007B001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D</w:t>
            </w:r>
          </w:p>
        </w:tc>
        <w:tc>
          <w:tcPr>
            <w:tcW w:w="5040" w:type="dxa"/>
            <w:gridSpan w:val="2"/>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Providing written justification for the rectifications undertaken</w:t>
            </w:r>
          </w:p>
        </w:tc>
      </w:tr>
      <w:tr w:rsidTr="007B001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E</w:t>
            </w:r>
          </w:p>
        </w:tc>
        <w:tc>
          <w:tcPr>
            <w:tcW w:w="5040" w:type="dxa"/>
            <w:gridSpan w:val="2"/>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Dealing with unplanned events by drawing on essential knowledge and skills to provide appropriate solutions incorporated in the holistic assessment with the above listed items</w:t>
            </w:r>
          </w:p>
        </w:tc>
      </w:tr>
      <w:tr w:rsidTr="007B001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 xml:space="preserve">Note: </w:t>
            </w:r>
            <w:r w:rsidRPr="004F2199">
              <w:br/>
              <w:t>Successful completion of relevant vendor training may be used to contribute to evidence on which competency is deemed. In these cases the alignment of outcomes of vendor training with performance criteria and critical aspects of evidence shall be cl</w:t>
            </w:r>
            <w:r w:rsidRPr="004F2199">
              <w:t>early identified</w:t>
            </w:r>
          </w:p>
        </w:tc>
      </w:tr>
      <w:tr w:rsidTr="007B001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F2199" w:rsidP="004F2199">
            <w:pPr>
              <w:pStyle w:val="BodyText"/>
            </w:pPr>
            <w:r w:rsidRPr="004F2199">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4F2199" w:rsidP="004F2199">
            <w:pPr>
              <w:pStyle w:val="BodyText"/>
            </w:pPr>
            <w:r w:rsidRPr="004F2199">
              <w:rPr>
                <w:rStyle w:val="SpecialBold"/>
              </w:rPr>
              <w:t>9</w:t>
            </w:r>
            <w:r w:rsidRPr="004F2199">
              <w:t>.</w:t>
            </w:r>
            <w:r w:rsidRPr="004F2199">
              <w:rPr>
                <w:rStyle w:val="SpecialBold"/>
              </w:rPr>
              <w:t>3</w:t>
            </w:r>
            <w:r w:rsidRPr="004F2199">
              <w:t xml:space="preserve">) </w:t>
            </w:r>
          </w:p>
          <w:p w:rsidR="00000000" w:rsidRPr="004F2199" w:rsidP="004F2199">
            <w:pPr>
              <w:pStyle w:val="BodyText"/>
            </w:pPr>
            <w:r w:rsidRPr="004F2199">
              <w:t>This unit should be assessed as it relates to normal work practice using procedures, information and resources typical of a workplace. This should include:</w:t>
            </w:r>
          </w:p>
          <w:p w:rsidR="00000000" w:rsidRPr="004F2199" w:rsidP="004F2199">
            <w:pPr>
              <w:pStyle w:val="ListBullet"/>
            </w:pPr>
            <w:r w:rsidRPr="004F2199">
              <w:t>OHS policy and work pro</w:t>
            </w:r>
            <w:r w:rsidRPr="004F2199">
              <w:t>cedures and instructions.</w:t>
            </w:r>
          </w:p>
          <w:p w:rsidR="00000000" w:rsidRPr="004F2199" w:rsidP="004F2199">
            <w:pPr>
              <w:pStyle w:val="ListBullet"/>
            </w:pPr>
            <w:r w:rsidRPr="004F2199">
              <w:t>Suitable work environment, facilities, equipment and materials to undertake actual work as prescribed by this unit.</w:t>
            </w:r>
          </w:p>
          <w:p w:rsidR="00000000" w:rsidRPr="004F2199" w:rsidP="004F2199">
            <w:pPr>
              <w:pStyle w:val="BodyText"/>
            </w:pPr>
            <w:r w:rsidRPr="004F2199">
              <w:t>These should be part of the formal learning/assessment environment.</w:t>
            </w:r>
          </w:p>
          <w:p w:rsidR="00000000" w:rsidRPr="004F2199" w:rsidP="004F2199">
            <w:pPr>
              <w:pStyle w:val="BodyText"/>
            </w:pPr>
            <w:r w:rsidRPr="004F2199">
              <w:t>Note:</w:t>
            </w:r>
          </w:p>
          <w:p w:rsidR="00000000" w:rsidP="004F2199">
            <w:pPr>
              <w:pStyle w:val="BodyText"/>
              <w:rPr>
                <w:lang w:val="en-NZ"/>
              </w:rPr>
            </w:pPr>
            <w:r w:rsidRPr="004F2199">
              <w:t>Where simulation is considered a suitable strategy for assessment, conditions must be authentic and as far as possible reproduce and replicate the workplace and be consistent with the approved industry simulation policy.</w:t>
            </w:r>
          </w:p>
        </w:tc>
      </w:tr>
      <w:tr w:rsidTr="007B001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Evidence should show demonstra</w:t>
            </w:r>
            <w:r w:rsidRPr="004F2199">
              <w:t>ted competency in diagnosing and rectifying faults in refrigeration and air conditioning systems and components.</w:t>
            </w:r>
          </w:p>
        </w:tc>
      </w:tr>
      <w:tr w:rsidTr="007B001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F2199" w:rsidP="004F2199">
            <w:pPr>
              <w:pStyle w:val="BodyText"/>
            </w:pPr>
            <w:r w:rsidRPr="004F2199">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4F2199" w:rsidP="004F2199">
            <w:pPr>
              <w:pStyle w:val="BodyText"/>
            </w:pPr>
            <w:r w:rsidRPr="004F2199">
              <w:rPr>
                <w:rStyle w:val="SpecialBold"/>
              </w:rPr>
              <w:t>9</w:t>
            </w:r>
            <w:r w:rsidRPr="004F2199">
              <w:t>.</w:t>
            </w:r>
            <w:r w:rsidRPr="004F2199">
              <w:rPr>
                <w:rStyle w:val="SpecialBold"/>
              </w:rPr>
              <w:t>4</w:t>
            </w:r>
            <w:r w:rsidRPr="004F2199">
              <w:t xml:space="preserve">) </w:t>
            </w:r>
          </w:p>
          <w:p w:rsidR="00000000" w:rsidRPr="004F2199" w:rsidP="004F2199">
            <w:pPr>
              <w:pStyle w:val="BodyText"/>
            </w:pPr>
            <w:r w:rsidRPr="004F2199">
              <w:t>This unit shall be assessed by methods given in Volume 1, Part 3 'Assessment Guidelines'.</w:t>
            </w:r>
          </w:p>
          <w:p w:rsidR="00000000" w:rsidP="004F2199">
            <w:pPr>
              <w:pStyle w:val="BodyText"/>
              <w:rPr>
                <w:lang w:val="en-NZ"/>
              </w:rPr>
            </w:pPr>
            <w:r w:rsidRPr="004F2199">
              <w:t xml:space="preserve">Note: </w:t>
            </w:r>
            <w:r w:rsidRPr="004F2199">
              <w:br/>
            </w:r>
            <w:r w:rsidRPr="004F2199">
              <w:t>Competent performance with inherent safe working practices is expected in the Industry to which this unit applies. This requires assessment in a structured environment which is intended primarily for learning/assessment and incorporates all necessary equip</w:t>
            </w:r>
            <w:r w:rsidRPr="004F2199">
              <w:t>ment and facilities for learners to develop and demonstrate the essential knowledge and skills described in this unit.</w:t>
            </w:r>
          </w:p>
        </w:tc>
      </w:tr>
      <w:tr w:rsidTr="007B0012">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4F2199" w:rsidP="004F2199">
            <w:pPr>
              <w:pStyle w:val="BodyText"/>
            </w:pPr>
            <w:r w:rsidRPr="004F2199">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rPr>
                <w:rStyle w:val="SpecialBold"/>
              </w:rPr>
              <w:t>9</w:t>
            </w:r>
            <w:r w:rsidRPr="004F2199">
              <w:t>.</w:t>
            </w:r>
            <w:r w:rsidRPr="004F2199">
              <w:rPr>
                <w:rStyle w:val="SpecialBold"/>
              </w:rPr>
              <w:t>5</w:t>
            </w:r>
            <w:r w:rsidRPr="004F2199">
              <w:t>)</w:t>
            </w:r>
          </w:p>
        </w:tc>
      </w:tr>
      <w:tr w:rsidTr="007B001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For optimisation of training and assessment effort, competency development in this unit may be arranged concurrently with unit:</w:t>
            </w:r>
          </w:p>
        </w:tc>
      </w:tr>
      <w:tr w:rsidTr="007B001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gridSpan w:val="3"/>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UEENEEJ113A</w:t>
            </w:r>
          </w:p>
        </w:tc>
        <w:tc>
          <w:tcPr>
            <w:tcW w:w="4320" w:type="dxa"/>
            <w:tcBorders>
              <w:top w:val="nil"/>
              <w:left w:val="nil"/>
              <w:bottom w:val="nil"/>
              <w:right w:val="nil"/>
            </w:tcBorders>
            <w:tcMar>
              <w:top w:w="0" w:type="dxa"/>
              <w:left w:w="62" w:type="dxa"/>
              <w:bottom w:w="0" w:type="dxa"/>
              <w:right w:w="62" w:type="dxa"/>
            </w:tcMar>
          </w:tcPr>
          <w:p w:rsidR="00000000" w:rsidRPr="004F2199" w:rsidP="004F2199">
            <w:pPr>
              <w:pStyle w:val="BodyText"/>
            </w:pPr>
            <w:r w:rsidRPr="004F2199">
              <w:t>Commission air conditioning and refrigeration systems</w:t>
            </w:r>
          </w:p>
        </w:tc>
      </w:tr>
    </w:tbl>
    <w:p w:rsidR="007B0012" w:rsidP="004F2199">
      <w:pPr>
        <w:pStyle w:val="BodyText"/>
      </w:pPr>
    </w:p>
    <w:p w:rsidR="007B0012" w:rsidP="004F2199">
      <w:pPr>
        <w:pStyle w:val="BodyText"/>
      </w:pPr>
    </w:p>
    <w:p w:rsidR="00000000" w:rsidRPr="004F2199" w:rsidP="004F2199">
      <w:pPr>
        <w:pStyle w:val="Heading1"/>
      </w:pPr>
      <w:bookmarkStart w:id="11" w:name="O_589487"/>
      <w:bookmarkEnd w:id="11"/>
      <w:r w:rsidRPr="004F2199">
        <w:t>Range Statement</w:t>
      </w:r>
    </w:p>
    <w:tbl>
      <w:tblPr>
        <w:tblW w:w="0" w:type="auto"/>
        <w:tblLayout w:type="fixed"/>
        <w:tblCellMar>
          <w:left w:w="62" w:type="dxa"/>
          <w:right w:w="62" w:type="dxa"/>
        </w:tblCellMar>
        <w:tblLook w:val="0000"/>
      </w:tblPr>
      <w:tblGrid>
        <w:gridCol w:w="2160"/>
        <w:gridCol w:w="6300"/>
      </w:tblGrid>
      <w:tr w:rsidTr="007B0012">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rPr>
                <w:rStyle w:val="SpecialBold"/>
              </w:rPr>
              <w:t>RANGE STATEMENT</w:t>
            </w:r>
          </w:p>
        </w:tc>
      </w:tr>
      <w:tr w:rsidTr="007B001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rPr>
                <w:rStyle w:val="SpecialBold"/>
              </w:rPr>
              <w:t>8</w:t>
            </w:r>
            <w:r w:rsidRPr="004F2199">
              <w:t>) This relates to the unit as a whole providing the range of contexts and conditions to which the performance criteria apply. It allows for different work environments and situations that will affect performance.</w:t>
            </w:r>
          </w:p>
        </w:tc>
      </w:tr>
      <w:tr w:rsidTr="007B001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This unit must be demonstrated in relat</w:t>
            </w:r>
            <w:r w:rsidRPr="004F2199">
              <w:t>ion to diagnosing and rectifying faults in the following refrigeration air conditioning systems and components:</w:t>
            </w:r>
          </w:p>
        </w:tc>
      </w:tr>
      <w:tr w:rsidTr="007B001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F2199">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4F2199" w:rsidP="004F2199">
            <w:pPr>
              <w:pStyle w:val="ListBullet"/>
            </w:pPr>
            <w:r w:rsidRPr="004F2199">
              <w:t>Compressors</w:t>
            </w:r>
          </w:p>
          <w:p w:rsidR="00000000" w:rsidRPr="004F2199" w:rsidP="004F2199">
            <w:pPr>
              <w:pStyle w:val="ListBullet"/>
            </w:pPr>
            <w:r w:rsidRPr="004F2199">
              <w:t>Condensers</w:t>
            </w:r>
          </w:p>
          <w:p w:rsidR="00000000" w:rsidRPr="004F2199" w:rsidP="004F2199">
            <w:pPr>
              <w:pStyle w:val="ListBullet"/>
            </w:pPr>
            <w:r w:rsidRPr="004F2199">
              <w:t>Evaporators/cooling coils</w:t>
            </w:r>
          </w:p>
          <w:p w:rsidR="00000000" w:rsidRPr="004F2199" w:rsidP="004F2199">
            <w:pPr>
              <w:pStyle w:val="ListBullet"/>
            </w:pPr>
            <w:r w:rsidRPr="004F2199">
              <w:t>Refrigerant flow controls</w:t>
            </w:r>
          </w:p>
          <w:p w:rsidR="00000000" w:rsidRPr="004F2199" w:rsidP="004F2199">
            <w:pPr>
              <w:pStyle w:val="ListBullet"/>
            </w:pPr>
            <w:r w:rsidRPr="004F2199">
              <w:t>Refrigerant piping and accessories</w:t>
            </w:r>
          </w:p>
          <w:p w:rsidR="00000000" w:rsidRPr="004F2199" w:rsidP="004F2199">
            <w:pPr>
              <w:pStyle w:val="ListBullet"/>
            </w:pPr>
            <w:r w:rsidRPr="004F2199">
              <w:t>Refrigeration systems</w:t>
            </w:r>
          </w:p>
          <w:p w:rsidR="00000000" w:rsidRPr="004F2199" w:rsidP="004F2199">
            <w:pPr>
              <w:pStyle w:val="ListBullet"/>
            </w:pPr>
            <w:r w:rsidRPr="004F2199">
              <w:t>Cycling controls</w:t>
            </w:r>
          </w:p>
          <w:p w:rsidR="00000000" w:rsidRPr="004F2199" w:rsidP="004F2199">
            <w:pPr>
              <w:pStyle w:val="ListBullet"/>
            </w:pPr>
            <w:r w:rsidRPr="004F2199">
              <w:t>Safety controls</w:t>
            </w:r>
          </w:p>
          <w:p w:rsidR="00000000" w:rsidP="004F2199">
            <w:pPr>
              <w:pStyle w:val="ListBullet"/>
              <w:rPr>
                <w:lang w:val="en-NZ"/>
              </w:rPr>
            </w:pPr>
            <w:r w:rsidRPr="004F2199">
              <w:t>Motors</w:t>
            </w:r>
          </w:p>
        </w:tc>
      </w:tr>
      <w:tr w:rsidTr="007B001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At least one of the following apparatus:</w:t>
            </w:r>
          </w:p>
        </w:tc>
      </w:tr>
      <w:tr w:rsidTr="007B001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F2199">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4F2199" w:rsidP="004F2199">
            <w:pPr>
              <w:pStyle w:val="ListBullet"/>
            </w:pPr>
            <w:r w:rsidRPr="004F2199">
              <w:t xml:space="preserve">Water systems, which includes cooling towers, evaporative condensers, evaporative </w:t>
            </w:r>
            <w:r w:rsidRPr="004F2199">
              <w:t>coolers, hot water systems, chilled water systems, pumps, piping and associated equipment</w:t>
            </w:r>
          </w:p>
          <w:p w:rsidR="00000000" w:rsidP="004F2199">
            <w:pPr>
              <w:pStyle w:val="ListBullet"/>
              <w:rPr>
                <w:lang w:val="en-NZ"/>
              </w:rPr>
            </w:pPr>
            <w:r w:rsidRPr="004F2199">
              <w:t>Air distribution systems</w:t>
            </w:r>
          </w:p>
        </w:tc>
      </w:tr>
      <w:tr w:rsidTr="007B001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At least three of the following systems</w:t>
            </w:r>
          </w:p>
        </w:tc>
      </w:tr>
      <w:tr w:rsidTr="007B001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F2199">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4F2199" w:rsidP="004F2199">
            <w:pPr>
              <w:pStyle w:val="ListBullet"/>
            </w:pPr>
            <w:r w:rsidRPr="004F2199">
              <w:t>cool rooms</w:t>
            </w:r>
          </w:p>
          <w:p w:rsidR="00000000" w:rsidRPr="004F2199" w:rsidP="004F2199">
            <w:pPr>
              <w:pStyle w:val="ListBullet"/>
            </w:pPr>
            <w:r w:rsidRPr="004F2199">
              <w:t>freezer rooms</w:t>
            </w:r>
          </w:p>
          <w:p w:rsidR="00000000" w:rsidRPr="004F2199" w:rsidP="004F2199">
            <w:pPr>
              <w:pStyle w:val="ListBullet"/>
            </w:pPr>
            <w:r w:rsidRPr="004F2199">
              <w:t>merchandising and display cabinets</w:t>
            </w:r>
          </w:p>
          <w:p w:rsidR="00000000" w:rsidRPr="004F2199" w:rsidP="004F2199">
            <w:pPr>
              <w:pStyle w:val="ListBullet"/>
            </w:pPr>
            <w:r w:rsidRPr="004F2199">
              <w:t>residential air conditioning systems</w:t>
            </w:r>
          </w:p>
          <w:p w:rsidR="00000000" w:rsidRPr="004F2199" w:rsidP="004F2199">
            <w:pPr>
              <w:pStyle w:val="ListBullet"/>
            </w:pPr>
            <w:r w:rsidRPr="004F2199">
              <w:t>packaged or commercial air conditioning systems</w:t>
            </w:r>
          </w:p>
          <w:p w:rsidR="00000000" w:rsidRPr="004F2199" w:rsidP="004F2199">
            <w:pPr>
              <w:pStyle w:val="ListBullet"/>
            </w:pPr>
            <w:r w:rsidRPr="004F2199">
              <w:t>industrial air conditioning systems</w:t>
            </w:r>
          </w:p>
          <w:p w:rsidR="00000000" w:rsidP="004F2199">
            <w:pPr>
              <w:pStyle w:val="ListBullet"/>
              <w:rPr>
                <w:lang w:val="en-NZ"/>
              </w:rPr>
            </w:pPr>
            <w:r w:rsidRPr="004F2199">
              <w:t>domestic refrigerators and freezers</w:t>
            </w:r>
          </w:p>
        </w:tc>
      </w:tr>
      <w:tr w:rsidTr="007B001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4F2199" w:rsidP="004F2199">
            <w:pPr>
              <w:pStyle w:val="BodyText"/>
            </w:pPr>
            <w:r w:rsidRPr="004F2199">
              <w:t>Generic terms used throughout this Vocational Standard shall be regarded as part of the Range Statement in which competency is demonst</w:t>
            </w:r>
            <w:r w:rsidRPr="004F2199">
              <w:t>rated. The definition of these and other terms that apply are given in Volume 2, Part 2.1.</w:t>
            </w:r>
          </w:p>
        </w:tc>
      </w:tr>
    </w:tbl>
    <w:p w:rsidR="007B0012" w:rsidP="004F2199">
      <w:pPr>
        <w:pStyle w:val="BodyText"/>
      </w:pPr>
    </w:p>
    <w:p w:rsidR="007B0012" w:rsidP="004F2199">
      <w:pPr>
        <w:pStyle w:val="BodyText"/>
      </w:pPr>
    </w:p>
    <w:p w:rsidR="00000000" w:rsidRPr="004F2199" w:rsidP="004F2199">
      <w:pPr>
        <w:pStyle w:val="Heading1"/>
      </w:pPr>
      <w:bookmarkStart w:id="12" w:name="O_589486"/>
      <w:bookmarkEnd w:id="12"/>
      <w:r w:rsidRPr="004F2199">
        <w:t>Unit Sector(s)</w:t>
      </w:r>
    </w:p>
    <w:p w:rsidR="00000000" w:rsidRPr="004F2199" w:rsidP="004F2199">
      <w:pPr>
        <w:pStyle w:val="BodyText"/>
      </w:pPr>
      <w:r w:rsidRPr="004F2199">
        <w:t>Not Applicable</w:t>
      </w:r>
    </w:p>
    <w:p w:rsidR="00000000" w:rsidRPr="004F2199" w:rsidP="004F2199">
      <w:pPr>
        <w:pStyle w:val="AllowPageBreak"/>
      </w:pPr>
    </w:p>
    <w:p w:rsidR="00000000" w:rsidRPr="004F2199" w:rsidP="004F2199">
      <w:pPr>
        <w:pStyle w:val="Heading1"/>
      </w:pPr>
      <w:bookmarkStart w:id="13" w:name="O_589485"/>
      <w:bookmarkEnd w:id="13"/>
      <w:r w:rsidRPr="004F2199">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7B0012">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4F2199" w:rsidP="004F2199">
            <w:pPr>
              <w:pStyle w:val="BodyText"/>
            </w:pPr>
            <w:r w:rsidRPr="004F2199">
              <w:rPr>
                <w:rStyle w:val="SpecialBold"/>
              </w:rPr>
              <w:t>2</w:t>
            </w:r>
            <w:r w:rsidRPr="004F2199">
              <w:t>.</w:t>
            </w:r>
            <w:r w:rsidRPr="004F2199">
              <w:rPr>
                <w:rStyle w:val="SpecialBold"/>
              </w:rPr>
              <w:t>2</w:t>
            </w:r>
            <w:r w:rsidRPr="004F2199">
              <w:t xml:space="preserve">) </w:t>
            </w:r>
            <w:r w:rsidRPr="004F2199">
              <w:rPr>
                <w:rStyle w:val="SpecialBold"/>
              </w:rPr>
              <w:t>Literacy and numeracy skills</w:t>
            </w:r>
          </w:p>
          <w:p w:rsidR="00000000" w:rsidP="004F2199">
            <w:pPr>
              <w:pStyle w:val="BodyText"/>
              <w:rPr>
                <w:lang w:val="en-NZ"/>
              </w:rPr>
            </w:pPr>
            <w:r w:rsidRPr="004F2199">
              <w:t>Participants are best equipped to achieve competency in this unit if they have reading, writing and numeracy skills indicated by the following scales. Description of each scale is given in Volume 2, Part 3 'Literacy and Numeracy'</w:t>
            </w:r>
          </w:p>
        </w:tc>
      </w:tr>
      <w:tr w:rsidTr="007B0012">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Reading</w:t>
            </w:r>
          </w:p>
        </w:tc>
        <w:tc>
          <w:tcPr>
            <w:tcW w:w="1182" w:type="dxa"/>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3</w:t>
            </w:r>
          </w:p>
        </w:tc>
        <w:tc>
          <w:tcPr>
            <w:tcW w:w="1739" w:type="dxa"/>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Writing</w:t>
            </w:r>
          </w:p>
        </w:tc>
        <w:tc>
          <w:tcPr>
            <w:tcW w:w="1182" w:type="dxa"/>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3</w:t>
            </w:r>
          </w:p>
        </w:tc>
        <w:tc>
          <w:tcPr>
            <w:tcW w:w="1721" w:type="dxa"/>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t>Numeracy</w:t>
            </w:r>
          </w:p>
        </w:tc>
        <w:tc>
          <w:tcPr>
            <w:tcW w:w="1182" w:type="dxa"/>
            <w:tcBorders>
              <w:top w:val="nil"/>
              <w:left w:val="nil"/>
              <w:bottom w:val="nil"/>
              <w:right w:val="nil"/>
            </w:tcBorders>
            <w:tcMar>
              <w:top w:w="0" w:type="dxa"/>
              <w:left w:w="62" w:type="dxa"/>
              <w:bottom w:w="0" w:type="dxa"/>
              <w:right w:w="62" w:type="dxa"/>
            </w:tcMar>
          </w:tcPr>
          <w:p w:rsidR="00000000" w:rsidRPr="004F2199" w:rsidP="004F2199">
            <w:pPr>
              <w:pStyle w:val="BodyText"/>
            </w:pPr>
            <w:r w:rsidRPr="004F2199">
              <w:t>3</w:t>
            </w:r>
          </w:p>
        </w:tc>
      </w:tr>
    </w:tbl>
    <w:p w:rsidR="007B0012" w:rsidP="004F2199">
      <w:pPr>
        <w:pStyle w:val="BodyText"/>
      </w:pPr>
    </w:p>
    <w:p w:rsidR="007B0012" w:rsidP="004F2199">
      <w:pPr>
        <w:pStyle w:val="BodyText"/>
      </w:pPr>
    </w:p>
    <w:p w:rsidR="00000000" w:rsidRPr="004F2199" w:rsidP="004F2199">
      <w:pPr>
        <w:pStyle w:val="Heading1"/>
      </w:pPr>
      <w:bookmarkStart w:id="14" w:name="O_589484"/>
      <w:bookmarkEnd w:id="14"/>
      <w:r w:rsidRPr="004F2199">
        <w:t>2.2) Literacy and numeracy skills</w:t>
      </w:r>
    </w:p>
    <w:tbl>
      <w:tblPr>
        <w:tblW w:w="0" w:type="auto"/>
        <w:tblLayout w:type="fixed"/>
        <w:tblCellMar>
          <w:left w:w="62" w:type="dxa"/>
          <w:right w:w="62" w:type="dxa"/>
        </w:tblCellMar>
        <w:tblLook w:val="0000"/>
      </w:tblPr>
      <w:tblGrid>
        <w:gridCol w:w="2700"/>
        <w:gridCol w:w="5760"/>
      </w:tblGrid>
      <w:tr w:rsidTr="007B001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F2199" w:rsidP="004F2199">
            <w:pPr>
              <w:pStyle w:val="BodyText"/>
            </w:pPr>
            <w:r w:rsidRPr="004F219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F2199">
            <w:pPr>
              <w:pStyle w:val="BodyText"/>
              <w:rPr>
                <w:lang w:val="en-NZ"/>
              </w:rPr>
            </w:pPr>
            <w:r w:rsidRPr="004F2199">
              <w:rPr>
                <w:rStyle w:val="SpecialBold"/>
              </w:rPr>
              <w:t>5</w:t>
            </w:r>
            <w:r w:rsidRPr="004F2199">
              <w:t>)</w:t>
            </w:r>
          </w:p>
        </w:tc>
      </w:tr>
      <w:tr w:rsidTr="007B00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F2199" w:rsidP="004F2199">
            <w:pPr>
              <w:pStyle w:val="BodyText"/>
            </w:pPr>
            <w:r w:rsidRPr="004F2199">
              <w:t>Refrigeration and Air Conditioning</w:t>
            </w:r>
          </w:p>
        </w:tc>
      </w:tr>
    </w:tbl>
    <w:p w:rsidR="007B0012" w:rsidP="004F2199">
      <w:pPr>
        <w:pStyle w:val="BodyText"/>
      </w:pPr>
    </w:p>
    <w:p w:rsidR="007B0012" w:rsidP="004F2199">
      <w:pPr>
        <w:pStyle w:val="BodyText"/>
      </w:pPr>
    </w:p>
    <w:p w:rsidR="00000000" w:rsidRPr="004F2199" w:rsidP="004F2199"/>
    <w:sectPr w:rsidSect="004F21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1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199" w:rsidRPr="007B0012" w:rsidP="007B00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1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012" w:rsidP="004F21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15</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7B0012" w:rsidP="004F219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7B0012" w:rsidP="004F21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1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199" w:rsidRPr="007B0012" w:rsidP="007B001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1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012" w:rsidRPr="002D2AF8" w:rsidP="004F2199">
    <w:pPr>
      <w:pStyle w:val="Header"/>
      <w:framePr w:wrap="around"/>
    </w:pPr>
    <w:r>
      <w:fldChar w:fldCharType="begin"/>
    </w:r>
    <w:r>
      <w:instrText xml:space="preserve"> TITLE   \* MERGEFORMAT </w:instrText>
    </w:r>
    <w:r>
      <w:fldChar w:fldCharType="separate"/>
    </w:r>
    <w:r>
      <w:t>UEENEEJ111A Diagnose and rectify faults in air conditioning and refrigeration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7B0012" w:rsidP="004F21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1A4D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26E7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4275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21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2199"/>
    <w:pPr>
      <w:spacing w:before="360" w:after="60"/>
      <w:outlineLvl w:val="0"/>
    </w:pPr>
    <w:rPr>
      <w:sz w:val="32"/>
    </w:rPr>
  </w:style>
  <w:style w:type="paragraph" w:styleId="Heading2">
    <w:name w:val="heading 2"/>
    <w:basedOn w:val="HeadingBase"/>
    <w:next w:val="BodyText"/>
    <w:link w:val="Heading2Char"/>
    <w:qFormat/>
    <w:rsid w:val="004F2199"/>
    <w:pPr>
      <w:keepLines/>
      <w:spacing w:before="240" w:after="120"/>
      <w:outlineLvl w:val="1"/>
    </w:pPr>
    <w:rPr>
      <w:sz w:val="28"/>
      <w:szCs w:val="40"/>
    </w:rPr>
  </w:style>
  <w:style w:type="paragraph" w:styleId="Heading3">
    <w:name w:val="heading 3"/>
    <w:basedOn w:val="HeadingBase"/>
    <w:next w:val="BodyText"/>
    <w:link w:val="Heading3Char"/>
    <w:qFormat/>
    <w:rsid w:val="004F2199"/>
    <w:pPr>
      <w:spacing w:before="180" w:after="120"/>
      <w:outlineLvl w:val="2"/>
    </w:pPr>
    <w:rPr>
      <w:spacing w:val="-10"/>
      <w:kern w:val="32"/>
    </w:rPr>
  </w:style>
  <w:style w:type="paragraph" w:styleId="Heading4">
    <w:name w:val="heading 4"/>
    <w:basedOn w:val="HeadingBase"/>
    <w:next w:val="BodyText"/>
    <w:link w:val="Heading4Char"/>
    <w:qFormat/>
    <w:rsid w:val="004F2199"/>
    <w:pPr>
      <w:spacing w:before="160" w:after="120"/>
      <w:outlineLvl w:val="3"/>
    </w:pPr>
    <w:rPr>
      <w:sz w:val="22"/>
    </w:rPr>
  </w:style>
  <w:style w:type="paragraph" w:styleId="Heading5">
    <w:name w:val="heading 5"/>
    <w:basedOn w:val="HeadingBase"/>
    <w:next w:val="Normal"/>
    <w:link w:val="Heading5Char"/>
    <w:qFormat/>
    <w:rsid w:val="004F2199"/>
    <w:pPr>
      <w:spacing w:before="80"/>
      <w:outlineLvl w:val="4"/>
    </w:pPr>
    <w:rPr>
      <w:color w:val="918585"/>
      <w:sz w:val="20"/>
    </w:rPr>
  </w:style>
  <w:style w:type="paragraph" w:styleId="Heading6">
    <w:name w:val="heading 6"/>
    <w:basedOn w:val="HeadingBase"/>
    <w:next w:val="Normal"/>
    <w:link w:val="Heading6Char"/>
    <w:qFormat/>
    <w:rsid w:val="004F2199"/>
    <w:pPr>
      <w:spacing w:before="60"/>
      <w:outlineLvl w:val="5"/>
    </w:pPr>
    <w:rPr>
      <w:color w:val="918585"/>
      <w:sz w:val="20"/>
    </w:rPr>
  </w:style>
  <w:style w:type="paragraph" w:styleId="Heading7">
    <w:name w:val="heading 7"/>
    <w:basedOn w:val="Normal"/>
    <w:next w:val="Normal"/>
    <w:link w:val="Heading7Char"/>
    <w:qFormat/>
    <w:rsid w:val="004F2199"/>
    <w:pPr>
      <w:ind w:left="720"/>
      <w:outlineLvl w:val="6"/>
    </w:pPr>
    <w:rPr>
      <w:i/>
    </w:rPr>
  </w:style>
  <w:style w:type="paragraph" w:styleId="Heading8">
    <w:name w:val="heading 8"/>
    <w:basedOn w:val="Normal"/>
    <w:next w:val="Normal"/>
    <w:link w:val="Heading8Char"/>
    <w:qFormat/>
    <w:rsid w:val="004F2199"/>
    <w:pPr>
      <w:ind w:left="720"/>
      <w:outlineLvl w:val="7"/>
    </w:pPr>
    <w:rPr>
      <w:i/>
    </w:rPr>
  </w:style>
  <w:style w:type="paragraph" w:styleId="Heading9">
    <w:name w:val="heading 9"/>
    <w:basedOn w:val="Normal"/>
    <w:next w:val="Normal"/>
    <w:link w:val="Heading9Char"/>
    <w:qFormat/>
    <w:rsid w:val="004F2199"/>
    <w:pPr>
      <w:ind w:left="720"/>
      <w:outlineLvl w:val="8"/>
    </w:pPr>
    <w:rPr>
      <w:i/>
    </w:rPr>
  </w:style>
  <w:style w:type="character" w:default="1" w:styleId="DefaultParagraphFont">
    <w:name w:val="Default Paragraph Font"/>
    <w:uiPriority w:val="1"/>
    <w:unhideWhenUsed/>
    <w:rsid w:val="004F21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2199"/>
  </w:style>
  <w:style w:type="character" w:customStyle="1" w:styleId="Heading1Char">
    <w:name w:val="Heading 1 Char"/>
    <w:basedOn w:val="DefaultParagraphFont"/>
    <w:link w:val="Heading1"/>
    <w:rsid w:val="004F2199"/>
    <w:rPr>
      <w:rFonts w:ascii="Times New Roman" w:eastAsia="Times New Roman" w:hAnsi="Times New Roman" w:cs="Times New Roman"/>
      <w:b/>
      <w:sz w:val="32"/>
      <w:szCs w:val="20"/>
      <w:lang w:eastAsia="en-US"/>
    </w:rPr>
  </w:style>
  <w:style w:type="paragraph" w:styleId="BodyText">
    <w:name w:val="Body Text"/>
    <w:basedOn w:val="Normal"/>
    <w:link w:val="BodyTextChar"/>
    <w:rsid w:val="004F219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F2199"/>
    <w:rPr>
      <w:rFonts w:ascii="Times New Roman" w:eastAsia="Times New Roman" w:hAnsi="Times New Roman" w:cs="Times New Roman"/>
      <w:sz w:val="24"/>
      <w:lang w:eastAsia="en-US"/>
    </w:rPr>
  </w:style>
  <w:style w:type="paragraph" w:styleId="ListBullet">
    <w:name w:val="List Bullet"/>
    <w:basedOn w:val="List"/>
    <w:rsid w:val="004F2199"/>
    <w:pPr>
      <w:numPr>
        <w:numId w:val="13"/>
      </w:numPr>
      <w:tabs>
        <w:tab w:val="clear" w:pos="340"/>
      </w:tabs>
      <w:spacing w:before="40" w:after="40"/>
    </w:pPr>
  </w:style>
  <w:style w:type="character" w:customStyle="1" w:styleId="SpecialBold">
    <w:name w:val="Special Bold"/>
    <w:basedOn w:val="DefaultParagraphFont"/>
    <w:rsid w:val="004F2199"/>
    <w:rPr>
      <w:b/>
      <w:spacing w:val="0"/>
    </w:rPr>
  </w:style>
  <w:style w:type="paragraph" w:styleId="ListBullet2">
    <w:name w:val="List Bullet 2"/>
    <w:basedOn w:val="List2"/>
    <w:rsid w:val="004F2199"/>
    <w:pPr>
      <w:numPr>
        <w:numId w:val="14"/>
      </w:numPr>
      <w:tabs>
        <w:tab w:val="clear" w:pos="680"/>
      </w:tabs>
    </w:pPr>
  </w:style>
  <w:style w:type="paragraph" w:customStyle="1" w:styleId="SuperHeading">
    <w:name w:val="SuperHeading"/>
    <w:basedOn w:val="Normal"/>
    <w:rsid w:val="004F2199"/>
    <w:pPr>
      <w:spacing w:before="240" w:after="120"/>
      <w:outlineLvl w:val="0"/>
    </w:pPr>
    <w:rPr>
      <w:rFonts w:ascii="Times New Roman" w:hAnsi="Times New Roman"/>
      <w:b/>
      <w:sz w:val="32"/>
    </w:rPr>
  </w:style>
  <w:style w:type="paragraph" w:customStyle="1" w:styleId="AllowPageBreak">
    <w:name w:val="AllowPageBreak"/>
    <w:rsid w:val="004F21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F21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21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21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21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21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21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21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2199"/>
    <w:rPr>
      <w:rFonts w:ascii="Courier New" w:eastAsia="Times New Roman" w:hAnsi="Courier New" w:cs="Times New Roman"/>
      <w:i/>
      <w:szCs w:val="20"/>
      <w:lang w:eastAsia="en-US"/>
    </w:rPr>
  </w:style>
  <w:style w:type="paragraph" w:customStyle="1" w:styleId="HeadingBase">
    <w:name w:val="Heading Base"/>
    <w:rsid w:val="004F21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2199"/>
    <w:pPr>
      <w:tabs>
        <w:tab w:val="right" w:leader="dot" w:pos="9072"/>
      </w:tabs>
      <w:ind w:left="567"/>
    </w:pPr>
    <w:rPr>
      <w:szCs w:val="22"/>
    </w:rPr>
  </w:style>
  <w:style w:type="paragraph" w:customStyle="1" w:styleId="TOCBase">
    <w:name w:val="TOC Base"/>
    <w:rsid w:val="004F21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2199"/>
    <w:pPr>
      <w:tabs>
        <w:tab w:val="right" w:leader="dot" w:pos="9072"/>
      </w:tabs>
      <w:spacing w:before="40" w:after="40"/>
      <w:ind w:left="284"/>
    </w:pPr>
    <w:rPr>
      <w:rFonts w:ascii="Times New Roman" w:hAnsi="Times New Roman"/>
    </w:rPr>
  </w:style>
  <w:style w:type="paragraph" w:styleId="TOC1">
    <w:name w:val="toc 1"/>
    <w:basedOn w:val="TOCBase"/>
    <w:next w:val="Normal"/>
    <w:rsid w:val="004F21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21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2199"/>
    <w:rPr>
      <w:rFonts w:ascii="Times New Roman" w:eastAsia="Times New Roman" w:hAnsi="Times New Roman" w:cs="Times New Roman"/>
      <w:sz w:val="16"/>
      <w:lang w:eastAsia="en-US"/>
    </w:rPr>
  </w:style>
  <w:style w:type="paragraph" w:styleId="Title">
    <w:name w:val="Title"/>
    <w:basedOn w:val="HeadingBase"/>
    <w:link w:val="TitleChar"/>
    <w:qFormat/>
    <w:rsid w:val="004F2199"/>
    <w:pPr>
      <w:spacing w:before="5040"/>
      <w:jc w:val="center"/>
    </w:pPr>
    <w:rPr>
      <w:sz w:val="48"/>
      <w:szCs w:val="72"/>
      <w:lang w:val="en-US"/>
    </w:rPr>
  </w:style>
  <w:style w:type="character" w:customStyle="1" w:styleId="TitleChar">
    <w:name w:val="Title Char"/>
    <w:basedOn w:val="DefaultParagraphFont"/>
    <w:link w:val="Title"/>
    <w:rsid w:val="004F21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2199"/>
    <w:pPr>
      <w:tabs>
        <w:tab w:val="left" w:pos="3600"/>
        <w:tab w:val="left" w:pos="3958"/>
      </w:tabs>
    </w:pPr>
  </w:style>
  <w:style w:type="paragraph" w:styleId="List">
    <w:name w:val="List"/>
    <w:basedOn w:val="BodyText"/>
    <w:next w:val="BodyText"/>
    <w:rsid w:val="004F2199"/>
    <w:pPr>
      <w:tabs>
        <w:tab w:val="left" w:pos="340"/>
      </w:tabs>
      <w:spacing w:before="60" w:after="60"/>
      <w:ind w:left="340" w:hanging="340"/>
    </w:pPr>
  </w:style>
  <w:style w:type="paragraph" w:customStyle="1" w:styleId="Note">
    <w:name w:val="Note"/>
    <w:basedOn w:val="BodyText"/>
    <w:rsid w:val="004F21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2199"/>
    <w:pPr>
      <w:framePr w:wrap="auto" w:hAnchor="text" w:y="6049"/>
    </w:pPr>
    <w:rPr>
      <w:color w:val="000000"/>
      <w:sz w:val="40"/>
    </w:rPr>
  </w:style>
  <w:style w:type="paragraph" w:customStyle="1" w:styleId="TOCTitle">
    <w:name w:val="TOCTitle"/>
    <w:basedOn w:val="Heading1"/>
    <w:rsid w:val="004F2199"/>
    <w:pPr>
      <w:spacing w:after="240"/>
      <w:jc w:val="center"/>
      <w:outlineLvl w:val="9"/>
    </w:pPr>
    <w:rPr>
      <w:caps/>
    </w:rPr>
  </w:style>
  <w:style w:type="paragraph" w:customStyle="1" w:styleId="Version">
    <w:name w:val="Version"/>
    <w:rsid w:val="004F21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2199"/>
    <w:pPr>
      <w:keepNext w:val="0"/>
      <w:tabs>
        <w:tab w:val="right" w:pos="4176"/>
      </w:tabs>
      <w:ind w:left="198" w:hanging="198"/>
    </w:pPr>
    <w:rPr>
      <w:rFonts w:ascii="Garamond" w:hAnsi="Garamond"/>
    </w:rPr>
  </w:style>
  <w:style w:type="paragraph" w:styleId="IndexHeading">
    <w:name w:val="index heading"/>
    <w:basedOn w:val="Normal"/>
    <w:next w:val="Index1"/>
    <w:semiHidden/>
    <w:rsid w:val="004F2199"/>
    <w:pPr>
      <w:spacing w:before="120" w:after="120"/>
    </w:pPr>
    <w:rPr>
      <w:rFonts w:ascii="Arial" w:hAnsi="Arial"/>
      <w:b/>
      <w:color w:val="918585"/>
      <w:sz w:val="24"/>
    </w:rPr>
  </w:style>
  <w:style w:type="paragraph" w:styleId="Header">
    <w:name w:val="header"/>
    <w:basedOn w:val="Normal"/>
    <w:link w:val="HeaderChar"/>
    <w:rsid w:val="004F21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2199"/>
    <w:rPr>
      <w:rFonts w:ascii="Times New Roman" w:eastAsia="Times New Roman" w:hAnsi="Times New Roman" w:cs="Times New Roman"/>
      <w:sz w:val="16"/>
      <w:szCs w:val="20"/>
      <w:lang w:val="en-GB" w:eastAsia="en-US"/>
    </w:rPr>
  </w:style>
  <w:style w:type="paragraph" w:customStyle="1" w:styleId="Chapter">
    <w:name w:val="Chapter"/>
    <w:basedOn w:val="Normal"/>
    <w:rsid w:val="004F2199"/>
    <w:pPr>
      <w:spacing w:before="240"/>
    </w:pPr>
    <w:rPr>
      <w:rFonts w:ascii="Times New Roman" w:hAnsi="Times New Roman"/>
      <w:smallCaps/>
      <w:spacing w:val="80"/>
      <w:sz w:val="28"/>
    </w:rPr>
  </w:style>
  <w:style w:type="paragraph" w:customStyle="1" w:styleId="InChapter">
    <w:name w:val="InChapter"/>
    <w:basedOn w:val="Heading3"/>
    <w:rsid w:val="004F2199"/>
    <w:pPr>
      <w:spacing w:after="240"/>
      <w:outlineLvl w:val="9"/>
    </w:pPr>
    <w:rPr>
      <w:noProof/>
    </w:rPr>
  </w:style>
  <w:style w:type="paragraph" w:styleId="Index2">
    <w:name w:val="index 2"/>
    <w:basedOn w:val="Normal"/>
    <w:next w:val="Normal"/>
    <w:semiHidden/>
    <w:rsid w:val="004F2199"/>
    <w:pPr>
      <w:tabs>
        <w:tab w:val="right" w:pos="4176"/>
      </w:tabs>
      <w:ind w:left="568" w:hanging="284"/>
    </w:pPr>
    <w:rPr>
      <w:rFonts w:ascii="Garamond" w:hAnsi="Garamond"/>
    </w:rPr>
  </w:style>
  <w:style w:type="paragraph" w:customStyle="1" w:styleId="Byline">
    <w:name w:val="Byline"/>
    <w:rsid w:val="004F21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2199"/>
    <w:pPr>
      <w:tabs>
        <w:tab w:val="clear" w:pos="3600"/>
        <w:tab w:val="clear" w:pos="3958"/>
      </w:tabs>
      <w:jc w:val="right"/>
    </w:pPr>
  </w:style>
  <w:style w:type="character" w:styleId="Emphasis">
    <w:name w:val="Emphasis"/>
    <w:basedOn w:val="DefaultParagraphFont"/>
    <w:qFormat/>
    <w:rsid w:val="004F2199"/>
    <w:rPr>
      <w:i/>
    </w:rPr>
  </w:style>
  <w:style w:type="paragraph" w:styleId="Caption">
    <w:name w:val="caption"/>
    <w:basedOn w:val="BodyText"/>
    <w:next w:val="Normal"/>
    <w:qFormat/>
    <w:rsid w:val="004F2199"/>
    <w:pPr>
      <w:framePr w:w="2268" w:hSpace="181" w:vSpace="181" w:wrap="around" w:vAnchor="text" w:hAnchor="page" w:x="1135" w:y="285" w:anchorLock="1"/>
    </w:pPr>
    <w:rPr>
      <w:i/>
    </w:rPr>
  </w:style>
  <w:style w:type="paragraph" w:customStyle="1" w:styleId="MiniTOCTitle">
    <w:name w:val="MiniTOCTitle"/>
    <w:basedOn w:val="Heading4"/>
    <w:rsid w:val="004F2199"/>
    <w:pPr>
      <w:spacing w:before="240"/>
      <w:outlineLvl w:val="9"/>
    </w:pPr>
    <w:rPr>
      <w:noProof/>
      <w:sz w:val="24"/>
    </w:rPr>
  </w:style>
  <w:style w:type="paragraph" w:customStyle="1" w:styleId="MiniTOCItem">
    <w:name w:val="MiniTOCItem"/>
    <w:basedOn w:val="ListBullet"/>
    <w:rsid w:val="004F2199"/>
    <w:pPr>
      <w:numPr>
        <w:numId w:val="0"/>
      </w:numPr>
      <w:tabs>
        <w:tab w:val="right" w:leader="dot" w:pos="6521"/>
      </w:tabs>
      <w:spacing w:before="0" w:after="0"/>
    </w:pPr>
  </w:style>
  <w:style w:type="paragraph" w:customStyle="1" w:styleId="TOFTitle">
    <w:name w:val="TOFTitle"/>
    <w:basedOn w:val="TOCTitle"/>
    <w:rsid w:val="004F2199"/>
  </w:style>
  <w:style w:type="paragraph" w:styleId="TableofFigures">
    <w:name w:val="table of figures"/>
    <w:basedOn w:val="Normal"/>
    <w:next w:val="Normal"/>
    <w:semiHidden/>
    <w:rsid w:val="004F2199"/>
    <w:pPr>
      <w:tabs>
        <w:tab w:val="right" w:leader="dot" w:pos="9072"/>
      </w:tabs>
      <w:ind w:left="970" w:hanging="403"/>
    </w:pPr>
    <w:rPr>
      <w:rFonts w:ascii="Times New Roman" w:hAnsi="Times New Roman"/>
      <w:b/>
    </w:rPr>
  </w:style>
  <w:style w:type="paragraph" w:styleId="ListNumber">
    <w:name w:val="List Number"/>
    <w:basedOn w:val="List"/>
    <w:rsid w:val="004F2199"/>
    <w:pPr>
      <w:numPr>
        <w:numId w:val="11"/>
      </w:numPr>
    </w:pPr>
  </w:style>
  <w:style w:type="character" w:customStyle="1" w:styleId="WingdingSymbols">
    <w:name w:val="Wingding Symbols"/>
    <w:rsid w:val="004F2199"/>
    <w:rPr>
      <w:rFonts w:ascii="Wingdings" w:hAnsi="Wingdings"/>
    </w:rPr>
  </w:style>
  <w:style w:type="paragraph" w:customStyle="1" w:styleId="TableHeading">
    <w:name w:val="Table Heading"/>
    <w:basedOn w:val="HeadingBase"/>
    <w:rsid w:val="004F2199"/>
    <w:pPr>
      <w:keepLines/>
      <w:pBdr>
        <w:bottom w:val="single" w:sz="6" w:space="1" w:color="918585"/>
      </w:pBdr>
      <w:spacing w:before="240"/>
    </w:pPr>
  </w:style>
  <w:style w:type="character" w:customStyle="1" w:styleId="HotSpot">
    <w:name w:val="HotSpot"/>
    <w:rsid w:val="004F2199"/>
    <w:rPr>
      <w:color w:val="0033CC"/>
      <w:u w:val="none"/>
    </w:rPr>
  </w:style>
  <w:style w:type="paragraph" w:customStyle="1" w:styleId="BodyTextRight">
    <w:name w:val="Body Text Right"/>
    <w:basedOn w:val="BodyText"/>
    <w:rsid w:val="004F2199"/>
    <w:pPr>
      <w:spacing w:before="0" w:after="0"/>
      <w:jc w:val="right"/>
    </w:pPr>
  </w:style>
  <w:style w:type="paragraph" w:styleId="Index3">
    <w:name w:val="index 3"/>
    <w:basedOn w:val="ListNumber2"/>
    <w:next w:val="Normal"/>
    <w:semiHidden/>
    <w:rsid w:val="004F2199"/>
    <w:pPr>
      <w:numPr>
        <w:numId w:val="0"/>
      </w:numPr>
      <w:tabs>
        <w:tab w:val="right" w:leader="dot" w:pos="4176"/>
      </w:tabs>
    </w:pPr>
  </w:style>
  <w:style w:type="paragraph" w:styleId="ListNumber2">
    <w:name w:val="List Number 2"/>
    <w:basedOn w:val="List2"/>
    <w:rsid w:val="004F2199"/>
    <w:pPr>
      <w:numPr>
        <w:numId w:val="10"/>
      </w:numPr>
      <w:tabs>
        <w:tab w:val="clear" w:pos="1060"/>
      </w:tabs>
    </w:pPr>
  </w:style>
  <w:style w:type="paragraph" w:customStyle="1" w:styleId="MarginNote">
    <w:name w:val="Margin Note"/>
    <w:basedOn w:val="BodyText"/>
    <w:rsid w:val="004F21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21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21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2199"/>
    <w:rPr>
      <w:sz w:val="32"/>
    </w:rPr>
  </w:style>
  <w:style w:type="paragraph" w:customStyle="1" w:styleId="HeadingProcedure">
    <w:name w:val="Heading Procedure"/>
    <w:basedOn w:val="HeadingBase"/>
    <w:next w:val="Normal"/>
    <w:rsid w:val="004F2199"/>
    <w:pPr>
      <w:tabs>
        <w:tab w:val="left" w:pos="0"/>
      </w:tabs>
      <w:spacing w:before="120" w:after="60"/>
    </w:pPr>
    <w:rPr>
      <w:i/>
      <w:color w:val="918585"/>
      <w:sz w:val="22"/>
    </w:rPr>
  </w:style>
  <w:style w:type="paragraph" w:customStyle="1" w:styleId="TableBodyText">
    <w:name w:val="Table Body Text"/>
    <w:basedOn w:val="BodyText"/>
    <w:rsid w:val="004F2199"/>
    <w:pPr>
      <w:spacing w:before="60" w:after="60"/>
    </w:pPr>
  </w:style>
  <w:style w:type="paragraph" w:styleId="ListContinue">
    <w:name w:val="List Continue"/>
    <w:basedOn w:val="List"/>
    <w:rsid w:val="004F2199"/>
    <w:pPr>
      <w:ind w:firstLine="0"/>
    </w:pPr>
  </w:style>
  <w:style w:type="paragraph" w:customStyle="1" w:styleId="ListNote">
    <w:name w:val="List Note"/>
    <w:basedOn w:val="List"/>
    <w:rsid w:val="004F2199"/>
    <w:pPr>
      <w:pBdr>
        <w:top w:val="single" w:sz="6" w:space="2" w:color="918585"/>
        <w:bottom w:val="single" w:sz="6" w:space="2" w:color="918585"/>
      </w:pBdr>
      <w:tabs>
        <w:tab w:val="left" w:pos="1021"/>
      </w:tabs>
      <w:ind w:firstLine="0"/>
    </w:pPr>
  </w:style>
  <w:style w:type="paragraph" w:customStyle="1" w:styleId="Warning">
    <w:name w:val="Warning"/>
    <w:basedOn w:val="BodyText"/>
    <w:rsid w:val="004F2199"/>
    <w:pPr>
      <w:shd w:val="clear" w:color="auto" w:fill="D9D9D9"/>
      <w:tabs>
        <w:tab w:val="left" w:pos="992"/>
      </w:tabs>
      <w:ind w:left="119" w:right="119"/>
    </w:pPr>
    <w:rPr>
      <w:sz w:val="20"/>
    </w:rPr>
  </w:style>
  <w:style w:type="paragraph" w:customStyle="1" w:styleId="MarginIcons">
    <w:name w:val="Margin Icons"/>
    <w:basedOn w:val="BodyText"/>
    <w:rsid w:val="004F21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2199"/>
    <w:rPr>
      <w:rFonts w:ascii="Courier New" w:hAnsi="Courier New"/>
    </w:rPr>
  </w:style>
  <w:style w:type="paragraph" w:customStyle="1" w:styleId="NoteBullet">
    <w:name w:val="Note Bullet"/>
    <w:basedOn w:val="Note"/>
    <w:rsid w:val="004F2199"/>
    <w:pPr>
      <w:tabs>
        <w:tab w:val="clear" w:pos="680"/>
      </w:tabs>
      <w:spacing w:before="60" w:after="60"/>
    </w:pPr>
  </w:style>
  <w:style w:type="paragraph" w:customStyle="1" w:styleId="SubHeading2">
    <w:name w:val="SubHeading2"/>
    <w:basedOn w:val="HeadingBase"/>
    <w:rsid w:val="004F2199"/>
    <w:pPr>
      <w:spacing w:before="240" w:after="60"/>
    </w:pPr>
    <w:rPr>
      <w:sz w:val="20"/>
    </w:rPr>
  </w:style>
  <w:style w:type="paragraph" w:customStyle="1" w:styleId="SubHeading1">
    <w:name w:val="SubHeading1"/>
    <w:basedOn w:val="HeadingBase"/>
    <w:rsid w:val="004F2199"/>
    <w:pPr>
      <w:spacing w:before="240" w:after="60"/>
    </w:pPr>
    <w:rPr>
      <w:color w:val="918585"/>
      <w:sz w:val="22"/>
    </w:rPr>
  </w:style>
  <w:style w:type="paragraph" w:customStyle="1" w:styleId="SideHeading">
    <w:name w:val="Side Heading"/>
    <w:basedOn w:val="HeadingBase"/>
    <w:rsid w:val="004F21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2199"/>
    <w:pPr>
      <w:numPr>
        <w:numId w:val="12"/>
      </w:numPr>
    </w:pPr>
  </w:style>
  <w:style w:type="paragraph" w:styleId="PlainText">
    <w:name w:val="Plain Text"/>
    <w:basedOn w:val="Normal"/>
    <w:link w:val="PlainTextChar"/>
    <w:rsid w:val="004F2199"/>
    <w:rPr>
      <w:sz w:val="20"/>
    </w:rPr>
  </w:style>
  <w:style w:type="character" w:customStyle="1" w:styleId="PlainTextChar">
    <w:name w:val="Plain Text Char"/>
    <w:basedOn w:val="DefaultParagraphFont"/>
    <w:link w:val="PlainText"/>
    <w:rsid w:val="004F2199"/>
    <w:rPr>
      <w:rFonts w:ascii="Courier New" w:eastAsia="Times New Roman" w:hAnsi="Courier New" w:cs="Times New Roman"/>
      <w:sz w:val="20"/>
      <w:szCs w:val="20"/>
      <w:lang w:eastAsia="en-US"/>
    </w:rPr>
  </w:style>
  <w:style w:type="character" w:customStyle="1" w:styleId="MenuOption">
    <w:name w:val="Menu Option"/>
    <w:basedOn w:val="DefaultParagraphFont"/>
    <w:rsid w:val="004F2199"/>
    <w:rPr>
      <w:b/>
      <w:smallCaps/>
    </w:rPr>
  </w:style>
  <w:style w:type="paragraph" w:customStyle="1" w:styleId="TableListNumber">
    <w:name w:val="Table List Number"/>
    <w:basedOn w:val="ListNumber"/>
    <w:rsid w:val="004F2199"/>
    <w:pPr>
      <w:numPr>
        <w:numId w:val="0"/>
      </w:numPr>
    </w:pPr>
  </w:style>
  <w:style w:type="paragraph" w:styleId="TOC4">
    <w:name w:val="toc 4"/>
    <w:basedOn w:val="TOCBase"/>
    <w:next w:val="Normal"/>
    <w:semiHidden/>
    <w:rsid w:val="004F2199"/>
    <w:pPr>
      <w:tabs>
        <w:tab w:val="right" w:leader="dot" w:pos="9071"/>
      </w:tabs>
      <w:ind w:left="1701"/>
    </w:pPr>
  </w:style>
  <w:style w:type="paragraph" w:customStyle="1" w:styleId="ListAlpha">
    <w:name w:val="List Alpha"/>
    <w:basedOn w:val="List"/>
    <w:rsid w:val="004F2199"/>
    <w:pPr>
      <w:numPr>
        <w:numId w:val="9"/>
      </w:numPr>
    </w:pPr>
  </w:style>
  <w:style w:type="paragraph" w:customStyle="1" w:styleId="ListAlpha2">
    <w:name w:val="List Alpha 2"/>
    <w:basedOn w:val="List2"/>
    <w:rsid w:val="004F2199"/>
    <w:pPr>
      <w:numPr>
        <w:numId w:val="8"/>
      </w:numPr>
    </w:pPr>
  </w:style>
  <w:style w:type="paragraph" w:styleId="List2">
    <w:name w:val="List 2"/>
    <w:basedOn w:val="BodyText"/>
    <w:rsid w:val="004F2199"/>
    <w:pPr>
      <w:tabs>
        <w:tab w:val="left" w:pos="680"/>
      </w:tabs>
      <w:spacing w:before="60" w:after="60"/>
      <w:ind w:left="680" w:hanging="340"/>
    </w:pPr>
  </w:style>
  <w:style w:type="paragraph" w:styleId="List3">
    <w:name w:val="List 3"/>
    <w:basedOn w:val="BodyText"/>
    <w:rsid w:val="004F2199"/>
    <w:pPr>
      <w:tabs>
        <w:tab w:val="left" w:pos="1021"/>
      </w:tabs>
      <w:spacing w:before="60" w:after="60"/>
      <w:ind w:left="1020" w:hanging="340"/>
    </w:pPr>
  </w:style>
  <w:style w:type="paragraph" w:styleId="List4">
    <w:name w:val="List 4"/>
    <w:basedOn w:val="BodyText"/>
    <w:rsid w:val="004F2199"/>
    <w:pPr>
      <w:tabs>
        <w:tab w:val="left" w:pos="1361"/>
      </w:tabs>
      <w:spacing w:before="60" w:after="60"/>
      <w:ind w:left="1361" w:hanging="340"/>
    </w:pPr>
  </w:style>
  <w:style w:type="paragraph" w:styleId="List5">
    <w:name w:val="List 5"/>
    <w:basedOn w:val="BodyText"/>
    <w:rsid w:val="004F2199"/>
    <w:pPr>
      <w:tabs>
        <w:tab w:val="left" w:pos="1701"/>
      </w:tabs>
      <w:spacing w:before="60" w:after="60"/>
      <w:ind w:left="1701" w:hanging="340"/>
    </w:pPr>
  </w:style>
  <w:style w:type="paragraph" w:styleId="ListBullet3">
    <w:name w:val="List Bullet 3"/>
    <w:basedOn w:val="List3"/>
    <w:rsid w:val="004F2199"/>
    <w:pPr>
      <w:numPr>
        <w:numId w:val="15"/>
      </w:numPr>
      <w:tabs>
        <w:tab w:val="clear" w:pos="1021"/>
      </w:tabs>
      <w:ind w:left="1037" w:hanging="357"/>
    </w:pPr>
  </w:style>
  <w:style w:type="paragraph" w:styleId="ListBullet4">
    <w:name w:val="List Bullet 4"/>
    <w:basedOn w:val="List4"/>
    <w:rsid w:val="004F2199"/>
    <w:pPr>
      <w:numPr>
        <w:numId w:val="3"/>
      </w:numPr>
    </w:pPr>
  </w:style>
  <w:style w:type="paragraph" w:styleId="ListBullet5">
    <w:name w:val="List Bullet 5"/>
    <w:basedOn w:val="List5"/>
    <w:rsid w:val="004F2199"/>
    <w:pPr>
      <w:numPr>
        <w:numId w:val="4"/>
      </w:numPr>
    </w:pPr>
  </w:style>
  <w:style w:type="paragraph" w:styleId="ListContinue2">
    <w:name w:val="List Continue 2"/>
    <w:basedOn w:val="List2"/>
    <w:rsid w:val="004F2199"/>
    <w:pPr>
      <w:ind w:firstLine="0"/>
    </w:pPr>
  </w:style>
  <w:style w:type="paragraph" w:styleId="ListContinue3">
    <w:name w:val="List Continue 3"/>
    <w:basedOn w:val="List3"/>
    <w:rsid w:val="004F2199"/>
    <w:pPr>
      <w:ind w:left="1021" w:firstLine="0"/>
    </w:pPr>
  </w:style>
  <w:style w:type="paragraph" w:styleId="ListContinue4">
    <w:name w:val="List Continue 4"/>
    <w:basedOn w:val="List4"/>
    <w:rsid w:val="004F2199"/>
    <w:pPr>
      <w:ind w:firstLine="0"/>
    </w:pPr>
  </w:style>
  <w:style w:type="paragraph" w:styleId="ListContinue5">
    <w:name w:val="List Continue 5"/>
    <w:basedOn w:val="List5"/>
    <w:rsid w:val="004F2199"/>
    <w:pPr>
      <w:ind w:firstLine="0"/>
    </w:pPr>
  </w:style>
  <w:style w:type="paragraph" w:styleId="ListNumber3">
    <w:name w:val="List Number 3"/>
    <w:basedOn w:val="List3"/>
    <w:rsid w:val="004F2199"/>
    <w:pPr>
      <w:numPr>
        <w:numId w:val="5"/>
      </w:numPr>
    </w:pPr>
  </w:style>
  <w:style w:type="paragraph" w:styleId="ListNumber4">
    <w:name w:val="List Number 4"/>
    <w:basedOn w:val="List4"/>
    <w:rsid w:val="004F2199"/>
    <w:pPr>
      <w:numPr>
        <w:numId w:val="6"/>
      </w:numPr>
    </w:pPr>
  </w:style>
  <w:style w:type="paragraph" w:styleId="ListNumber5">
    <w:name w:val="List Number 5"/>
    <w:basedOn w:val="List5"/>
    <w:rsid w:val="004F2199"/>
    <w:pPr>
      <w:numPr>
        <w:numId w:val="7"/>
      </w:numPr>
    </w:pPr>
  </w:style>
  <w:style w:type="paragraph" w:styleId="BlockText">
    <w:name w:val="Block Text"/>
    <w:basedOn w:val="Normal"/>
    <w:rsid w:val="004F2199"/>
    <w:pPr>
      <w:spacing w:after="120"/>
      <w:ind w:left="1440" w:right="1440"/>
    </w:pPr>
  </w:style>
  <w:style w:type="character" w:customStyle="1" w:styleId="Subscript">
    <w:name w:val="Subscript"/>
    <w:basedOn w:val="DefaultParagraphFont"/>
    <w:rsid w:val="004F2199"/>
    <w:rPr>
      <w:sz w:val="16"/>
      <w:vertAlign w:val="subscript"/>
    </w:rPr>
  </w:style>
  <w:style w:type="character" w:customStyle="1" w:styleId="Superscript">
    <w:name w:val="Superscript"/>
    <w:basedOn w:val="DefaultParagraphFont"/>
    <w:rsid w:val="004F2199"/>
    <w:rPr>
      <w:sz w:val="16"/>
      <w:vertAlign w:val="superscript"/>
    </w:rPr>
  </w:style>
  <w:style w:type="character" w:customStyle="1" w:styleId="Symbols">
    <w:name w:val="Symbols"/>
    <w:basedOn w:val="DefaultParagraphFont"/>
    <w:rsid w:val="004F2199"/>
    <w:rPr>
      <w:rFonts w:ascii="Symbol" w:hAnsi="Symbol"/>
    </w:rPr>
  </w:style>
  <w:style w:type="character" w:customStyle="1" w:styleId="MenuOptions">
    <w:name w:val="Menu Options"/>
    <w:basedOn w:val="DefaultParagraphFont"/>
    <w:rsid w:val="004F2199"/>
    <w:rPr>
      <w:rFonts w:ascii="Arial Narrow" w:hAnsi="Arial Narrow"/>
      <w:smallCaps/>
    </w:rPr>
  </w:style>
  <w:style w:type="character" w:customStyle="1" w:styleId="Buttons">
    <w:name w:val="Buttons"/>
    <w:basedOn w:val="DefaultParagraphFont"/>
    <w:rsid w:val="004F2199"/>
    <w:rPr>
      <w:b/>
    </w:rPr>
  </w:style>
  <w:style w:type="character" w:customStyle="1" w:styleId="Underlined">
    <w:name w:val="Underlined"/>
    <w:basedOn w:val="DefaultParagraphFont"/>
    <w:rsid w:val="004F2199"/>
    <w:rPr>
      <w:u w:val="single"/>
    </w:rPr>
  </w:style>
  <w:style w:type="paragraph" w:customStyle="1" w:styleId="TableBodyTextRight">
    <w:name w:val="Table Body Text Right"/>
    <w:basedOn w:val="TableBodyText"/>
    <w:rsid w:val="004F2199"/>
    <w:pPr>
      <w:widowControl w:val="0"/>
      <w:autoSpaceDE w:val="0"/>
      <w:autoSpaceDN w:val="0"/>
      <w:adjustRightInd w:val="0"/>
      <w:jc w:val="right"/>
    </w:pPr>
    <w:rPr>
      <w:rFonts w:cs="Arial"/>
      <w:szCs w:val="18"/>
    </w:rPr>
  </w:style>
  <w:style w:type="paragraph" w:customStyle="1" w:styleId="CopyrightText">
    <w:name w:val="Copyright Text"/>
    <w:basedOn w:val="BodyText"/>
    <w:rsid w:val="004F2199"/>
    <w:rPr>
      <w:sz w:val="18"/>
    </w:rPr>
  </w:style>
  <w:style w:type="paragraph" w:customStyle="1" w:styleId="BodySmallRight">
    <w:name w:val="Body Small Right"/>
    <w:basedOn w:val="BodyTextRight"/>
    <w:rsid w:val="004F2199"/>
    <w:rPr>
      <w:sz w:val="18"/>
      <w:szCs w:val="18"/>
    </w:rPr>
  </w:style>
  <w:style w:type="paragraph" w:customStyle="1" w:styleId="MarginEdition">
    <w:name w:val="Margin Edition"/>
    <w:basedOn w:val="MarginNote"/>
    <w:rsid w:val="004F2199"/>
    <w:pPr>
      <w:spacing w:before="0" w:after="0"/>
    </w:pPr>
    <w:rPr>
      <w:rFonts w:ascii="Times New Roman" w:hAnsi="Times New Roman"/>
      <w:color w:val="999999"/>
    </w:rPr>
  </w:style>
  <w:style w:type="paragraph" w:customStyle="1" w:styleId="Spacer">
    <w:name w:val="Spacer"/>
    <w:basedOn w:val="Normal"/>
    <w:rsid w:val="004F2199"/>
    <w:rPr>
      <w:sz w:val="2"/>
      <w:szCs w:val="2"/>
    </w:rPr>
  </w:style>
  <w:style w:type="character" w:customStyle="1" w:styleId="Small">
    <w:name w:val="Small"/>
    <w:basedOn w:val="DefaultParagraphFont"/>
    <w:rsid w:val="004F2199"/>
    <w:rPr>
      <w:sz w:val="16"/>
    </w:rPr>
  </w:style>
  <w:style w:type="paragraph" w:customStyle="1" w:styleId="WideTable">
    <w:name w:val="Wide Table"/>
    <w:basedOn w:val="Normal"/>
    <w:rsid w:val="004F2199"/>
    <w:pPr>
      <w:ind w:left="-1418"/>
    </w:pPr>
    <w:rPr>
      <w:sz w:val="2"/>
      <w:szCs w:val="2"/>
    </w:rPr>
  </w:style>
  <w:style w:type="character" w:styleId="PageNumber">
    <w:name w:val="page number"/>
    <w:basedOn w:val="DefaultParagraphFont"/>
    <w:rsid w:val="004F2199"/>
  </w:style>
  <w:style w:type="paragraph" w:styleId="Quote">
    <w:name w:val="Quote"/>
    <w:basedOn w:val="Heading1"/>
    <w:link w:val="QuoteChar"/>
    <w:qFormat/>
    <w:rsid w:val="004F2199"/>
    <w:rPr>
      <w:b w:val="0"/>
      <w:sz w:val="72"/>
      <w:szCs w:val="72"/>
      <w:lang w:val="en-NZ"/>
    </w:rPr>
  </w:style>
  <w:style w:type="character" w:customStyle="1" w:styleId="QuoteChar">
    <w:name w:val="Quote Char"/>
    <w:basedOn w:val="DefaultParagraphFont"/>
    <w:link w:val="Quote"/>
    <w:rsid w:val="004F21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2199"/>
    <w:pPr>
      <w:pageBreakBefore/>
    </w:pPr>
  </w:style>
  <w:style w:type="paragraph" w:customStyle="1" w:styleId="Border">
    <w:name w:val="Border"/>
    <w:basedOn w:val="Normal"/>
    <w:qFormat/>
    <w:rsid w:val="004F21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2199"/>
    <w:rPr>
      <w:b/>
      <w:bCs/>
      <w:i/>
      <w:iCs/>
      <w:color w:val="auto"/>
    </w:rPr>
  </w:style>
  <w:style w:type="paragraph" w:styleId="IntenseQuote">
    <w:name w:val="Intense Quote"/>
    <w:basedOn w:val="Normal"/>
    <w:next w:val="Normal"/>
    <w:link w:val="IntenseQuoteChar"/>
    <w:uiPriority w:val="30"/>
    <w:qFormat/>
    <w:rsid w:val="004F21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21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2199"/>
    <w:rPr>
      <w:smallCaps/>
      <w:color w:val="auto"/>
      <w:u w:val="single"/>
    </w:rPr>
  </w:style>
  <w:style w:type="character" w:styleId="IntenseReference">
    <w:name w:val="Intense Reference"/>
    <w:basedOn w:val="DefaultParagraphFont"/>
    <w:uiPriority w:val="32"/>
    <w:qFormat/>
    <w:rsid w:val="004F2199"/>
    <w:rPr>
      <w:b/>
      <w:bCs/>
      <w:smallCaps/>
      <w:color w:val="auto"/>
      <w:spacing w:val="5"/>
      <w:u w:val="single"/>
    </w:rPr>
  </w:style>
  <w:style w:type="paragraph" w:customStyle="1" w:styleId="2ColumnHeading">
    <w:name w:val="2Column Heading"/>
    <w:basedOn w:val="BodyText"/>
    <w:qFormat/>
    <w:rsid w:val="004F2199"/>
    <w:pPr>
      <w:spacing w:after="60"/>
      <w:ind w:left="-2268"/>
    </w:pPr>
    <w:rPr>
      <w:b/>
    </w:rPr>
  </w:style>
  <w:style w:type="paragraph" w:customStyle="1" w:styleId="Heading1TOC">
    <w:name w:val="Heading1 TOC"/>
    <w:basedOn w:val="Normal"/>
    <w:qFormat/>
    <w:rsid w:val="004F2199"/>
    <w:pPr>
      <w:spacing w:before="240" w:after="120"/>
    </w:pPr>
    <w:rPr>
      <w:rFonts w:ascii="Times New Roman" w:hAnsi="Times New Roman"/>
      <w:b/>
      <w:sz w:val="32"/>
    </w:rPr>
  </w:style>
  <w:style w:type="paragraph" w:customStyle="1" w:styleId="Heading2TOC">
    <w:name w:val="Heading2 TOC"/>
    <w:basedOn w:val="Normal"/>
    <w:qFormat/>
    <w:rsid w:val="004F2199"/>
    <w:pPr>
      <w:spacing w:before="240" w:after="60"/>
    </w:pPr>
    <w:rPr>
      <w:rFonts w:ascii="Times New Roman" w:hAnsi="Times New Roman"/>
      <w:b/>
      <w:sz w:val="28"/>
    </w:rPr>
  </w:style>
  <w:style w:type="character" w:customStyle="1" w:styleId="Underline">
    <w:name w:val="Underline"/>
    <w:basedOn w:val="DefaultParagraphFont"/>
    <w:qFormat/>
    <w:rsid w:val="004F2199"/>
    <w:rPr>
      <w:u w:val="single"/>
    </w:rPr>
  </w:style>
  <w:style w:type="character" w:customStyle="1" w:styleId="BoldandItalics">
    <w:name w:val="Bold and Italics"/>
    <w:qFormat/>
    <w:rsid w:val="004F2199"/>
    <w:rPr>
      <w:b/>
      <w:i/>
      <w:u w:val="none"/>
    </w:rPr>
  </w:style>
  <w:style w:type="paragraph" w:styleId="BalloonText">
    <w:name w:val="Balloon Text"/>
    <w:basedOn w:val="Normal"/>
    <w:link w:val="BalloonTextChar"/>
    <w:rsid w:val="004F2199"/>
    <w:rPr>
      <w:rFonts w:ascii="Tahoma" w:hAnsi="Tahoma" w:cs="Tahoma"/>
      <w:sz w:val="16"/>
      <w:szCs w:val="16"/>
    </w:rPr>
  </w:style>
  <w:style w:type="character" w:customStyle="1" w:styleId="BalloonTextChar">
    <w:name w:val="Balloon Text Char"/>
    <w:basedOn w:val="DefaultParagraphFont"/>
    <w:link w:val="BalloonText"/>
    <w:rsid w:val="004F21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219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F21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2199"/>
    <w:rPr>
      <w:b/>
      <w:color w:val="660033"/>
      <w:spacing w:val="0"/>
    </w:rPr>
  </w:style>
  <w:style w:type="paragraph" w:customStyle="1" w:styleId="Nameditemlist">
    <w:name w:val="Named item list"/>
    <w:basedOn w:val="BodyText"/>
    <w:qFormat/>
    <w:rsid w:val="004F219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2467</Words>
  <Characters>15232</Characters>
  <Application>Microsoft Office Word</Application>
  <DocSecurity>0</DocSecurity>
  <Lines>592</Lines>
  <Paragraphs>249</Paragraphs>
  <ScaleCrop>false</ScaleCrop>
  <Company>Author-it Software Corporation Ltd.</Company>
  <LinksUpToDate>false</LinksUpToDate>
  <CharactersWithSpaces>17548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UEENEEJ111A Diagnose and rectify faults in air conditioning and refrigeration systems and components</dc:title>
  <dc:subject>Approved</dc:subject>
  <dc:creator>E-OZ Training Standards</dc:creator>
  <cp:keywords>Release 3</cp:keywords>
  <dc:description>Review Date: 12 April 2008</dc:description>
  <cp:lastModifiedBy>TPCMS</cp:lastModifiedBy>
  <cp:revision>3</cp:revision>
  <dcterms:created xsi:type="dcterms:W3CDTF">2013-08-14T01:10:00Z</dcterms:created>
  <dcterms:modified xsi:type="dcterms:W3CDTF">2013-08-14T01:10:00Z</dcterms:modified>
</cp:coreProperties>
</file>