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F41" w:rsidP="00BB7F41">
      <w:pPr>
        <w:pStyle w:val="Title"/>
      </w:pPr>
      <w:r>
        <w:fldChar w:fldCharType="begin"/>
      </w:r>
      <w:r>
        <w:instrText xml:space="preserve"> TITLE   \* MERGEFORMAT </w:instrText>
      </w:r>
      <w:r>
        <w:fldChar w:fldCharType="separate"/>
      </w:r>
      <w:r>
        <w:t>UEENEEJ110A Select refrigerant piping, accessories and associated controls</w:t>
      </w:r>
      <w:r>
        <w:fldChar w:fldCharType="end"/>
      </w:r>
    </w:p>
    <w:p w:rsidR="00BB7F41" w:rsidP="00BB7F41">
      <w:pPr>
        <w:pStyle w:val="Version"/>
        <w:sectPr w:rsidSect="009B37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B3798" w:rsidP="009B3798">
      <w:pPr>
        <w:pStyle w:val="SuperHeading"/>
      </w:pPr>
      <w:r w:rsidRPr="009B3798">
        <w:t>UEENEEJ110A Select refrigerant piping, accessories and associated controls</w:t>
      </w:r>
    </w:p>
    <w:p w:rsidR="00000000" w:rsidRPr="009B3798" w:rsidP="009B3798">
      <w:pPr>
        <w:pStyle w:val="Heading1"/>
      </w:pPr>
      <w:bookmarkStart w:id="1" w:name="O_589482"/>
      <w:bookmarkEnd w:id="1"/>
      <w:r w:rsidRPr="009B3798">
        <w:t>Modification History</w:t>
      </w:r>
    </w:p>
    <w:p w:rsidR="00000000" w:rsidRPr="009B3798" w:rsidP="009B3798">
      <w:pPr>
        <w:pStyle w:val="BodyText"/>
      </w:pPr>
      <w:r w:rsidRPr="009B3798">
        <w:t>Not Applicable</w:t>
      </w:r>
    </w:p>
    <w:p w:rsidR="00000000" w:rsidRPr="009B3798" w:rsidP="009B3798">
      <w:pPr>
        <w:pStyle w:val="AllowPageBreak"/>
      </w:pPr>
    </w:p>
    <w:p w:rsidR="00000000" w:rsidRPr="009B3798" w:rsidP="009B3798">
      <w:pPr>
        <w:pStyle w:val="Heading1"/>
      </w:pPr>
      <w:bookmarkStart w:id="2" w:name="O_589481"/>
      <w:bookmarkEnd w:id="2"/>
      <w:r w:rsidRPr="009B3798">
        <w:t>Unit Descriptor</w:t>
      </w:r>
    </w:p>
    <w:tbl>
      <w:tblPr>
        <w:tblW w:w="0" w:type="auto"/>
        <w:tblLayout w:type="fixed"/>
        <w:tblCellMar>
          <w:left w:w="62" w:type="dxa"/>
          <w:right w:w="62" w:type="dxa"/>
        </w:tblCellMar>
        <w:tblLook w:val="0000"/>
      </w:tblPr>
      <w:tblGrid>
        <w:gridCol w:w="2700"/>
        <w:gridCol w:w="5760"/>
      </w:tblGrid>
      <w:tr w:rsidTr="00BB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1</w:t>
            </w:r>
            <w:r w:rsidRPr="009B3798">
              <w:t xml:space="preserve">) </w:t>
            </w:r>
          </w:p>
          <w:p w:rsidR="00000000" w:rsidP="009B3798">
            <w:pPr>
              <w:pStyle w:val="BodyText"/>
              <w:rPr>
                <w:lang w:val="en-NZ"/>
              </w:rPr>
            </w:pPr>
            <w:r w:rsidRPr="009B3798">
              <w:rPr>
                <w:rStyle w:val="SpecialBold"/>
              </w:rPr>
              <w:t>1</w:t>
            </w:r>
            <w:r w:rsidRPr="009B3798">
              <w:t>.</w:t>
            </w:r>
            <w:r w:rsidRPr="009B3798">
              <w:rPr>
                <w:rStyle w:val="SpecialBold"/>
              </w:rPr>
              <w:t>1</w:t>
            </w:r>
            <w:r w:rsidRPr="009B3798">
              <w:t xml:space="preserve">) </w:t>
            </w:r>
            <w:r w:rsidRPr="009B3798">
              <w:rPr>
                <w:rStyle w:val="SpecialBold"/>
              </w:rPr>
              <w:t>Descriptor</w:t>
            </w:r>
          </w:p>
        </w:tc>
      </w:tr>
      <w:tr w:rsidTr="00BB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This unit covers the selection of refrigerant piping, accessories and controls for refrigeration and air conditioning installations to comply with regulations, standards and specifications. It encompasses developing refrigerant pipe work arrangements, sele</w:t>
            </w:r>
            <w:r w:rsidRPr="009B3798">
              <w:t>cting pipe work and fittings, refrigerant flow controls and accessories, and mechanical and electrical control devices based on specifications, standards and manufacturer catalogues to determine calculated and deemed to comply solutions and documenting all</w:t>
            </w:r>
            <w:r w:rsidRPr="009B3798">
              <w:t xml:space="preserve"> selection information.</w:t>
            </w:r>
          </w:p>
        </w:tc>
      </w:tr>
    </w:tbl>
    <w:p w:rsidR="00BB7F41" w:rsidP="009B3798">
      <w:pPr>
        <w:pStyle w:val="BodyText"/>
      </w:pPr>
    </w:p>
    <w:p w:rsidR="00BB7F41" w:rsidP="009B3798">
      <w:pPr>
        <w:pStyle w:val="BodyText"/>
      </w:pPr>
    </w:p>
    <w:p w:rsidR="00000000" w:rsidRPr="009B3798" w:rsidP="009B3798">
      <w:pPr>
        <w:pStyle w:val="Heading1"/>
      </w:pPr>
      <w:bookmarkStart w:id="3" w:name="O_589480"/>
      <w:bookmarkEnd w:id="3"/>
      <w:r w:rsidRPr="009B3798">
        <w:t>Application of the Unit</w:t>
      </w:r>
    </w:p>
    <w:tbl>
      <w:tblPr>
        <w:tblW w:w="0" w:type="auto"/>
        <w:tblLayout w:type="fixed"/>
        <w:tblCellMar>
          <w:left w:w="62" w:type="dxa"/>
          <w:right w:w="62" w:type="dxa"/>
        </w:tblCellMar>
        <w:tblLook w:val="0000"/>
      </w:tblPr>
      <w:tblGrid>
        <w:gridCol w:w="2700"/>
        <w:gridCol w:w="5760"/>
      </w:tblGrid>
      <w:tr w:rsidTr="00BB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4</w:t>
            </w:r>
            <w:r w:rsidRPr="009B3798">
              <w:t>)</w:t>
            </w:r>
          </w:p>
        </w:tc>
      </w:tr>
      <w:tr w:rsidTr="00BB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 xml:space="preserve">This unit is intended for competency development entry-level employment-based programs incorporated in approved contracts of training. It is </w:t>
            </w:r>
            <w:r w:rsidRPr="009B3798">
              <w:t>suitable for augmenting previously acquired competencies.</w:t>
            </w:r>
          </w:p>
        </w:tc>
      </w:tr>
    </w:tbl>
    <w:p w:rsidR="00BB7F41" w:rsidP="009B3798">
      <w:pPr>
        <w:pStyle w:val="BodyText"/>
      </w:pPr>
    </w:p>
    <w:p w:rsidR="00BB7F41" w:rsidP="009B3798">
      <w:pPr>
        <w:pStyle w:val="BodyText"/>
      </w:pPr>
    </w:p>
    <w:p w:rsidR="00000000" w:rsidRPr="009B3798" w:rsidP="009B3798">
      <w:pPr>
        <w:pStyle w:val="Heading1"/>
      </w:pPr>
      <w:bookmarkStart w:id="4" w:name="O_589479"/>
      <w:bookmarkEnd w:id="4"/>
      <w:r w:rsidRPr="009B3798">
        <w:t>Licensing/Regulatory Information</w:t>
      </w:r>
    </w:p>
    <w:tbl>
      <w:tblPr>
        <w:tblW w:w="0" w:type="auto"/>
        <w:tblLayout w:type="fixed"/>
        <w:tblCellMar>
          <w:left w:w="62" w:type="dxa"/>
          <w:right w:w="62" w:type="dxa"/>
        </w:tblCellMar>
        <w:tblLook w:val="0000"/>
      </w:tblPr>
      <w:tblGrid>
        <w:gridCol w:w="8460"/>
      </w:tblGrid>
      <w:tr w:rsidTr="00BB7F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1</w:t>
            </w:r>
            <w:r w:rsidRPr="009B3798">
              <w:t>.</w:t>
            </w:r>
            <w:r w:rsidRPr="009B3798">
              <w:rPr>
                <w:rStyle w:val="SpecialBold"/>
              </w:rPr>
              <w:t>2</w:t>
            </w:r>
            <w:r w:rsidRPr="009B3798">
              <w:t xml:space="preserve">) </w:t>
            </w:r>
            <w:r w:rsidRPr="009B3798">
              <w:rPr>
                <w:rStyle w:val="SpecialBold"/>
              </w:rPr>
              <w:t>License to practice</w:t>
            </w:r>
          </w:p>
        </w:tc>
      </w:tr>
      <w:tr w:rsidTr="00BB7F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The skills and knowledge described in this unit do not require a license to practice in the workplace</w:t>
            </w:r>
            <w:r w:rsidRPr="009B3798">
              <w:t>. However, practice in this unit is subject to regulations directly related to occupational health and safety and where applicable contracts of training such as apprenticeships.</w:t>
            </w:r>
          </w:p>
          <w:p w:rsidR="00000000" w:rsidRPr="009B3798" w:rsidP="009B3798">
            <w:pPr>
              <w:pStyle w:val="BodyText"/>
            </w:pPr>
            <w:r w:rsidRPr="009B3798">
              <w:t xml:space="preserve">Note: </w:t>
            </w:r>
            <w:r w:rsidRPr="009B3798">
              <w:br/>
              <w:t>1. Compliance with permits may be required in various jurisdictions and</w:t>
            </w:r>
            <w:r w:rsidRPr="009B3798">
              <w:t xml:space="preserve"> typically relates to the operation of plant, machinery and equipment such as elevating work platforms, powder operated fixing tools, power operated tools, vehicles, road signage and traffic control, lifting equipment. Permits may also be required for some</w:t>
            </w:r>
            <w:r w:rsidRPr="009B3798">
              <w:t xml:space="preserve"> work environments such as confined spaces, working aloft, near live electrical apparatus and site rehabilitation.</w:t>
            </w:r>
            <w:r w:rsidRPr="009B3798">
              <w:br/>
              <w:t>2. Compliance may be required in various jurisdictions relating to currency in First Aid, confined space, lifting and risk safety measures.</w:t>
            </w:r>
          </w:p>
        </w:tc>
      </w:tr>
    </w:tbl>
    <w:p w:rsidR="00BB7F41" w:rsidP="009B3798">
      <w:pPr>
        <w:pStyle w:val="BodyText"/>
      </w:pPr>
    </w:p>
    <w:p w:rsidR="00BB7F41" w:rsidP="009B3798">
      <w:pPr>
        <w:pStyle w:val="BodyText"/>
      </w:pPr>
    </w:p>
    <w:p w:rsidR="00000000" w:rsidRPr="009B3798" w:rsidP="009B3798">
      <w:pPr>
        <w:pStyle w:val="Heading1"/>
      </w:pPr>
      <w:bookmarkStart w:id="5" w:name="O_589478"/>
      <w:bookmarkEnd w:id="5"/>
      <w:r w:rsidRPr="009B3798">
        <w:t>Pre-Requisites</w:t>
      </w:r>
    </w:p>
    <w:tbl>
      <w:tblPr>
        <w:tblW w:w="0" w:type="auto"/>
        <w:tblLayout w:type="fixed"/>
        <w:tblCellMar>
          <w:left w:w="62" w:type="dxa"/>
          <w:right w:w="62" w:type="dxa"/>
        </w:tblCellMar>
        <w:tblLook w:val="0000"/>
      </w:tblPr>
      <w:tblGrid>
        <w:gridCol w:w="2700"/>
        <w:gridCol w:w="1620"/>
        <w:gridCol w:w="4140"/>
      </w:tblGrid>
      <w:tr w:rsidTr="00BB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Prerequisite Unit</w:t>
            </w:r>
            <w:r w:rsidRPr="009B3798">
              <w:t>(</w:t>
            </w:r>
            <w:r w:rsidRPr="009B3798">
              <w:rPr>
                <w:rStyle w:val="SpecialBold"/>
              </w:rPr>
              <w:t>s</w:t>
            </w:r>
            <w:r w:rsidRPr="009B3798">
              <w:t>)</w:t>
            </w:r>
          </w:p>
        </w:tc>
        <w:tc>
          <w:tcPr>
            <w:tcW w:w="5760"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2</w:t>
            </w:r>
            <w:r w:rsidRPr="009B3798">
              <w:t xml:space="preserve">) </w:t>
            </w:r>
          </w:p>
        </w:tc>
      </w:tr>
      <w:tr w:rsidTr="00BB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3798">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2</w:t>
            </w:r>
            <w:r w:rsidRPr="009B3798">
              <w:t>.</w:t>
            </w:r>
            <w:r w:rsidRPr="009B3798">
              <w:rPr>
                <w:rStyle w:val="SpecialBold"/>
              </w:rPr>
              <w:t>1</w:t>
            </w:r>
            <w:r w:rsidRPr="009B3798">
              <w:t xml:space="preserve">) </w:t>
            </w:r>
            <w:r w:rsidRPr="009B3798">
              <w:rPr>
                <w:rStyle w:val="SpecialBold"/>
              </w:rPr>
              <w:t>Competencies</w:t>
            </w:r>
          </w:p>
        </w:tc>
      </w:tr>
      <w:tr w:rsidTr="00BB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Granting competency in this unit shall be made only after competency in the following unit(s) has/have been confirmed.</w:t>
            </w:r>
          </w:p>
        </w:tc>
      </w:tr>
      <w:tr w:rsidTr="00BB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 xml:space="preserve">UEENEEJ103A </w:t>
            </w:r>
          </w:p>
        </w:tc>
        <w:tc>
          <w:tcPr>
            <w:tcW w:w="414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Establish the basic operating conditions of vapour compression systems</w:t>
            </w:r>
          </w:p>
        </w:tc>
      </w:tr>
      <w:tr w:rsidTr="00BB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 xml:space="preserve">UEENEEE101A </w:t>
            </w:r>
          </w:p>
        </w:tc>
        <w:tc>
          <w:tcPr>
            <w:tcW w:w="414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Apply Occupational Health and Safety regulations, codes and practices in the workplace</w:t>
            </w:r>
          </w:p>
        </w:tc>
      </w:tr>
    </w:tbl>
    <w:p w:rsidR="00BB7F41" w:rsidP="009B3798">
      <w:pPr>
        <w:pStyle w:val="BodyText"/>
      </w:pPr>
    </w:p>
    <w:p w:rsidR="00BB7F41" w:rsidP="009B3798">
      <w:pPr>
        <w:pStyle w:val="BodyText"/>
      </w:pPr>
    </w:p>
    <w:p w:rsidR="00000000" w:rsidRPr="009B3798" w:rsidP="009B3798">
      <w:pPr>
        <w:pStyle w:val="Heading1"/>
      </w:pPr>
      <w:bookmarkStart w:id="6" w:name="O_589477"/>
      <w:bookmarkEnd w:id="6"/>
      <w:r w:rsidRPr="009B3798">
        <w:t>Employability Skills Information</w:t>
      </w:r>
    </w:p>
    <w:tbl>
      <w:tblPr>
        <w:tblW w:w="0" w:type="auto"/>
        <w:tblLayout w:type="fixed"/>
        <w:tblCellMar>
          <w:left w:w="62" w:type="dxa"/>
          <w:right w:w="62" w:type="dxa"/>
        </w:tblCellMar>
        <w:tblLook w:val="0000"/>
      </w:tblPr>
      <w:tblGrid>
        <w:gridCol w:w="2700"/>
        <w:gridCol w:w="5760"/>
      </w:tblGrid>
      <w:tr w:rsidTr="00BB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3</w:t>
            </w:r>
            <w:r w:rsidRPr="009B3798">
              <w:t>)</w:t>
            </w:r>
          </w:p>
          <w:p w:rsidR="00000000" w:rsidRPr="009B3798" w:rsidP="009B3798">
            <w:pPr>
              <w:pStyle w:val="BodyText"/>
            </w:pPr>
            <w:r w:rsidRPr="009B3798">
              <w:t>This unit contains Employability Skills</w:t>
            </w:r>
          </w:p>
          <w:p w:rsidR="00000000" w:rsidRPr="009B3798" w:rsidP="009B3798">
            <w:pPr>
              <w:pStyle w:val="BodyText"/>
            </w:pPr>
            <w:r w:rsidRPr="009B3798">
              <w:t>The required outcomes described in this unit of competency contain applicable facets of Employability Skills. The Employability Skills Summary of the qualification in which this unit of competency is packaged will as</w:t>
            </w:r>
            <w:r w:rsidRPr="009B3798">
              <w:t>sist in identifying Employability Skill requirements.</w:t>
            </w:r>
          </w:p>
        </w:tc>
      </w:tr>
    </w:tbl>
    <w:p w:rsidR="00BB7F41" w:rsidP="009B3798">
      <w:pPr>
        <w:pStyle w:val="BodyText"/>
      </w:pPr>
    </w:p>
    <w:p w:rsidR="00BB7F41" w:rsidP="009B3798">
      <w:pPr>
        <w:pStyle w:val="BodyText"/>
      </w:pPr>
    </w:p>
    <w:p w:rsidR="00000000" w:rsidRPr="009B3798" w:rsidP="009B3798">
      <w:pPr>
        <w:pStyle w:val="Heading1"/>
      </w:pPr>
      <w:bookmarkStart w:id="7" w:name="O_589476"/>
      <w:bookmarkEnd w:id="7"/>
      <w:r w:rsidRPr="009B3798">
        <w:t>Elements and Performance Criteria Pre-Content</w:t>
      </w:r>
    </w:p>
    <w:tbl>
      <w:tblPr>
        <w:tblW w:w="9356" w:type="dxa"/>
        <w:tblLayout w:type="fixed"/>
        <w:tblCellMar>
          <w:left w:w="62" w:type="dxa"/>
          <w:right w:w="62" w:type="dxa"/>
        </w:tblCellMar>
        <w:tblLook w:val="0000"/>
      </w:tblPr>
      <w:tblGrid>
        <w:gridCol w:w="2268"/>
        <w:gridCol w:w="7088"/>
      </w:tblGrid>
      <w:tr w:rsidTr="00BB7F41">
        <w:tblPrEx>
          <w:tblW w:w="9356"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6</w:t>
            </w:r>
            <w:r w:rsidRPr="009B3798">
              <w:t>) Elements describe the essential outcomes of a unit</w:t>
            </w:r>
          </w:p>
        </w:tc>
        <w:tc>
          <w:tcPr>
            <w:tcW w:w="7088"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Performance criteria describe the required performance needed to demonstrate achievement of the element. Assessment of performance is to be consistent with the evidence guide.</w:t>
            </w:r>
          </w:p>
        </w:tc>
      </w:tr>
    </w:tbl>
    <w:p w:rsidR="00000000" w:rsidRPr="009B3798" w:rsidP="009B3798">
      <w:pPr>
        <w:pStyle w:val="BodyText"/>
      </w:pPr>
    </w:p>
    <w:p w:rsidR="00000000" w:rsidRPr="009B3798" w:rsidP="009B3798">
      <w:pPr>
        <w:pStyle w:val="AllowPageBreak"/>
      </w:pPr>
    </w:p>
    <w:p w:rsidR="00000000" w:rsidRPr="009B3798" w:rsidP="009B3798">
      <w:pPr>
        <w:pStyle w:val="Heading1"/>
      </w:pPr>
      <w:bookmarkStart w:id="8" w:name="O_589475"/>
      <w:bookmarkEnd w:id="8"/>
      <w:r w:rsidRPr="009B3798">
        <w:t>Elements and Performance Criteria</w:t>
      </w:r>
    </w:p>
    <w:tbl>
      <w:tblPr>
        <w:tblW w:w="9356" w:type="dxa"/>
        <w:tblLayout w:type="fixed"/>
        <w:tblCellMar>
          <w:left w:w="62" w:type="dxa"/>
          <w:right w:w="62" w:type="dxa"/>
        </w:tblCellMar>
        <w:tblLook w:val="0000"/>
      </w:tblPr>
      <w:tblGrid>
        <w:gridCol w:w="404"/>
        <w:gridCol w:w="1864"/>
        <w:gridCol w:w="900"/>
        <w:gridCol w:w="6188"/>
      </w:tblGrid>
      <w:tr w:rsidTr="00BB7F41">
        <w:tblPrEx>
          <w:tblW w:w="9356" w:type="dxa"/>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ELEMENT</w:t>
            </w:r>
          </w:p>
        </w:tc>
        <w:tc>
          <w:tcPr>
            <w:tcW w:w="7088"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PERFORMANCE CRITER</w:t>
            </w:r>
            <w:r w:rsidRPr="009B3798">
              <w:rPr>
                <w:rStyle w:val="SpecialBold"/>
              </w:rPr>
              <w:t>IA</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1</w:t>
            </w:r>
          </w:p>
        </w:tc>
        <w:tc>
          <w:tcPr>
            <w:tcW w:w="1864" w:type="dxa"/>
            <w:vMerge w:val="restart"/>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Prepare to select piping, accessories and associated controls</w:t>
            </w: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1.1</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The extent and nature of the refrigeration installation is determined from job specifications.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1.2</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Safety and other regulatory requirements to which the refrigeration system shall comply, are identified, obtained and understood</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2</w:t>
            </w:r>
          </w:p>
        </w:tc>
        <w:tc>
          <w:tcPr>
            <w:tcW w:w="1864" w:type="dxa"/>
            <w:vMerge w:val="restart"/>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Develop pipe work arrangements</w:t>
            </w: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2.1</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The intended location of refrigeration equipment is determined from job specifications and site drawings or deemed to comply arrangements.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2.2</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Pipe work arranged to ensure safe and functional operation of the system.</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2.3</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Pipe work is arranged to comp</w:t>
            </w:r>
            <w:r w:rsidRPr="009B3798">
              <w:t>ly with technical standards and job specifications and requirements.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w:t>
            </w:r>
          </w:p>
        </w:tc>
        <w:tc>
          <w:tcPr>
            <w:tcW w:w="1864"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 xml:space="preserve">Select piping, accessories and associated controls </w:t>
            </w: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3.1</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 xml:space="preserve">Pipe and tubing is selected for suitability for the environments in which it is to be installed </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3.2</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Pipe and tubing is sized to meet refrigeration parameters and capacity requirements for the refrigerant to be used.</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3.3</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Pipe and tubing quantities are determined from equipment location diagrams and job specifications.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3.4</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 xml:space="preserve">Refrigeration controls and </w:t>
            </w:r>
            <w:r w:rsidRPr="009B3798">
              <w:t>accessories are selected to meet load requirements based on calculated or deemed-to-comply solutions.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3.5</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Control devices are selected to meet functional, specified and regulatory requirements.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3.6</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Electrical control devices are selected to meet current, voltage and IP ratings.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3.7</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Evidence is obtained that the selected refrigeration equipment and control devices comply with all requirements.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4</w:t>
            </w:r>
          </w:p>
        </w:tc>
        <w:tc>
          <w:tcPr>
            <w:tcW w:w="1864"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Document piping, accessories and associated controls</w:t>
            </w:r>
            <w:r w:rsidRPr="009B3798">
              <w:t xml:space="preserve"> selections </w:t>
            </w: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4.1</w:t>
            </w:r>
          </w:p>
        </w:tc>
        <w:tc>
          <w:tcPr>
            <w:tcW w:w="6188"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Reasons for selections made, including calculations, are documented in accordance with established procedures.</w:t>
            </w:r>
          </w:p>
        </w:tc>
      </w:tr>
      <w:tr w:rsidTr="00BB7F41">
        <w:tblPrEx>
          <w:tblW w:w="9356" w:type="dxa"/>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4.2</w:t>
            </w:r>
          </w:p>
        </w:tc>
        <w:tc>
          <w:tcPr>
            <w:tcW w:w="6188"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Refrigeration installation arrangement and specifications for all selected items are documented in accordance with establ</w:t>
            </w:r>
            <w:r w:rsidRPr="009B3798">
              <w:t>ished procedures and forwarded to appropriate person(s).</w:t>
            </w:r>
          </w:p>
        </w:tc>
      </w:tr>
    </w:tbl>
    <w:p w:rsidR="00BB7F41" w:rsidP="009B3798">
      <w:pPr>
        <w:pStyle w:val="BodyText"/>
      </w:pPr>
    </w:p>
    <w:p w:rsidR="00BB7F41" w:rsidP="009B3798">
      <w:pPr>
        <w:pStyle w:val="BodyText"/>
      </w:pPr>
    </w:p>
    <w:p w:rsidR="00000000" w:rsidRPr="009B3798" w:rsidP="009B3798">
      <w:pPr>
        <w:pStyle w:val="Heading1"/>
      </w:pPr>
      <w:bookmarkStart w:id="9" w:name="O_589474"/>
      <w:bookmarkEnd w:id="9"/>
      <w:r w:rsidRPr="009B3798">
        <w:t>Required Skills and Knowledge</w:t>
      </w:r>
    </w:p>
    <w:tbl>
      <w:tblPr>
        <w:tblW w:w="9356" w:type="dxa"/>
        <w:tblLayout w:type="fixed"/>
        <w:tblCellMar>
          <w:left w:w="62" w:type="dxa"/>
          <w:right w:w="62" w:type="dxa"/>
        </w:tblCellMar>
        <w:tblLook w:val="0000"/>
      </w:tblPr>
      <w:tblGrid>
        <w:gridCol w:w="9356"/>
      </w:tblGrid>
      <w:tr w:rsidTr="00BB7F41">
        <w:tblPrEx>
          <w:tblW w:w="9356" w:type="dxa"/>
          <w:tblLayout w:type="fixed"/>
          <w:tblCellMar>
            <w:left w:w="62" w:type="dxa"/>
            <w:right w:w="62" w:type="dxa"/>
          </w:tblCellMar>
          <w:tblLook w:val="0000"/>
        </w:tblPrEx>
        <w:trPr>
          <w:tblHeader/>
        </w:trPr>
        <w:tc>
          <w:tcPr>
            <w:tcW w:w="9356"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REQUIRED SKILLS AND KNOWLEDGE</w:t>
            </w:r>
          </w:p>
        </w:tc>
      </w:tr>
      <w:tr w:rsidTr="00BB7F41">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7)</w:t>
            </w:r>
            <w:r w:rsidRPr="009B3798">
              <w:t xml:space="preserve"> This describes the essential skills and knowledge and their level, required for this unit.</w:t>
            </w:r>
          </w:p>
        </w:tc>
      </w:tr>
      <w:tr w:rsidTr="00BB7F41">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Evidence shall show that knowledge has been acquired of safe working practices and selecting refrigerant pipe/tube, accessories and associated controls.</w:t>
            </w:r>
          </w:p>
          <w:p w:rsidR="00000000" w:rsidRPr="009B3798" w:rsidP="009B3798">
            <w:pPr>
              <w:pStyle w:val="BodyText"/>
            </w:pPr>
            <w:r w:rsidRPr="009B3798">
              <w:t>All knowledge and skills detailed in this unit should be contextualised t</w:t>
            </w:r>
            <w:r w:rsidRPr="009B3798">
              <w:t>o current industry practices and technologies.</w:t>
            </w:r>
          </w:p>
          <w:p w:rsidR="00000000" w:rsidRPr="009B3798" w:rsidP="009B3798">
            <w:pPr>
              <w:pStyle w:val="BodyText"/>
            </w:pPr>
            <w:r w:rsidRPr="009B3798">
              <w:rPr>
                <w:rStyle w:val="SpecialBold"/>
              </w:rPr>
              <w:t>KS01-EJ110A</w:t>
            </w:r>
            <w:r w:rsidRPr="009B3798">
              <w:rPr>
                <w:rStyle w:val="SpecialBold"/>
              </w:rPr>
              <w:tab/>
              <w:t>Refrigerant pipe/tube, accessories and associated controls selection</w:t>
            </w:r>
          </w:p>
          <w:p w:rsidR="00000000" w:rsidRPr="009B3798" w:rsidP="009B3798">
            <w:pPr>
              <w:pStyle w:val="BodyText"/>
            </w:pPr>
            <w:r w:rsidRPr="009B3798">
              <w:t>Evidence shall show an understanding of refrigerant pipe/tube, accessories and controls selection for refrigeration and air cond</w:t>
            </w:r>
            <w:r w:rsidRPr="009B3798">
              <w:t>itioning installations, applying safe working practices and relevant Standards, Codes and Regulations to an extent indicated by the following aspects:</w:t>
            </w:r>
          </w:p>
          <w:p w:rsidR="00000000" w:rsidRPr="009B3798" w:rsidP="009B3798">
            <w:pPr>
              <w:pStyle w:val="BodyText"/>
            </w:pPr>
            <w:r w:rsidRPr="009B3798">
              <w:t>T1.          Drawings, Specifications, Regulations &amp; Codes.</w:t>
            </w:r>
          </w:p>
          <w:p w:rsidR="00000000" w:rsidRPr="009B3798" w:rsidP="009B3798">
            <w:pPr>
              <w:pStyle w:val="ListBullet"/>
            </w:pPr>
            <w:r w:rsidRPr="009B3798">
              <w:t>Equipment layouts &amp; drawings</w:t>
            </w:r>
          </w:p>
          <w:p w:rsidR="00000000" w:rsidRPr="009B3798" w:rsidP="009B3798">
            <w:pPr>
              <w:pStyle w:val="ListBullet"/>
            </w:pPr>
            <w:r w:rsidRPr="009B3798">
              <w:t>Site drawings</w:t>
            </w:r>
          </w:p>
          <w:p w:rsidR="00000000" w:rsidRPr="009B3798" w:rsidP="009B3798">
            <w:pPr>
              <w:pStyle w:val="ListBullet"/>
            </w:pPr>
            <w:r w:rsidRPr="009B3798">
              <w:t>P</w:t>
            </w:r>
            <w:r w:rsidRPr="009B3798">
              <w:t>iping diagrams</w:t>
            </w:r>
          </w:p>
          <w:p w:rsidR="00000000" w:rsidRPr="009B3798" w:rsidP="009B3798">
            <w:pPr>
              <w:pStyle w:val="ListBullet"/>
            </w:pPr>
            <w:r w:rsidRPr="009B3798">
              <w:t>Wiring diagrams</w:t>
            </w:r>
          </w:p>
          <w:p w:rsidR="00000000" w:rsidRPr="009B3798" w:rsidP="009B3798">
            <w:pPr>
              <w:pStyle w:val="ListBullet"/>
            </w:pPr>
            <w:r w:rsidRPr="009B3798">
              <w:t>Control diagrams</w:t>
            </w:r>
          </w:p>
          <w:p w:rsidR="00000000" w:rsidRPr="009B3798" w:rsidP="009B3798">
            <w:pPr>
              <w:pStyle w:val="ListBullet"/>
            </w:pPr>
            <w:r w:rsidRPr="009B3798">
              <w:t>Job specifications</w:t>
            </w:r>
          </w:p>
          <w:p w:rsidR="00000000" w:rsidRPr="009B3798" w:rsidP="009B3798">
            <w:pPr>
              <w:pStyle w:val="ListBullet"/>
            </w:pPr>
            <w:r w:rsidRPr="009B3798">
              <w:t>Equipment manufacture’s specifications &amp; symbols</w:t>
            </w:r>
          </w:p>
          <w:p w:rsidR="00000000" w:rsidRPr="009B3798" w:rsidP="009B3798">
            <w:pPr>
              <w:pStyle w:val="ListBullet"/>
            </w:pPr>
            <w:r w:rsidRPr="009B3798">
              <w:t>SAA/NZ standards</w:t>
            </w:r>
          </w:p>
          <w:p w:rsidR="00000000" w:rsidRPr="009B3798" w:rsidP="009B3798">
            <w:pPr>
              <w:pStyle w:val="ListBullet"/>
            </w:pPr>
            <w:r w:rsidRPr="009B3798">
              <w:t>SAA/NZ standard symbols</w:t>
            </w:r>
          </w:p>
          <w:p w:rsidR="00000000" w:rsidRPr="009B3798" w:rsidP="009B3798">
            <w:pPr>
              <w:pStyle w:val="ListBullet"/>
            </w:pPr>
            <w:r w:rsidRPr="009B3798">
              <w:t>Regulations &amp; Codes</w:t>
            </w:r>
          </w:p>
          <w:p w:rsidR="00000000" w:rsidRPr="009B3798" w:rsidP="009B3798">
            <w:pPr>
              <w:pStyle w:val="BodyText"/>
            </w:pPr>
            <w:r w:rsidRPr="009B3798">
              <w:t>T2.          Equipment Installation Requirements</w:t>
            </w:r>
          </w:p>
          <w:p w:rsidR="00000000" w:rsidRPr="009B3798" w:rsidP="009B3798">
            <w:pPr>
              <w:pStyle w:val="ListBullet"/>
            </w:pPr>
            <w:r w:rsidRPr="009B3798">
              <w:t>Installation Equipment requir</w:t>
            </w:r>
            <w:r w:rsidRPr="009B3798">
              <w:t>ements:</w:t>
            </w:r>
          </w:p>
          <w:p w:rsidR="00000000" w:rsidRPr="009B3798" w:rsidP="009B3798">
            <w:pPr>
              <w:pStyle w:val="ListBullet"/>
            </w:pPr>
            <w:r w:rsidRPr="009B3798">
              <w:t>Standards, Codes, and Regulations</w:t>
            </w:r>
          </w:p>
          <w:p w:rsidR="00000000" w:rsidRPr="009B3798" w:rsidP="009B3798">
            <w:pPr>
              <w:pStyle w:val="ListBullet"/>
            </w:pPr>
            <w:r w:rsidRPr="009B3798">
              <w:t>Installation techniques</w:t>
            </w:r>
          </w:p>
          <w:p w:rsidR="00000000" w:rsidRPr="009B3798" w:rsidP="009B3798">
            <w:pPr>
              <w:pStyle w:val="ListBullet"/>
            </w:pPr>
            <w:r w:rsidRPr="009B3798">
              <w:t>Specifications</w:t>
            </w:r>
          </w:p>
          <w:p w:rsidR="00000000" w:rsidRPr="009B3798" w:rsidP="009B3798">
            <w:pPr>
              <w:pStyle w:val="ListBullet"/>
            </w:pPr>
            <w:r w:rsidRPr="009B3798">
              <w:t>Manufacturer’s Specifications</w:t>
            </w:r>
          </w:p>
          <w:p w:rsidR="00000000" w:rsidRPr="009B3798" w:rsidP="009B3798">
            <w:pPr>
              <w:pStyle w:val="BodyText"/>
            </w:pPr>
            <w:r w:rsidRPr="009B3798">
              <w:t>T3.          Refrigerant Piping and Accessories</w:t>
            </w:r>
          </w:p>
          <w:p w:rsidR="00000000" w:rsidRPr="009B3798" w:rsidP="009B3798">
            <w:pPr>
              <w:pStyle w:val="ListBullet"/>
            </w:pPr>
            <w:r w:rsidRPr="009B3798">
              <w:t>Equipment location</w:t>
            </w:r>
          </w:p>
          <w:p w:rsidR="00000000" w:rsidRPr="009B3798" w:rsidP="009B3798">
            <w:pPr>
              <w:pStyle w:val="ListBullet"/>
            </w:pPr>
            <w:r w:rsidRPr="009B3798">
              <w:t>Piping arrangements</w:t>
            </w:r>
          </w:p>
          <w:p w:rsidR="00000000" w:rsidRPr="009B3798" w:rsidP="009B3798">
            <w:pPr>
              <w:pStyle w:val="ListBullet"/>
            </w:pPr>
            <w:r w:rsidRPr="009B3798">
              <w:t>Pipework accessories and location</w:t>
            </w:r>
          </w:p>
          <w:p w:rsidR="00000000" w:rsidRPr="009B3798" w:rsidP="009B3798">
            <w:pPr>
              <w:pStyle w:val="ListBullet"/>
            </w:pPr>
            <w:r w:rsidRPr="009B3798">
              <w:t>Mounting methods</w:t>
            </w:r>
          </w:p>
          <w:p w:rsidR="00000000" w:rsidRPr="009B3798" w:rsidP="009B3798">
            <w:pPr>
              <w:pStyle w:val="ListBullet"/>
            </w:pPr>
            <w:r w:rsidRPr="009B3798">
              <w:t>Noise and vibration prevention</w:t>
            </w:r>
          </w:p>
          <w:p w:rsidR="00000000" w:rsidRPr="009B3798" w:rsidP="009B3798">
            <w:pPr>
              <w:pStyle w:val="ListBullet"/>
            </w:pPr>
            <w:r w:rsidRPr="009B3798">
              <w:t>Pipework mounting and fastening</w:t>
            </w:r>
          </w:p>
          <w:p w:rsidR="00000000" w:rsidRPr="009B3798" w:rsidP="009B3798">
            <w:pPr>
              <w:pStyle w:val="ListBullet"/>
            </w:pPr>
            <w:r w:rsidRPr="009B3798">
              <w:t>Insulation</w:t>
            </w:r>
          </w:p>
          <w:p w:rsidR="00000000" w:rsidRPr="009B3798" w:rsidP="009B3798">
            <w:pPr>
              <w:pStyle w:val="ListBullet"/>
            </w:pPr>
            <w:r w:rsidRPr="009B3798">
              <w:t>Pipework installation techniques</w:t>
            </w:r>
          </w:p>
          <w:p w:rsidR="00000000" w:rsidRPr="009B3798" w:rsidP="009B3798">
            <w:pPr>
              <w:pStyle w:val="BodyText"/>
            </w:pPr>
            <w:r w:rsidRPr="009B3798">
              <w:t>T4.          Pipe Selection and Sizing</w:t>
            </w:r>
          </w:p>
          <w:p w:rsidR="00000000" w:rsidRPr="009B3798" w:rsidP="009B3798">
            <w:pPr>
              <w:pStyle w:val="ListBullet"/>
            </w:pPr>
            <w:r w:rsidRPr="009B3798">
              <w:t>Sizing charts</w:t>
            </w:r>
          </w:p>
          <w:p w:rsidR="00000000" w:rsidRPr="009B3798" w:rsidP="009B3798">
            <w:pPr>
              <w:pStyle w:val="ListBullet"/>
            </w:pPr>
            <w:r w:rsidRPr="009B3798">
              <w:t>Correction factors</w:t>
            </w:r>
          </w:p>
          <w:p w:rsidR="00000000" w:rsidRPr="009B3798" w:rsidP="009B3798">
            <w:pPr>
              <w:pStyle w:val="ListBullet"/>
            </w:pPr>
            <w:r w:rsidRPr="009B3798">
              <w:t>Equivalent lengths</w:t>
            </w:r>
          </w:p>
          <w:p w:rsidR="00000000" w:rsidRPr="009B3798" w:rsidP="009B3798">
            <w:pPr>
              <w:pStyle w:val="ListBullet"/>
            </w:pPr>
            <w:r w:rsidRPr="009B3798">
              <w:t>Pressure drop</w:t>
            </w:r>
          </w:p>
          <w:p w:rsidR="00000000" w:rsidRPr="009B3798" w:rsidP="009B3798">
            <w:pPr>
              <w:pStyle w:val="ListBullet"/>
            </w:pPr>
            <w:r w:rsidRPr="009B3798">
              <w:t>Oversized &amp; undersized pipe</w:t>
            </w:r>
          </w:p>
          <w:p w:rsidR="00000000" w:rsidRPr="009B3798" w:rsidP="009B3798">
            <w:pPr>
              <w:pStyle w:val="ListBullet"/>
            </w:pPr>
            <w:r w:rsidRPr="009B3798">
              <w:t>Refrigerant vel</w:t>
            </w:r>
            <w:r w:rsidRPr="009B3798">
              <w:t>ocity</w:t>
            </w:r>
          </w:p>
          <w:p w:rsidR="00000000" w:rsidRPr="009B3798" w:rsidP="009B3798">
            <w:pPr>
              <w:pStyle w:val="ListBullet"/>
            </w:pPr>
            <w:r w:rsidRPr="009B3798">
              <w:t>Oil return</w:t>
            </w:r>
          </w:p>
          <w:p w:rsidR="00000000" w:rsidRPr="009B3798" w:rsidP="009B3798">
            <w:pPr>
              <w:pStyle w:val="ListBullet"/>
            </w:pPr>
            <w:r w:rsidRPr="009B3798">
              <w:t>Effect of system capacity</w:t>
            </w:r>
          </w:p>
          <w:p w:rsidR="00000000" w:rsidRPr="009B3798" w:rsidP="009B3798">
            <w:pPr>
              <w:pStyle w:val="BodyText"/>
            </w:pPr>
            <w:r w:rsidRPr="009B3798">
              <w:t>T5.          Refrigerant Liquid Flow Controls</w:t>
            </w:r>
          </w:p>
          <w:p w:rsidR="00000000" w:rsidRPr="009B3798" w:rsidP="009B3798">
            <w:pPr>
              <w:pStyle w:val="ListBullet"/>
            </w:pPr>
            <w:r w:rsidRPr="009B3798">
              <w:t>Types</w:t>
            </w:r>
          </w:p>
          <w:p w:rsidR="00000000" w:rsidRPr="009B3798" w:rsidP="009B3798">
            <w:pPr>
              <w:pStyle w:val="ListBullet"/>
            </w:pPr>
            <w:r w:rsidRPr="009B3798">
              <w:t>Construction</w:t>
            </w:r>
          </w:p>
          <w:p w:rsidR="00000000" w:rsidRPr="009B3798" w:rsidP="009B3798">
            <w:pPr>
              <w:pStyle w:val="ListBullet"/>
            </w:pPr>
            <w:r w:rsidRPr="009B3798">
              <w:t>Operation</w:t>
            </w:r>
          </w:p>
          <w:p w:rsidR="00000000" w:rsidRPr="009B3798" w:rsidP="009B3798">
            <w:pPr>
              <w:pStyle w:val="ListBullet"/>
            </w:pPr>
            <w:r w:rsidRPr="009B3798">
              <w:t>Applications</w:t>
            </w:r>
          </w:p>
          <w:p w:rsidR="00000000" w:rsidRPr="009B3798" w:rsidP="009B3798">
            <w:pPr>
              <w:pStyle w:val="ListBullet"/>
            </w:pPr>
            <w:r w:rsidRPr="009B3798">
              <w:t>Selection</w:t>
            </w:r>
          </w:p>
          <w:p w:rsidR="00000000" w:rsidRPr="009B3798" w:rsidP="009B3798">
            <w:pPr>
              <w:pStyle w:val="BodyText"/>
            </w:pPr>
            <w:r w:rsidRPr="009B3798">
              <w:t>T6.</w:t>
            </w:r>
            <w:r w:rsidRPr="009B3798">
              <w:tab/>
              <w:t xml:space="preserve">  Refrigerant Vapour Flow Controls</w:t>
            </w:r>
          </w:p>
          <w:p w:rsidR="00000000" w:rsidRPr="009B3798" w:rsidP="009B3798">
            <w:pPr>
              <w:pStyle w:val="ListBullet"/>
            </w:pPr>
            <w:r w:rsidRPr="009B3798">
              <w:t>Types</w:t>
            </w:r>
          </w:p>
          <w:p w:rsidR="00000000" w:rsidRPr="009B3798" w:rsidP="009B3798">
            <w:pPr>
              <w:pStyle w:val="ListBullet"/>
            </w:pPr>
            <w:r w:rsidRPr="009B3798">
              <w:t>Construction</w:t>
            </w:r>
          </w:p>
          <w:p w:rsidR="00000000" w:rsidRPr="009B3798" w:rsidP="009B3798">
            <w:pPr>
              <w:pStyle w:val="ListBullet"/>
            </w:pPr>
            <w:r w:rsidRPr="009B3798">
              <w:t>Operation</w:t>
            </w:r>
          </w:p>
          <w:p w:rsidR="00000000" w:rsidRPr="009B3798" w:rsidP="009B3798">
            <w:pPr>
              <w:pStyle w:val="ListBullet"/>
            </w:pPr>
            <w:r w:rsidRPr="009B3798">
              <w:t>Applications</w:t>
            </w:r>
          </w:p>
          <w:p w:rsidR="00000000" w:rsidRPr="009B3798" w:rsidP="009B3798">
            <w:pPr>
              <w:pStyle w:val="ListBullet"/>
            </w:pPr>
            <w:r w:rsidRPr="009B3798">
              <w:t>Selection</w:t>
            </w:r>
          </w:p>
          <w:p w:rsidR="00000000" w:rsidRPr="009B3798" w:rsidP="009B3798">
            <w:pPr>
              <w:pStyle w:val="BodyText"/>
            </w:pPr>
            <w:r w:rsidRPr="009B3798">
              <w:t>T7.</w:t>
            </w:r>
            <w:r w:rsidRPr="009B3798">
              <w:tab/>
            </w:r>
            <w:r w:rsidRPr="009B3798">
              <w:t xml:space="preserve">  Refrigeration System Controls</w:t>
            </w:r>
          </w:p>
          <w:p w:rsidR="00000000" w:rsidRPr="009B3798" w:rsidP="009B3798">
            <w:pPr>
              <w:pStyle w:val="ListBullet"/>
            </w:pPr>
            <w:r w:rsidRPr="009B3798">
              <w:t>Types</w:t>
            </w:r>
          </w:p>
          <w:p w:rsidR="00000000" w:rsidRPr="009B3798" w:rsidP="009B3798">
            <w:pPr>
              <w:pStyle w:val="ListBullet"/>
            </w:pPr>
            <w:r w:rsidRPr="009B3798">
              <w:t>Construction</w:t>
            </w:r>
          </w:p>
          <w:p w:rsidR="00000000" w:rsidRPr="009B3798" w:rsidP="009B3798">
            <w:pPr>
              <w:pStyle w:val="ListBullet"/>
            </w:pPr>
            <w:r w:rsidRPr="009B3798">
              <w:t>Operation</w:t>
            </w:r>
          </w:p>
          <w:p w:rsidR="00000000" w:rsidRPr="009B3798" w:rsidP="009B3798">
            <w:pPr>
              <w:pStyle w:val="ListBullet"/>
            </w:pPr>
            <w:r w:rsidRPr="009B3798">
              <w:t>Applications</w:t>
            </w:r>
          </w:p>
          <w:p w:rsidR="00000000" w:rsidRPr="009B3798" w:rsidP="009B3798">
            <w:pPr>
              <w:pStyle w:val="ListBullet"/>
            </w:pPr>
            <w:r w:rsidRPr="009B3798">
              <w:t>Selection</w:t>
            </w:r>
          </w:p>
          <w:p w:rsidR="00000000" w:rsidRPr="009B3798" w:rsidP="009B3798">
            <w:pPr>
              <w:pStyle w:val="BodyText"/>
            </w:pPr>
            <w:r w:rsidRPr="009B3798">
              <w:t>T8.</w:t>
            </w:r>
            <w:r w:rsidRPr="009B3798">
              <w:tab/>
              <w:t xml:space="preserve">  System Capacity Controls</w:t>
            </w:r>
          </w:p>
          <w:p w:rsidR="00000000" w:rsidRPr="009B3798" w:rsidP="009B3798">
            <w:pPr>
              <w:pStyle w:val="ListBullet"/>
            </w:pPr>
            <w:r w:rsidRPr="009B3798">
              <w:t xml:space="preserve">Methods </w:t>
            </w:r>
          </w:p>
          <w:p w:rsidR="00000000" w:rsidRPr="009B3798" w:rsidP="009B3798">
            <w:pPr>
              <w:pStyle w:val="ListBullet"/>
            </w:pPr>
            <w:r w:rsidRPr="009B3798">
              <w:t xml:space="preserve">Components </w:t>
            </w:r>
          </w:p>
          <w:p w:rsidR="00000000" w:rsidRPr="009B3798" w:rsidP="009B3798">
            <w:pPr>
              <w:pStyle w:val="ListBullet"/>
            </w:pPr>
            <w:r w:rsidRPr="009B3798">
              <w:t>Operation</w:t>
            </w:r>
          </w:p>
          <w:p w:rsidR="00000000" w:rsidRPr="009B3798" w:rsidP="009B3798">
            <w:pPr>
              <w:pStyle w:val="ListBullet"/>
            </w:pPr>
            <w:r w:rsidRPr="009B3798">
              <w:t>Applications</w:t>
            </w:r>
          </w:p>
        </w:tc>
      </w:tr>
    </w:tbl>
    <w:p w:rsidR="00000000" w:rsidRPr="009B3798" w:rsidP="009B3798">
      <w:pPr>
        <w:pStyle w:val="BodyText"/>
      </w:pPr>
    </w:p>
    <w:p w:rsidR="00000000" w:rsidRPr="009B3798" w:rsidP="009B3798">
      <w:pPr>
        <w:pStyle w:val="AllowPageBreak"/>
      </w:pPr>
    </w:p>
    <w:p w:rsidR="00000000" w:rsidRPr="009B3798" w:rsidP="009B3798">
      <w:pPr>
        <w:pStyle w:val="Heading1"/>
      </w:pPr>
      <w:bookmarkStart w:id="10" w:name="O_589473"/>
      <w:bookmarkEnd w:id="10"/>
      <w:r w:rsidRPr="009B3798">
        <w:t>Evidence Guide</w:t>
      </w:r>
    </w:p>
    <w:tbl>
      <w:tblPr>
        <w:tblW w:w="9356" w:type="dxa"/>
        <w:tblLayout w:type="fixed"/>
        <w:tblCellMar>
          <w:left w:w="62" w:type="dxa"/>
          <w:right w:w="62" w:type="dxa"/>
        </w:tblCellMar>
        <w:tblLook w:val="0000"/>
      </w:tblPr>
      <w:tblGrid>
        <w:gridCol w:w="2160"/>
        <w:gridCol w:w="288"/>
        <w:gridCol w:w="540"/>
        <w:gridCol w:w="1341"/>
        <w:gridCol w:w="5027"/>
      </w:tblGrid>
      <w:tr w:rsidTr="00BB7F41">
        <w:tblPrEx>
          <w:tblW w:w="9356" w:type="dxa"/>
          <w:tblLayout w:type="fixed"/>
          <w:tblCellMar>
            <w:left w:w="62" w:type="dxa"/>
            <w:right w:w="62" w:type="dxa"/>
          </w:tblCellMar>
          <w:tblLook w:val="0000"/>
        </w:tblPrEx>
        <w:trPr>
          <w:tblHeader/>
        </w:trPr>
        <w:tc>
          <w:tcPr>
            <w:tcW w:w="9356" w:type="dxa"/>
            <w:gridSpan w:val="5"/>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EVIDENCE GUIDE</w:t>
            </w:r>
          </w:p>
        </w:tc>
      </w:tr>
      <w:tr w:rsidTr="00BB7F41">
        <w:tblPrEx>
          <w:tblW w:w="9356" w:type="dxa"/>
          <w:tblLayout w:type="fixed"/>
          <w:tblCellMar>
            <w:left w:w="62" w:type="dxa"/>
            <w:right w:w="62" w:type="dxa"/>
          </w:tblCellMar>
          <w:tblLook w:val="0000"/>
        </w:tblPrEx>
        <w:tc>
          <w:tcPr>
            <w:tcW w:w="9356" w:type="dxa"/>
            <w:gridSpan w:val="5"/>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9</w:t>
            </w:r>
            <w:r w:rsidRPr="009B3798">
              <w:t>) The evidence guide provides advice on assessment and must be read in conjunction with the Performance Criteria, Required Skills and Knowledge, the Range Statement and the Assessment Guidelines for this Training Package. .</w:t>
            </w:r>
          </w:p>
          <w:p w:rsidR="00000000" w:rsidP="009B3798">
            <w:pPr>
              <w:pStyle w:val="BodyText"/>
              <w:rPr>
                <w:lang w:val="en-NZ"/>
              </w:rPr>
            </w:pPr>
            <w:r w:rsidRPr="009B3798">
              <w:t>The Evidence Guide forms an inte</w:t>
            </w:r>
            <w:r w:rsidRPr="009B3798">
              <w:t>gral part of this Unit. It must be used in conjunction with all parts of this unit and performed in accordance with the Assessment Guidelines of this Training Package.</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Overview of Assessment</w:t>
            </w:r>
          </w:p>
        </w:tc>
        <w:tc>
          <w:tcPr>
            <w:tcW w:w="7196" w:type="dxa"/>
            <w:gridSpan w:val="4"/>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9</w:t>
            </w:r>
            <w:r w:rsidRPr="009B3798">
              <w:t>.</w:t>
            </w:r>
            <w:r w:rsidRPr="009B3798">
              <w:rPr>
                <w:rStyle w:val="SpecialBold"/>
              </w:rPr>
              <w:t>1</w:t>
            </w:r>
            <w:r w:rsidRPr="009B3798">
              <w:t xml:space="preserve">) </w:t>
            </w:r>
          </w:p>
          <w:p w:rsidR="00000000" w:rsidRPr="009B3798" w:rsidP="009B3798">
            <w:pPr>
              <w:pStyle w:val="BodyText"/>
            </w:pPr>
            <w:r w:rsidRPr="009B3798">
              <w:t>Longitudinal competency development approaches to asse</w:t>
            </w:r>
            <w:r w:rsidRPr="009B3798">
              <w:t xml:space="preserve">ssment, such as Profiling, require data to be reliably gathered in a form that can be consistently interpreted over time. This approach is best utilised in Apprenticeship programs and reduces assessment intervention. It is the industry-preferred model for </w:t>
            </w:r>
            <w:r w:rsidRPr="009B3798">
              <w:t xml:space="preserve">apprenticeships. However, where summative (or final) assessment is used it is to include the application of the competency in the normal work environment or, at a minimum, the application of the competency in a realistically simulated work environment. In </w:t>
            </w:r>
            <w:r w:rsidRPr="009B3798">
              <w:t>some circumstances, assessment in part or full can occur outside the workplace. However, it must be in accordance with industry and regulatory policy.</w:t>
            </w:r>
          </w:p>
          <w:p w:rsidR="00000000" w:rsidRPr="009B3798" w:rsidP="009B3798">
            <w:pPr>
              <w:pStyle w:val="BodyText"/>
            </w:pPr>
            <w:r w:rsidRPr="009B3798">
              <w:t>Methods chosen for a particular assessment will be influenced by various factors. These include the exten</w:t>
            </w:r>
            <w:r w:rsidRPr="009B3798">
              <w:t>t of the assessment, the most effective locations for the assessment activities to take place, access to physical resources, additional safety measures that may be required and the critical nature of the competencies being assessed.</w:t>
            </w:r>
          </w:p>
          <w:p w:rsidR="00000000" w:rsidRPr="009B3798" w:rsidP="009B3798">
            <w:pPr>
              <w:pStyle w:val="BodyText"/>
            </w:pPr>
            <w:r w:rsidRPr="009B3798">
              <w:t>The critical safety nat</w:t>
            </w:r>
            <w:r w:rsidRPr="009B3798">
              <w:t>ure of working with electricity, electrical equipment, gas or any other hazardous substance/material carries risk in deeming a person competent. Sources of evidence need to be 'rich' in nature to minimise error in judgment.</w:t>
            </w:r>
          </w:p>
          <w:p w:rsidR="00000000" w:rsidP="009B3798">
            <w:pPr>
              <w:pStyle w:val="BodyText"/>
              <w:rPr>
                <w:lang w:val="en-NZ"/>
              </w:rPr>
            </w:pPr>
            <w:r w:rsidRPr="009B3798">
              <w:t>Activities associated with norma</w:t>
            </w:r>
            <w:r w:rsidRPr="009B3798">
              <w:t>l everyday work influence decisions about how/how much the data gathered will contribute to its 'richness'. Some skills are more critical to safety and operational requirements while the same skills may be more or less frequently practised. These points ar</w:t>
            </w:r>
            <w:r w:rsidRPr="009B3798">
              <w:t>e raised for the assessors to consider when choosing an assessment method and developing assessment instruments. Sample assessment instruments are included for Assessors in the Assessment Guidelines of this Training Package.</w:t>
            </w:r>
          </w:p>
        </w:tc>
      </w:tr>
      <w:tr w:rsidTr="00BB7F41">
        <w:tblPrEx>
          <w:tblW w:w="9356" w:type="dxa"/>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 xml:space="preserve">Critical aspects of evidence required to demonstrate </w:t>
            </w:r>
            <w:r w:rsidRPr="009B3798">
              <w:rPr>
                <w:rStyle w:val="SpecialBold"/>
              </w:rPr>
              <w:t>competency in this unit</w:t>
            </w:r>
          </w:p>
        </w:tc>
        <w:tc>
          <w:tcPr>
            <w:tcW w:w="7196" w:type="dxa"/>
            <w:gridSpan w:val="4"/>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9</w:t>
            </w:r>
            <w:r w:rsidRPr="009B3798">
              <w:t>.</w:t>
            </w:r>
            <w:r w:rsidRPr="009B3798">
              <w:rPr>
                <w:rStyle w:val="SpecialBold"/>
              </w:rPr>
              <w:t>2</w:t>
            </w:r>
            <w:r w:rsidRPr="009B3798">
              <w:t xml:space="preserve">) </w:t>
            </w:r>
          </w:p>
          <w:p w:rsidR="00000000" w:rsidP="009B3798">
            <w:pPr>
              <w:pStyle w:val="BodyText"/>
              <w:rPr>
                <w:lang w:val="en-NZ"/>
              </w:rPr>
            </w:pPr>
            <w:r w:rsidRPr="009B3798">
              <w:t>Before the critical aspects of evidence are considered all prerequisites must be met.</w:t>
            </w:r>
          </w:p>
        </w:tc>
      </w:tr>
      <w:tr w:rsidTr="00BB7F41">
        <w:tblPrEx>
          <w:tblW w:w="9356" w:type="dxa"/>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6" w:type="dxa"/>
            <w:gridSpan w:val="4"/>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Evidence for competence in this unit shall be considered holistically.  Each Eleme</w:t>
            </w:r>
            <w:r w:rsidRPr="009B3798">
              <w:t>nt and associated performance criteria shall be demonstrated on at least two occasions in accordance with the 'Assessment Guidelines - UEE07'.  Evidence shall also comprise:</w:t>
            </w:r>
          </w:p>
          <w:p w:rsidR="00000000" w:rsidP="009B3798">
            <w:pPr>
              <w:pStyle w:val="ListBullet"/>
              <w:rPr>
                <w:lang w:val="en-NZ"/>
              </w:rPr>
            </w:pPr>
            <w:r w:rsidRPr="009B3798">
              <w:t>A representative body of work performance demonstrated within the timeframes typi</w:t>
            </w:r>
            <w:r w:rsidRPr="009B3798">
              <w:t>cally expected of the discipline, work function and industrial environment. In particular this shall incorporate evidence that shows a candidate is able to:</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p>
        </w:tc>
        <w:tc>
          <w:tcPr>
            <w:tcW w:w="7196" w:type="dxa"/>
            <w:gridSpan w:val="4"/>
            <w:tcBorders>
              <w:top w:val="nil"/>
              <w:left w:val="nil"/>
              <w:bottom w:val="nil"/>
              <w:right w:val="nil"/>
            </w:tcBorders>
            <w:tcMar>
              <w:top w:w="0" w:type="dxa"/>
              <w:left w:w="62" w:type="dxa"/>
              <w:bottom w:w="0" w:type="dxa"/>
              <w:right w:w="62" w:type="dxa"/>
            </w:tcMar>
          </w:tcPr>
          <w:p w:rsidR="00000000" w:rsidRPr="009B3798" w:rsidP="009B3798">
            <w:pPr>
              <w:pStyle w:val="ListBullet2"/>
            </w:pPr>
            <w:r w:rsidRPr="009B3798">
              <w:t xml:space="preserve">Implement Occupational Health and Safety workplace procedures and practices including </w:t>
            </w:r>
            <w:r w:rsidRPr="009B3798">
              <w:t>the use of risk control measures as specified in the performance criteria and range statement</w:t>
            </w:r>
          </w:p>
          <w:p w:rsidR="00000000" w:rsidRPr="009B3798" w:rsidP="009B3798">
            <w:pPr>
              <w:pStyle w:val="ListBullet2"/>
            </w:pPr>
            <w:r w:rsidRPr="009B3798">
              <w:t>Apply sustainable energy principles and practices as specified in the performance criteria and range statement</w:t>
            </w:r>
          </w:p>
          <w:p w:rsidR="00000000" w:rsidRPr="009B3798" w:rsidP="009B3798">
            <w:pPr>
              <w:pStyle w:val="ListBullet2"/>
            </w:pPr>
            <w:r w:rsidRPr="009B3798">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9B3798" w:rsidP="009B3798">
            <w:pPr>
              <w:pStyle w:val="ListBullet2"/>
            </w:pPr>
            <w:r w:rsidRPr="009B3798">
              <w:t>Demonst</w:t>
            </w:r>
            <w:r w:rsidRPr="009B3798">
              <w:t>rate an appropriate level of skills enabling employment</w:t>
            </w:r>
          </w:p>
          <w:p w:rsidR="00000000" w:rsidP="009B3798">
            <w:pPr>
              <w:pStyle w:val="ListBullet2"/>
              <w:rPr>
                <w:lang w:val="en-NZ"/>
              </w:rPr>
            </w:pPr>
            <w:r w:rsidRPr="009B3798">
              <w:t>Conduct work observing the relevant Anti Discrimination legislation, regulations, polices and workplace procedures</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p>
        </w:tc>
        <w:tc>
          <w:tcPr>
            <w:tcW w:w="7196" w:type="dxa"/>
            <w:gridSpan w:val="4"/>
            <w:tcBorders>
              <w:top w:val="nil"/>
              <w:left w:val="nil"/>
              <w:bottom w:val="nil"/>
              <w:right w:val="nil"/>
            </w:tcBorders>
            <w:tcMar>
              <w:top w:w="0" w:type="dxa"/>
              <w:left w:w="62" w:type="dxa"/>
              <w:bottom w:w="0" w:type="dxa"/>
              <w:right w:w="62" w:type="dxa"/>
            </w:tcMar>
          </w:tcPr>
          <w:p w:rsidR="00000000" w:rsidP="009B3798">
            <w:pPr>
              <w:pStyle w:val="ListBullet"/>
              <w:rPr>
                <w:lang w:val="en-NZ"/>
              </w:rPr>
            </w:pPr>
            <w:r w:rsidRPr="009B3798">
              <w:t>Demonstrated consistent performance across a representative range of contexts f</w:t>
            </w:r>
            <w:r w:rsidRPr="009B3798">
              <w:t>rom the prescribed items below:</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p>
        </w:tc>
        <w:tc>
          <w:tcPr>
            <w:tcW w:w="7196" w:type="dxa"/>
            <w:gridSpan w:val="4"/>
            <w:tcBorders>
              <w:top w:val="nil"/>
              <w:left w:val="nil"/>
              <w:bottom w:val="nil"/>
              <w:right w:val="nil"/>
            </w:tcBorders>
            <w:tcMar>
              <w:top w:w="0" w:type="dxa"/>
              <w:left w:w="62" w:type="dxa"/>
              <w:bottom w:w="0" w:type="dxa"/>
              <w:right w:w="62" w:type="dxa"/>
            </w:tcMar>
          </w:tcPr>
          <w:p w:rsidR="00000000" w:rsidP="009B3798">
            <w:pPr>
              <w:pStyle w:val="ListBullet2"/>
              <w:rPr>
                <w:lang w:val="en-NZ"/>
              </w:rPr>
            </w:pPr>
            <w:r w:rsidRPr="009B3798">
              <w:t>Select refrigerant pipe/tube, accessories and associated controls as described in 8) and including:</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A</w:t>
            </w:r>
          </w:p>
        </w:tc>
        <w:tc>
          <w:tcPr>
            <w:tcW w:w="6368"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Arranging pipe work to comply with regulatory and functional requirements.</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B</w:t>
            </w:r>
          </w:p>
        </w:tc>
        <w:tc>
          <w:tcPr>
            <w:tcW w:w="6368"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Selecting appropriate type, size and quantity of piping and tubing</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C</w:t>
            </w:r>
          </w:p>
        </w:tc>
        <w:tc>
          <w:tcPr>
            <w:tcW w:w="6368"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Selecting refrigeration accessories that meets load requirements</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D</w:t>
            </w:r>
          </w:p>
        </w:tc>
        <w:tc>
          <w:tcPr>
            <w:tcW w:w="6368"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Selecting control devices that meet functional and regulatory requirements.</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E</w:t>
            </w:r>
          </w:p>
        </w:tc>
        <w:tc>
          <w:tcPr>
            <w:tcW w:w="6368"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Documentin</w:t>
            </w:r>
            <w:r w:rsidRPr="009B3798">
              <w:t>g pipe work arrangement, specification for items selected and reasons for the selections made</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F</w:t>
            </w:r>
          </w:p>
        </w:tc>
        <w:tc>
          <w:tcPr>
            <w:tcW w:w="6368" w:type="dxa"/>
            <w:gridSpan w:val="2"/>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Dealing with unplanned events by drawing on essential knowledge and skills to provide appropriate solutions incorporated in the holistic assessment with the</w:t>
            </w:r>
            <w:r w:rsidRPr="009B3798">
              <w:t xml:space="preserve"> above listed items</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Context of and specific resources for assessment</w:t>
            </w:r>
          </w:p>
        </w:tc>
        <w:tc>
          <w:tcPr>
            <w:tcW w:w="7196" w:type="dxa"/>
            <w:gridSpan w:val="4"/>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9</w:t>
            </w:r>
            <w:r w:rsidRPr="009B3798">
              <w:t>.</w:t>
            </w:r>
            <w:r w:rsidRPr="009B3798">
              <w:rPr>
                <w:rStyle w:val="SpecialBold"/>
              </w:rPr>
              <w:t>3</w:t>
            </w:r>
            <w:r w:rsidRPr="009B3798">
              <w:t xml:space="preserve">) </w:t>
            </w:r>
          </w:p>
          <w:p w:rsidR="00000000" w:rsidRPr="009B3798" w:rsidP="009B3798">
            <w:pPr>
              <w:pStyle w:val="BodyText"/>
            </w:pPr>
            <w:r w:rsidRPr="009B3798">
              <w:t>This unit should be assessed as it relates to normal work practice using procedures, information and resources typical of a workplace. This should include:</w:t>
            </w:r>
          </w:p>
          <w:p w:rsidR="00000000" w:rsidRPr="009B3798" w:rsidP="009B3798">
            <w:pPr>
              <w:pStyle w:val="ListBullet"/>
            </w:pPr>
            <w:r w:rsidRPr="009B3798">
              <w:t>OHS policy and work pr</w:t>
            </w:r>
            <w:r w:rsidRPr="009B3798">
              <w:t>ocedures and instructions.</w:t>
            </w:r>
          </w:p>
          <w:p w:rsidR="00000000" w:rsidRPr="009B3798" w:rsidP="009B3798">
            <w:pPr>
              <w:pStyle w:val="ListBullet"/>
            </w:pPr>
            <w:r w:rsidRPr="009B3798">
              <w:t>Suitable work environment, facilities, equipment and materials to undertake actual work as prescribed by this unit.</w:t>
            </w:r>
          </w:p>
          <w:p w:rsidR="00000000" w:rsidRPr="009B3798" w:rsidP="009B3798">
            <w:pPr>
              <w:pStyle w:val="BodyText"/>
            </w:pPr>
            <w:r w:rsidRPr="009B3798">
              <w:t>These should be part of the formal learning/assessment environment.</w:t>
            </w:r>
          </w:p>
          <w:p w:rsidR="00000000" w:rsidRPr="009B3798" w:rsidP="009B3798">
            <w:pPr>
              <w:pStyle w:val="BodyText"/>
            </w:pPr>
            <w:r w:rsidRPr="009B3798">
              <w:t>Note:</w:t>
            </w:r>
          </w:p>
          <w:p w:rsidR="00000000" w:rsidP="009B3798">
            <w:pPr>
              <w:pStyle w:val="BodyText"/>
              <w:rPr>
                <w:lang w:val="en-NZ"/>
              </w:rPr>
            </w:pPr>
            <w:r w:rsidRPr="009B3798">
              <w:t>Where simulation is considered a suitable strategy for assessment, conditions must be authentic and as far as possible reproduce and replicate the workplace and be consistent with the approved industry simulation policy.</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6" w:type="dxa"/>
            <w:gridSpan w:val="4"/>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Evidence should show demonstra</w:t>
            </w:r>
            <w:r w:rsidRPr="009B3798">
              <w:t>ted competency in selecting refrigerant pipe/tube, accessories and associated controls.</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Method of assessment</w:t>
            </w:r>
          </w:p>
        </w:tc>
        <w:tc>
          <w:tcPr>
            <w:tcW w:w="7196" w:type="dxa"/>
            <w:gridSpan w:val="4"/>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9</w:t>
            </w:r>
            <w:r w:rsidRPr="009B3798">
              <w:t>.</w:t>
            </w:r>
            <w:r w:rsidRPr="009B3798">
              <w:rPr>
                <w:rStyle w:val="SpecialBold"/>
              </w:rPr>
              <w:t>4</w:t>
            </w:r>
            <w:r w:rsidRPr="009B3798">
              <w:t xml:space="preserve">) </w:t>
            </w:r>
          </w:p>
          <w:p w:rsidR="00000000" w:rsidRPr="009B3798" w:rsidP="009B3798">
            <w:pPr>
              <w:pStyle w:val="BodyText"/>
            </w:pPr>
            <w:r w:rsidRPr="009B3798">
              <w:t>This unit shall be assessed by methods given in Volume 1, Part 3 'Assessment Guidelines'.</w:t>
            </w:r>
          </w:p>
          <w:p w:rsidR="00000000" w:rsidP="009B3798">
            <w:pPr>
              <w:pStyle w:val="BodyText"/>
              <w:rPr>
                <w:lang w:val="en-NZ"/>
              </w:rPr>
            </w:pPr>
            <w:r w:rsidRPr="009B3798">
              <w:t xml:space="preserve">Note: </w:t>
            </w:r>
            <w:r w:rsidRPr="009B3798">
              <w:br/>
            </w:r>
            <w:r w:rsidRPr="009B3798">
              <w:t>Competent performance with inherent safe working practices is expected in the Industry to which this unit applies. This requires assessment in a structured environment which is intended primarily for learning/assessment and incorporates all necessary equip</w:t>
            </w:r>
            <w:r w:rsidRPr="009B3798">
              <w:t>ment and facilities for learners to develop and demonstrate the essential knowledge and skills described in this unit.</w:t>
            </w:r>
          </w:p>
        </w:tc>
      </w:tr>
      <w:tr w:rsidTr="00BB7F41">
        <w:tblPrEx>
          <w:tblW w:w="9356" w:type="dxa"/>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Concurrent assessment and relationship with other units</w:t>
            </w:r>
          </w:p>
        </w:tc>
        <w:tc>
          <w:tcPr>
            <w:tcW w:w="7196" w:type="dxa"/>
            <w:gridSpan w:val="4"/>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9</w:t>
            </w:r>
            <w:r w:rsidRPr="009B3798">
              <w:t>.</w:t>
            </w:r>
            <w:r w:rsidRPr="009B3798">
              <w:rPr>
                <w:rStyle w:val="SpecialBold"/>
              </w:rPr>
              <w:t>5</w:t>
            </w:r>
            <w:r w:rsidRPr="009B3798">
              <w:t>)</w:t>
            </w:r>
          </w:p>
        </w:tc>
      </w:tr>
      <w:tr w:rsidTr="00BB7F41">
        <w:tblPrEx>
          <w:tblW w:w="9356" w:type="dxa"/>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6" w:type="dxa"/>
            <w:gridSpan w:val="4"/>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For optimisation of training and assessment effort, competency development in this unit may be arranged concurrently with unit:</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gridSpan w:val="3"/>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UEENEED001B</w:t>
            </w:r>
          </w:p>
        </w:tc>
        <w:tc>
          <w:tcPr>
            <w:tcW w:w="5027"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Use basic computer applications relevant to a workplace'</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gridSpan w:val="3"/>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UEENEEJ106A</w:t>
            </w:r>
            <w:r w:rsidRPr="009B3798">
              <w:tab/>
            </w:r>
          </w:p>
        </w:tc>
        <w:tc>
          <w:tcPr>
            <w:tcW w:w="5027"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 xml:space="preserve">Install refrigerant </w:t>
            </w:r>
            <w:r w:rsidRPr="009B3798">
              <w:t>pipe work, flow controls and accessories</w:t>
            </w:r>
          </w:p>
        </w:tc>
      </w:tr>
      <w:tr w:rsidTr="00BB7F41">
        <w:tblPrEx>
          <w:tblW w:w="9356" w:type="dxa"/>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7" w:type="dxa"/>
            <w:tcBorders>
              <w:top w:val="nil"/>
              <w:left w:val="nil"/>
              <w:bottom w:val="nil"/>
              <w:right w:val="nil"/>
            </w:tcBorders>
            <w:tcMar>
              <w:top w:w="0" w:type="dxa"/>
              <w:left w:w="62" w:type="dxa"/>
              <w:bottom w:w="0" w:type="dxa"/>
              <w:right w:w="62" w:type="dxa"/>
            </w:tcMar>
          </w:tcPr>
          <w:p w:rsidR="00000000" w:rsidRPr="009B3798" w:rsidP="009B3798">
            <w:pPr>
              <w:pStyle w:val="BodyText"/>
            </w:pPr>
          </w:p>
        </w:tc>
      </w:tr>
    </w:tbl>
    <w:p w:rsidR="00BB7F41" w:rsidP="009B3798">
      <w:pPr>
        <w:pStyle w:val="BodyText"/>
      </w:pPr>
    </w:p>
    <w:p w:rsidR="00BB7F41" w:rsidP="009B3798">
      <w:pPr>
        <w:pStyle w:val="BodyText"/>
      </w:pPr>
    </w:p>
    <w:p w:rsidR="00000000" w:rsidRPr="009B3798" w:rsidP="009B3798">
      <w:pPr>
        <w:pStyle w:val="Heading1"/>
      </w:pPr>
      <w:bookmarkStart w:id="11" w:name="O_589472"/>
      <w:bookmarkEnd w:id="11"/>
      <w:r w:rsidRPr="009B3798">
        <w:t>Range Statement</w:t>
      </w:r>
    </w:p>
    <w:tbl>
      <w:tblPr>
        <w:tblW w:w="9356" w:type="dxa"/>
        <w:tblLayout w:type="fixed"/>
        <w:tblCellMar>
          <w:left w:w="62" w:type="dxa"/>
          <w:right w:w="62" w:type="dxa"/>
        </w:tblCellMar>
        <w:tblLook w:val="0000"/>
      </w:tblPr>
      <w:tblGrid>
        <w:gridCol w:w="9356"/>
      </w:tblGrid>
      <w:tr w:rsidTr="00BB7F41">
        <w:tblPrEx>
          <w:tblW w:w="9356" w:type="dxa"/>
          <w:tblLayout w:type="fixed"/>
          <w:tblCellMar>
            <w:left w:w="62" w:type="dxa"/>
            <w:right w:w="62" w:type="dxa"/>
          </w:tblCellMar>
          <w:tblLook w:val="0000"/>
        </w:tblPrEx>
        <w:trPr>
          <w:tblHeader/>
        </w:trPr>
        <w:tc>
          <w:tcPr>
            <w:tcW w:w="9356"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 xml:space="preserve">              </w:t>
            </w:r>
          </w:p>
          <w:p w:rsidR="00000000" w:rsidP="009B3798">
            <w:pPr>
              <w:pStyle w:val="BodyText"/>
              <w:rPr>
                <w:lang w:val="en-NZ"/>
              </w:rPr>
            </w:pPr>
            <w:r w:rsidRPr="009B3798">
              <w:rPr>
                <w:rStyle w:val="SpecialBold"/>
              </w:rPr>
              <w:t>RANGE STATEMENT</w:t>
            </w:r>
          </w:p>
        </w:tc>
      </w:tr>
      <w:tr w:rsidTr="00BB7F41">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8</w:t>
            </w:r>
            <w:r w:rsidRPr="009B3798">
              <w:t xml:space="preserve">) This relates to the unit as a whole providing the range of contexts and conditions to which the performance </w:t>
            </w:r>
            <w:r w:rsidRPr="009B3798">
              <w:t>criteria apply. It allows for different work environments and situations that will affect performance.</w:t>
            </w:r>
          </w:p>
        </w:tc>
      </w:tr>
      <w:tr w:rsidTr="00BB7F41">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This unit must be demonstrated in relation to the selection of refrigerant pipe/tube, accessories and associated controls for two different refrigeratio</w:t>
            </w:r>
            <w:r w:rsidRPr="009B3798">
              <w:t xml:space="preserve">n systems. </w:t>
            </w:r>
          </w:p>
          <w:p w:rsidR="00000000" w:rsidP="009B3798">
            <w:pPr>
              <w:pStyle w:val="BodyText"/>
              <w:rPr>
                <w:lang w:val="en-NZ"/>
              </w:rPr>
            </w:pPr>
            <w:r w:rsidRPr="009B3798">
              <w:t>These include the following; refrigerant pipe (quick selection method) and fittings, refrigeration flow controls, isolation/access valves, filter-dryers, sight glasses, accessories, thermostats, pressure controls and humidity controls.</w:t>
            </w:r>
          </w:p>
        </w:tc>
      </w:tr>
      <w:tr w:rsidTr="00BB7F41">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Generic</w:t>
            </w:r>
            <w:r w:rsidRPr="009B3798">
              <w:t xml:space="preserve"> terms used throughout this Vocational Standard shall be regarded as part of the Range Statement in which competency is demonstrated. The definition of these and other terms that apply are given in Volume 2, Part 2.1.</w:t>
            </w:r>
          </w:p>
        </w:tc>
      </w:tr>
    </w:tbl>
    <w:p w:rsidR="00BB7F41" w:rsidP="009B3798">
      <w:pPr>
        <w:pStyle w:val="BodyText"/>
      </w:pPr>
    </w:p>
    <w:p w:rsidR="00BB7F41" w:rsidP="009B3798">
      <w:pPr>
        <w:pStyle w:val="BodyText"/>
      </w:pPr>
    </w:p>
    <w:p w:rsidR="00000000" w:rsidRPr="009B3798" w:rsidP="009B3798">
      <w:pPr>
        <w:pStyle w:val="Heading1"/>
      </w:pPr>
      <w:bookmarkStart w:id="12" w:name="O_589471"/>
      <w:bookmarkEnd w:id="12"/>
      <w:r w:rsidRPr="009B3798">
        <w:t>Unit Sector(s)</w:t>
      </w:r>
    </w:p>
    <w:p w:rsidR="00000000" w:rsidRPr="009B3798" w:rsidP="009B3798">
      <w:pPr>
        <w:pStyle w:val="BodyText"/>
      </w:pPr>
      <w:r w:rsidRPr="009B3798">
        <w:t>Not</w:t>
      </w:r>
      <w:r w:rsidRPr="009B3798">
        <w:t xml:space="preserve"> Applicable</w:t>
      </w:r>
    </w:p>
    <w:p w:rsidR="00000000" w:rsidRPr="009B3798" w:rsidP="009B3798">
      <w:pPr>
        <w:pStyle w:val="AllowPageBreak"/>
      </w:pPr>
    </w:p>
    <w:p w:rsidR="00000000" w:rsidRPr="009B3798" w:rsidP="009B3798">
      <w:pPr>
        <w:pStyle w:val="Heading1"/>
      </w:pPr>
      <w:bookmarkStart w:id="13" w:name="O_589470"/>
      <w:bookmarkEnd w:id="13"/>
      <w:r w:rsidRPr="009B379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B7F4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2</w:t>
            </w:r>
            <w:r w:rsidRPr="009B3798">
              <w:t>.</w:t>
            </w:r>
            <w:r w:rsidRPr="009B3798">
              <w:rPr>
                <w:rStyle w:val="SpecialBold"/>
              </w:rPr>
              <w:t>2</w:t>
            </w:r>
            <w:r w:rsidRPr="009B3798">
              <w:t xml:space="preserve">) </w:t>
            </w:r>
            <w:r w:rsidRPr="009B3798">
              <w:rPr>
                <w:rStyle w:val="SpecialBold"/>
              </w:rPr>
              <w:t>Literacy and numeracy skills</w:t>
            </w:r>
          </w:p>
          <w:p w:rsidR="00000000" w:rsidP="009B3798">
            <w:pPr>
              <w:pStyle w:val="BodyText"/>
              <w:rPr>
                <w:lang w:val="en-NZ"/>
              </w:rPr>
            </w:pPr>
            <w:r w:rsidRPr="009B3798">
              <w:t>Participants are best equipped to achieve competency in this unit if they have reading, writing and numeracy skills indicated by the following scales. Description of each scale</w:t>
            </w:r>
            <w:r w:rsidRPr="009B3798">
              <w:t xml:space="preserve"> is given in Volume 2, Part 3 'Literacy and Numeracy'</w:t>
            </w:r>
          </w:p>
        </w:tc>
      </w:tr>
      <w:tr w:rsidTr="00BB7F4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Reading</w:t>
            </w:r>
          </w:p>
        </w:tc>
        <w:tc>
          <w:tcPr>
            <w:tcW w:w="1182"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w:t>
            </w:r>
          </w:p>
        </w:tc>
        <w:tc>
          <w:tcPr>
            <w:tcW w:w="1739"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Writing</w:t>
            </w:r>
          </w:p>
        </w:tc>
        <w:tc>
          <w:tcPr>
            <w:tcW w:w="1182"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3</w:t>
            </w:r>
          </w:p>
        </w:tc>
        <w:tc>
          <w:tcPr>
            <w:tcW w:w="1721"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t>Numeracy</w:t>
            </w:r>
          </w:p>
        </w:tc>
        <w:tc>
          <w:tcPr>
            <w:tcW w:w="1182"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3</w:t>
            </w:r>
          </w:p>
        </w:tc>
      </w:tr>
    </w:tbl>
    <w:p w:rsidR="00BB7F41" w:rsidP="009B3798">
      <w:pPr>
        <w:pStyle w:val="BodyText"/>
      </w:pPr>
    </w:p>
    <w:p w:rsidR="00BB7F41" w:rsidP="009B3798">
      <w:pPr>
        <w:pStyle w:val="BodyText"/>
      </w:pPr>
    </w:p>
    <w:p w:rsidR="00000000" w:rsidRPr="009B3798" w:rsidP="009B3798">
      <w:pPr>
        <w:pStyle w:val="Heading1"/>
      </w:pPr>
      <w:bookmarkStart w:id="14" w:name="O_589469"/>
      <w:bookmarkEnd w:id="14"/>
      <w:r w:rsidRPr="009B3798">
        <w:t>Custom Content Section</w:t>
      </w:r>
    </w:p>
    <w:tbl>
      <w:tblPr>
        <w:tblW w:w="0" w:type="auto"/>
        <w:tblLayout w:type="fixed"/>
        <w:tblCellMar>
          <w:left w:w="62" w:type="dxa"/>
          <w:right w:w="62" w:type="dxa"/>
        </w:tblCellMar>
        <w:tblLook w:val="0000"/>
      </w:tblPr>
      <w:tblGrid>
        <w:gridCol w:w="2700"/>
        <w:gridCol w:w="5760"/>
      </w:tblGrid>
      <w:tr w:rsidTr="00BB7F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3798">
            <w:pPr>
              <w:pStyle w:val="BodyText"/>
              <w:rPr>
                <w:lang w:val="en-NZ"/>
              </w:rPr>
            </w:pPr>
            <w:r w:rsidRPr="009B3798">
              <w:rPr>
                <w:rStyle w:val="SpecialBold"/>
              </w:rPr>
              <w:t>5</w:t>
            </w:r>
            <w:r w:rsidRPr="009B3798">
              <w:t>)</w:t>
            </w:r>
          </w:p>
        </w:tc>
      </w:tr>
      <w:tr w:rsidTr="00BB7F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798" w:rsidP="009B3798">
            <w:pPr>
              <w:pStyle w:val="BodyText"/>
            </w:pPr>
            <w:r w:rsidRPr="009B3798">
              <w:t>Refrigeration and Air Conditioning</w:t>
            </w:r>
          </w:p>
        </w:tc>
      </w:tr>
    </w:tbl>
    <w:p w:rsidR="00BB7F41" w:rsidP="009B3798">
      <w:pPr>
        <w:pStyle w:val="BodyText"/>
      </w:pPr>
    </w:p>
    <w:p w:rsidR="00BB7F41" w:rsidP="009B3798">
      <w:pPr>
        <w:pStyle w:val="BodyText"/>
      </w:pPr>
    </w:p>
    <w:p w:rsidR="00000000" w:rsidRPr="009B3798" w:rsidP="009B3798"/>
    <w:sectPr w:rsidSect="009B37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98" w:rsidRPr="00BB7F41" w:rsidP="00BB7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41" w:rsidP="009B3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B7F41" w:rsidP="009B37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B7F41" w:rsidP="009B3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98" w:rsidRPr="00BB7F41" w:rsidP="00BB7F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41" w:rsidRPr="002D2AF8" w:rsidP="009B3798">
    <w:pPr>
      <w:pStyle w:val="Header"/>
      <w:framePr w:wrap="around"/>
    </w:pPr>
    <w:r>
      <w:fldChar w:fldCharType="begin"/>
    </w:r>
    <w:r>
      <w:instrText xml:space="preserve"> TITLE   \* MERGEFORMAT </w:instrText>
    </w:r>
    <w:r>
      <w:fldChar w:fldCharType="separate"/>
    </w:r>
    <w:r>
      <w:t>UEENEEJ110A Select refrigerant piping, accessories and associated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B7F41" w:rsidP="009B3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83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E3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A5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798"/>
    <w:pPr>
      <w:spacing w:before="360" w:after="60"/>
      <w:outlineLvl w:val="0"/>
    </w:pPr>
    <w:rPr>
      <w:sz w:val="32"/>
    </w:rPr>
  </w:style>
  <w:style w:type="paragraph" w:styleId="Heading2">
    <w:name w:val="heading 2"/>
    <w:basedOn w:val="HeadingBase"/>
    <w:next w:val="BodyText"/>
    <w:link w:val="Heading2Char"/>
    <w:qFormat/>
    <w:rsid w:val="009B3798"/>
    <w:pPr>
      <w:keepLines/>
      <w:spacing w:before="240" w:after="120"/>
      <w:outlineLvl w:val="1"/>
    </w:pPr>
    <w:rPr>
      <w:sz w:val="28"/>
      <w:szCs w:val="40"/>
    </w:rPr>
  </w:style>
  <w:style w:type="paragraph" w:styleId="Heading3">
    <w:name w:val="heading 3"/>
    <w:basedOn w:val="HeadingBase"/>
    <w:next w:val="BodyText"/>
    <w:link w:val="Heading3Char"/>
    <w:qFormat/>
    <w:rsid w:val="009B3798"/>
    <w:pPr>
      <w:spacing w:before="180" w:after="120"/>
      <w:outlineLvl w:val="2"/>
    </w:pPr>
    <w:rPr>
      <w:spacing w:val="-10"/>
      <w:kern w:val="32"/>
    </w:rPr>
  </w:style>
  <w:style w:type="paragraph" w:styleId="Heading4">
    <w:name w:val="heading 4"/>
    <w:basedOn w:val="HeadingBase"/>
    <w:next w:val="BodyText"/>
    <w:link w:val="Heading4Char"/>
    <w:qFormat/>
    <w:rsid w:val="009B3798"/>
    <w:pPr>
      <w:spacing w:before="160" w:after="120"/>
      <w:outlineLvl w:val="3"/>
    </w:pPr>
    <w:rPr>
      <w:sz w:val="22"/>
    </w:rPr>
  </w:style>
  <w:style w:type="paragraph" w:styleId="Heading5">
    <w:name w:val="heading 5"/>
    <w:basedOn w:val="HeadingBase"/>
    <w:next w:val="Normal"/>
    <w:link w:val="Heading5Char"/>
    <w:qFormat/>
    <w:rsid w:val="009B3798"/>
    <w:pPr>
      <w:spacing w:before="80"/>
      <w:outlineLvl w:val="4"/>
    </w:pPr>
    <w:rPr>
      <w:color w:val="918585"/>
      <w:sz w:val="20"/>
    </w:rPr>
  </w:style>
  <w:style w:type="paragraph" w:styleId="Heading6">
    <w:name w:val="heading 6"/>
    <w:basedOn w:val="HeadingBase"/>
    <w:next w:val="Normal"/>
    <w:link w:val="Heading6Char"/>
    <w:qFormat/>
    <w:rsid w:val="009B3798"/>
    <w:pPr>
      <w:spacing w:before="60"/>
      <w:outlineLvl w:val="5"/>
    </w:pPr>
    <w:rPr>
      <w:color w:val="918585"/>
      <w:sz w:val="20"/>
    </w:rPr>
  </w:style>
  <w:style w:type="paragraph" w:styleId="Heading7">
    <w:name w:val="heading 7"/>
    <w:basedOn w:val="Normal"/>
    <w:next w:val="Normal"/>
    <w:link w:val="Heading7Char"/>
    <w:qFormat/>
    <w:rsid w:val="009B3798"/>
    <w:pPr>
      <w:ind w:left="720"/>
      <w:outlineLvl w:val="6"/>
    </w:pPr>
    <w:rPr>
      <w:i/>
    </w:rPr>
  </w:style>
  <w:style w:type="paragraph" w:styleId="Heading8">
    <w:name w:val="heading 8"/>
    <w:basedOn w:val="Normal"/>
    <w:next w:val="Normal"/>
    <w:link w:val="Heading8Char"/>
    <w:qFormat/>
    <w:rsid w:val="009B3798"/>
    <w:pPr>
      <w:ind w:left="720"/>
      <w:outlineLvl w:val="7"/>
    </w:pPr>
    <w:rPr>
      <w:i/>
    </w:rPr>
  </w:style>
  <w:style w:type="paragraph" w:styleId="Heading9">
    <w:name w:val="heading 9"/>
    <w:basedOn w:val="Normal"/>
    <w:next w:val="Normal"/>
    <w:link w:val="Heading9Char"/>
    <w:qFormat/>
    <w:rsid w:val="009B3798"/>
    <w:pPr>
      <w:ind w:left="720"/>
      <w:outlineLvl w:val="8"/>
    </w:pPr>
    <w:rPr>
      <w:i/>
    </w:rPr>
  </w:style>
  <w:style w:type="character" w:default="1" w:styleId="DefaultParagraphFont">
    <w:name w:val="Default Paragraph Font"/>
    <w:uiPriority w:val="1"/>
    <w:unhideWhenUsed/>
    <w:rsid w:val="009B3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798"/>
  </w:style>
  <w:style w:type="character" w:customStyle="1" w:styleId="Heading1Char">
    <w:name w:val="Heading 1 Char"/>
    <w:basedOn w:val="DefaultParagraphFont"/>
    <w:link w:val="Heading1"/>
    <w:rsid w:val="009B3798"/>
    <w:rPr>
      <w:rFonts w:ascii="Times New Roman" w:eastAsia="Times New Roman" w:hAnsi="Times New Roman" w:cs="Times New Roman"/>
      <w:b/>
      <w:sz w:val="32"/>
      <w:szCs w:val="20"/>
      <w:lang w:eastAsia="en-US"/>
    </w:rPr>
  </w:style>
  <w:style w:type="paragraph" w:styleId="BodyText">
    <w:name w:val="Body Text"/>
    <w:basedOn w:val="Normal"/>
    <w:link w:val="BodyTextChar"/>
    <w:rsid w:val="009B37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798"/>
    <w:rPr>
      <w:rFonts w:ascii="Times New Roman" w:eastAsia="Times New Roman" w:hAnsi="Times New Roman" w:cs="Times New Roman"/>
      <w:sz w:val="24"/>
      <w:lang w:eastAsia="en-US"/>
    </w:rPr>
  </w:style>
  <w:style w:type="paragraph" w:styleId="ListBullet">
    <w:name w:val="List Bullet"/>
    <w:basedOn w:val="List"/>
    <w:rsid w:val="009B3798"/>
    <w:pPr>
      <w:numPr>
        <w:numId w:val="13"/>
      </w:numPr>
      <w:tabs>
        <w:tab w:val="clear" w:pos="340"/>
      </w:tabs>
      <w:spacing w:before="40" w:after="40"/>
    </w:pPr>
  </w:style>
  <w:style w:type="character" w:customStyle="1" w:styleId="SpecialBold">
    <w:name w:val="Special Bold"/>
    <w:basedOn w:val="DefaultParagraphFont"/>
    <w:rsid w:val="009B3798"/>
    <w:rPr>
      <w:b/>
      <w:spacing w:val="0"/>
    </w:rPr>
  </w:style>
  <w:style w:type="paragraph" w:styleId="ListBullet2">
    <w:name w:val="List Bullet 2"/>
    <w:basedOn w:val="List2"/>
    <w:rsid w:val="009B3798"/>
    <w:pPr>
      <w:numPr>
        <w:numId w:val="14"/>
      </w:numPr>
      <w:tabs>
        <w:tab w:val="clear" w:pos="680"/>
      </w:tabs>
    </w:pPr>
  </w:style>
  <w:style w:type="paragraph" w:customStyle="1" w:styleId="SuperHeading">
    <w:name w:val="SuperHeading"/>
    <w:basedOn w:val="Normal"/>
    <w:rsid w:val="009B3798"/>
    <w:pPr>
      <w:spacing w:before="240" w:after="120"/>
      <w:outlineLvl w:val="0"/>
    </w:pPr>
    <w:rPr>
      <w:rFonts w:ascii="Times New Roman" w:hAnsi="Times New Roman"/>
      <w:b/>
      <w:sz w:val="32"/>
    </w:rPr>
  </w:style>
  <w:style w:type="paragraph" w:customStyle="1" w:styleId="AllowPageBreak">
    <w:name w:val="AllowPageBreak"/>
    <w:rsid w:val="009B3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3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798"/>
    <w:rPr>
      <w:rFonts w:ascii="Courier New" w:eastAsia="Times New Roman" w:hAnsi="Courier New" w:cs="Times New Roman"/>
      <w:i/>
      <w:szCs w:val="20"/>
      <w:lang w:eastAsia="en-US"/>
    </w:rPr>
  </w:style>
  <w:style w:type="paragraph" w:customStyle="1" w:styleId="HeadingBase">
    <w:name w:val="Heading Base"/>
    <w:rsid w:val="009B3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798"/>
    <w:pPr>
      <w:tabs>
        <w:tab w:val="right" w:leader="dot" w:pos="9072"/>
      </w:tabs>
      <w:ind w:left="567"/>
    </w:pPr>
    <w:rPr>
      <w:szCs w:val="22"/>
    </w:rPr>
  </w:style>
  <w:style w:type="paragraph" w:customStyle="1" w:styleId="TOCBase">
    <w:name w:val="TOC Base"/>
    <w:rsid w:val="009B3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798"/>
    <w:pPr>
      <w:tabs>
        <w:tab w:val="right" w:leader="dot" w:pos="9072"/>
      </w:tabs>
      <w:spacing w:before="40" w:after="40"/>
      <w:ind w:left="284"/>
    </w:pPr>
    <w:rPr>
      <w:rFonts w:ascii="Times New Roman" w:hAnsi="Times New Roman"/>
    </w:rPr>
  </w:style>
  <w:style w:type="paragraph" w:styleId="TOC1">
    <w:name w:val="toc 1"/>
    <w:basedOn w:val="TOCBase"/>
    <w:next w:val="Normal"/>
    <w:rsid w:val="009B3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798"/>
    <w:rPr>
      <w:rFonts w:ascii="Times New Roman" w:eastAsia="Times New Roman" w:hAnsi="Times New Roman" w:cs="Times New Roman"/>
      <w:sz w:val="16"/>
      <w:lang w:eastAsia="en-US"/>
    </w:rPr>
  </w:style>
  <w:style w:type="paragraph" w:styleId="Title">
    <w:name w:val="Title"/>
    <w:basedOn w:val="HeadingBase"/>
    <w:link w:val="TitleChar"/>
    <w:qFormat/>
    <w:rsid w:val="009B3798"/>
    <w:pPr>
      <w:spacing w:before="5040"/>
      <w:jc w:val="center"/>
    </w:pPr>
    <w:rPr>
      <w:sz w:val="48"/>
      <w:szCs w:val="72"/>
      <w:lang w:val="en-US"/>
    </w:rPr>
  </w:style>
  <w:style w:type="character" w:customStyle="1" w:styleId="TitleChar">
    <w:name w:val="Title Char"/>
    <w:basedOn w:val="DefaultParagraphFont"/>
    <w:link w:val="Title"/>
    <w:rsid w:val="009B3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798"/>
    <w:pPr>
      <w:tabs>
        <w:tab w:val="left" w:pos="3600"/>
        <w:tab w:val="left" w:pos="3958"/>
      </w:tabs>
    </w:pPr>
  </w:style>
  <w:style w:type="paragraph" w:styleId="List">
    <w:name w:val="List"/>
    <w:basedOn w:val="BodyText"/>
    <w:next w:val="BodyText"/>
    <w:rsid w:val="009B3798"/>
    <w:pPr>
      <w:tabs>
        <w:tab w:val="left" w:pos="340"/>
      </w:tabs>
      <w:spacing w:before="60" w:after="60"/>
      <w:ind w:left="340" w:hanging="340"/>
    </w:pPr>
  </w:style>
  <w:style w:type="paragraph" w:customStyle="1" w:styleId="Note">
    <w:name w:val="Note"/>
    <w:basedOn w:val="BodyText"/>
    <w:rsid w:val="009B3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798"/>
    <w:pPr>
      <w:framePr w:wrap="auto" w:hAnchor="text" w:y="6049"/>
    </w:pPr>
    <w:rPr>
      <w:color w:val="000000"/>
      <w:sz w:val="40"/>
    </w:rPr>
  </w:style>
  <w:style w:type="paragraph" w:customStyle="1" w:styleId="TOCTitle">
    <w:name w:val="TOCTitle"/>
    <w:basedOn w:val="Heading1"/>
    <w:rsid w:val="009B3798"/>
    <w:pPr>
      <w:spacing w:after="240"/>
      <w:jc w:val="center"/>
      <w:outlineLvl w:val="9"/>
    </w:pPr>
    <w:rPr>
      <w:caps/>
    </w:rPr>
  </w:style>
  <w:style w:type="paragraph" w:customStyle="1" w:styleId="Version">
    <w:name w:val="Version"/>
    <w:rsid w:val="009B3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798"/>
    <w:pPr>
      <w:keepNext w:val="0"/>
      <w:tabs>
        <w:tab w:val="right" w:pos="4176"/>
      </w:tabs>
      <w:ind w:left="198" w:hanging="198"/>
    </w:pPr>
    <w:rPr>
      <w:rFonts w:ascii="Garamond" w:hAnsi="Garamond"/>
    </w:rPr>
  </w:style>
  <w:style w:type="paragraph" w:styleId="IndexHeading">
    <w:name w:val="index heading"/>
    <w:basedOn w:val="Normal"/>
    <w:next w:val="Index1"/>
    <w:semiHidden/>
    <w:rsid w:val="009B3798"/>
    <w:pPr>
      <w:spacing w:before="120" w:after="120"/>
    </w:pPr>
    <w:rPr>
      <w:rFonts w:ascii="Arial" w:hAnsi="Arial"/>
      <w:b/>
      <w:color w:val="918585"/>
      <w:sz w:val="24"/>
    </w:rPr>
  </w:style>
  <w:style w:type="paragraph" w:styleId="Header">
    <w:name w:val="header"/>
    <w:basedOn w:val="Normal"/>
    <w:link w:val="HeaderChar"/>
    <w:rsid w:val="009B3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798"/>
    <w:rPr>
      <w:rFonts w:ascii="Times New Roman" w:eastAsia="Times New Roman" w:hAnsi="Times New Roman" w:cs="Times New Roman"/>
      <w:sz w:val="16"/>
      <w:szCs w:val="20"/>
      <w:lang w:val="en-GB" w:eastAsia="en-US"/>
    </w:rPr>
  </w:style>
  <w:style w:type="paragraph" w:customStyle="1" w:styleId="Chapter">
    <w:name w:val="Chapter"/>
    <w:basedOn w:val="Normal"/>
    <w:rsid w:val="009B3798"/>
    <w:pPr>
      <w:spacing w:before="240"/>
    </w:pPr>
    <w:rPr>
      <w:rFonts w:ascii="Times New Roman" w:hAnsi="Times New Roman"/>
      <w:smallCaps/>
      <w:spacing w:val="80"/>
      <w:sz w:val="28"/>
    </w:rPr>
  </w:style>
  <w:style w:type="paragraph" w:customStyle="1" w:styleId="InChapter">
    <w:name w:val="InChapter"/>
    <w:basedOn w:val="Heading3"/>
    <w:rsid w:val="009B3798"/>
    <w:pPr>
      <w:spacing w:after="240"/>
      <w:outlineLvl w:val="9"/>
    </w:pPr>
    <w:rPr>
      <w:noProof/>
    </w:rPr>
  </w:style>
  <w:style w:type="paragraph" w:styleId="Index2">
    <w:name w:val="index 2"/>
    <w:basedOn w:val="Normal"/>
    <w:next w:val="Normal"/>
    <w:semiHidden/>
    <w:rsid w:val="009B3798"/>
    <w:pPr>
      <w:tabs>
        <w:tab w:val="right" w:pos="4176"/>
      </w:tabs>
      <w:ind w:left="568" w:hanging="284"/>
    </w:pPr>
    <w:rPr>
      <w:rFonts w:ascii="Garamond" w:hAnsi="Garamond"/>
    </w:rPr>
  </w:style>
  <w:style w:type="paragraph" w:customStyle="1" w:styleId="Byline">
    <w:name w:val="Byline"/>
    <w:rsid w:val="009B3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798"/>
    <w:pPr>
      <w:tabs>
        <w:tab w:val="clear" w:pos="3600"/>
        <w:tab w:val="clear" w:pos="3958"/>
      </w:tabs>
      <w:jc w:val="right"/>
    </w:pPr>
  </w:style>
  <w:style w:type="character" w:styleId="Emphasis">
    <w:name w:val="Emphasis"/>
    <w:basedOn w:val="DefaultParagraphFont"/>
    <w:qFormat/>
    <w:rsid w:val="009B3798"/>
    <w:rPr>
      <w:i/>
    </w:rPr>
  </w:style>
  <w:style w:type="paragraph" w:styleId="Caption">
    <w:name w:val="caption"/>
    <w:basedOn w:val="BodyText"/>
    <w:next w:val="Normal"/>
    <w:qFormat/>
    <w:rsid w:val="009B3798"/>
    <w:pPr>
      <w:framePr w:w="2268" w:hSpace="181" w:vSpace="181" w:wrap="around" w:vAnchor="text" w:hAnchor="page" w:x="1135" w:y="285" w:anchorLock="1"/>
    </w:pPr>
    <w:rPr>
      <w:i/>
    </w:rPr>
  </w:style>
  <w:style w:type="paragraph" w:customStyle="1" w:styleId="MiniTOCTitle">
    <w:name w:val="MiniTOCTitle"/>
    <w:basedOn w:val="Heading4"/>
    <w:rsid w:val="009B3798"/>
    <w:pPr>
      <w:spacing w:before="240"/>
      <w:outlineLvl w:val="9"/>
    </w:pPr>
    <w:rPr>
      <w:noProof/>
      <w:sz w:val="24"/>
    </w:rPr>
  </w:style>
  <w:style w:type="paragraph" w:customStyle="1" w:styleId="MiniTOCItem">
    <w:name w:val="MiniTOCItem"/>
    <w:basedOn w:val="ListBullet"/>
    <w:rsid w:val="009B3798"/>
    <w:pPr>
      <w:numPr>
        <w:numId w:val="0"/>
      </w:numPr>
      <w:tabs>
        <w:tab w:val="right" w:leader="dot" w:pos="6521"/>
      </w:tabs>
      <w:spacing w:before="0" w:after="0"/>
    </w:pPr>
  </w:style>
  <w:style w:type="paragraph" w:customStyle="1" w:styleId="TOFTitle">
    <w:name w:val="TOFTitle"/>
    <w:basedOn w:val="TOCTitle"/>
    <w:rsid w:val="009B3798"/>
  </w:style>
  <w:style w:type="paragraph" w:styleId="TableofFigures">
    <w:name w:val="table of figures"/>
    <w:basedOn w:val="Normal"/>
    <w:next w:val="Normal"/>
    <w:semiHidden/>
    <w:rsid w:val="009B3798"/>
    <w:pPr>
      <w:tabs>
        <w:tab w:val="right" w:leader="dot" w:pos="9072"/>
      </w:tabs>
      <w:ind w:left="970" w:hanging="403"/>
    </w:pPr>
    <w:rPr>
      <w:rFonts w:ascii="Times New Roman" w:hAnsi="Times New Roman"/>
      <w:b/>
    </w:rPr>
  </w:style>
  <w:style w:type="paragraph" w:styleId="ListNumber">
    <w:name w:val="List Number"/>
    <w:basedOn w:val="List"/>
    <w:rsid w:val="009B3798"/>
    <w:pPr>
      <w:numPr>
        <w:numId w:val="11"/>
      </w:numPr>
    </w:pPr>
  </w:style>
  <w:style w:type="character" w:customStyle="1" w:styleId="WingdingSymbols">
    <w:name w:val="Wingding Symbols"/>
    <w:rsid w:val="009B3798"/>
    <w:rPr>
      <w:rFonts w:ascii="Wingdings" w:hAnsi="Wingdings"/>
    </w:rPr>
  </w:style>
  <w:style w:type="paragraph" w:customStyle="1" w:styleId="TableHeading">
    <w:name w:val="Table Heading"/>
    <w:basedOn w:val="HeadingBase"/>
    <w:rsid w:val="009B3798"/>
    <w:pPr>
      <w:keepLines/>
      <w:pBdr>
        <w:bottom w:val="single" w:sz="6" w:space="1" w:color="918585"/>
      </w:pBdr>
      <w:spacing w:before="240"/>
    </w:pPr>
  </w:style>
  <w:style w:type="character" w:customStyle="1" w:styleId="HotSpot">
    <w:name w:val="HotSpot"/>
    <w:rsid w:val="009B3798"/>
    <w:rPr>
      <w:color w:val="0033CC"/>
      <w:u w:val="none"/>
    </w:rPr>
  </w:style>
  <w:style w:type="paragraph" w:customStyle="1" w:styleId="BodyTextRight">
    <w:name w:val="Body Text Right"/>
    <w:basedOn w:val="BodyText"/>
    <w:rsid w:val="009B3798"/>
    <w:pPr>
      <w:spacing w:before="0" w:after="0"/>
      <w:jc w:val="right"/>
    </w:pPr>
  </w:style>
  <w:style w:type="paragraph" w:styleId="Index3">
    <w:name w:val="index 3"/>
    <w:basedOn w:val="ListNumber2"/>
    <w:next w:val="Normal"/>
    <w:semiHidden/>
    <w:rsid w:val="009B3798"/>
    <w:pPr>
      <w:numPr>
        <w:numId w:val="0"/>
      </w:numPr>
      <w:tabs>
        <w:tab w:val="right" w:leader="dot" w:pos="4176"/>
      </w:tabs>
    </w:pPr>
  </w:style>
  <w:style w:type="paragraph" w:styleId="ListNumber2">
    <w:name w:val="List Number 2"/>
    <w:basedOn w:val="List2"/>
    <w:rsid w:val="009B3798"/>
    <w:pPr>
      <w:numPr>
        <w:numId w:val="10"/>
      </w:numPr>
      <w:tabs>
        <w:tab w:val="clear" w:pos="1060"/>
      </w:tabs>
    </w:pPr>
  </w:style>
  <w:style w:type="paragraph" w:customStyle="1" w:styleId="MarginNote">
    <w:name w:val="Margin Note"/>
    <w:basedOn w:val="BodyText"/>
    <w:rsid w:val="009B3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798"/>
    <w:rPr>
      <w:sz w:val="32"/>
    </w:rPr>
  </w:style>
  <w:style w:type="paragraph" w:customStyle="1" w:styleId="HeadingProcedure">
    <w:name w:val="Heading Procedure"/>
    <w:basedOn w:val="HeadingBase"/>
    <w:next w:val="Normal"/>
    <w:rsid w:val="009B3798"/>
    <w:pPr>
      <w:tabs>
        <w:tab w:val="left" w:pos="0"/>
      </w:tabs>
      <w:spacing w:before="120" w:after="60"/>
    </w:pPr>
    <w:rPr>
      <w:i/>
      <w:color w:val="918585"/>
      <w:sz w:val="22"/>
    </w:rPr>
  </w:style>
  <w:style w:type="paragraph" w:customStyle="1" w:styleId="TableBodyText">
    <w:name w:val="Table Body Text"/>
    <w:basedOn w:val="BodyText"/>
    <w:rsid w:val="009B3798"/>
    <w:pPr>
      <w:spacing w:before="60" w:after="60"/>
    </w:pPr>
  </w:style>
  <w:style w:type="paragraph" w:styleId="ListContinue">
    <w:name w:val="List Continue"/>
    <w:basedOn w:val="List"/>
    <w:rsid w:val="009B3798"/>
    <w:pPr>
      <w:ind w:firstLine="0"/>
    </w:pPr>
  </w:style>
  <w:style w:type="paragraph" w:customStyle="1" w:styleId="ListNote">
    <w:name w:val="List Note"/>
    <w:basedOn w:val="List"/>
    <w:rsid w:val="009B3798"/>
    <w:pPr>
      <w:pBdr>
        <w:top w:val="single" w:sz="6" w:space="2" w:color="918585"/>
        <w:bottom w:val="single" w:sz="6" w:space="2" w:color="918585"/>
      </w:pBdr>
      <w:tabs>
        <w:tab w:val="left" w:pos="1021"/>
      </w:tabs>
      <w:ind w:firstLine="0"/>
    </w:pPr>
  </w:style>
  <w:style w:type="paragraph" w:customStyle="1" w:styleId="Warning">
    <w:name w:val="Warning"/>
    <w:basedOn w:val="BodyText"/>
    <w:rsid w:val="009B3798"/>
    <w:pPr>
      <w:shd w:val="clear" w:color="auto" w:fill="D9D9D9"/>
      <w:tabs>
        <w:tab w:val="left" w:pos="992"/>
      </w:tabs>
      <w:ind w:left="119" w:right="119"/>
    </w:pPr>
    <w:rPr>
      <w:sz w:val="20"/>
    </w:rPr>
  </w:style>
  <w:style w:type="paragraph" w:customStyle="1" w:styleId="MarginIcons">
    <w:name w:val="Margin Icons"/>
    <w:basedOn w:val="BodyText"/>
    <w:rsid w:val="009B3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798"/>
    <w:rPr>
      <w:rFonts w:ascii="Courier New" w:hAnsi="Courier New"/>
    </w:rPr>
  </w:style>
  <w:style w:type="paragraph" w:customStyle="1" w:styleId="NoteBullet">
    <w:name w:val="Note Bullet"/>
    <w:basedOn w:val="Note"/>
    <w:rsid w:val="009B3798"/>
    <w:pPr>
      <w:tabs>
        <w:tab w:val="clear" w:pos="680"/>
      </w:tabs>
      <w:spacing w:before="60" w:after="60"/>
    </w:pPr>
  </w:style>
  <w:style w:type="paragraph" w:customStyle="1" w:styleId="SubHeading2">
    <w:name w:val="SubHeading2"/>
    <w:basedOn w:val="HeadingBase"/>
    <w:rsid w:val="009B3798"/>
    <w:pPr>
      <w:spacing w:before="240" w:after="60"/>
    </w:pPr>
    <w:rPr>
      <w:sz w:val="20"/>
    </w:rPr>
  </w:style>
  <w:style w:type="paragraph" w:customStyle="1" w:styleId="SubHeading1">
    <w:name w:val="SubHeading1"/>
    <w:basedOn w:val="HeadingBase"/>
    <w:rsid w:val="009B3798"/>
    <w:pPr>
      <w:spacing w:before="240" w:after="60"/>
    </w:pPr>
    <w:rPr>
      <w:color w:val="918585"/>
      <w:sz w:val="22"/>
    </w:rPr>
  </w:style>
  <w:style w:type="paragraph" w:customStyle="1" w:styleId="SideHeading">
    <w:name w:val="Side Heading"/>
    <w:basedOn w:val="HeadingBase"/>
    <w:rsid w:val="009B3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798"/>
    <w:pPr>
      <w:numPr>
        <w:numId w:val="12"/>
      </w:numPr>
    </w:pPr>
  </w:style>
  <w:style w:type="paragraph" w:styleId="PlainText">
    <w:name w:val="Plain Text"/>
    <w:basedOn w:val="Normal"/>
    <w:link w:val="PlainTextChar"/>
    <w:rsid w:val="009B3798"/>
    <w:rPr>
      <w:sz w:val="20"/>
    </w:rPr>
  </w:style>
  <w:style w:type="character" w:customStyle="1" w:styleId="PlainTextChar">
    <w:name w:val="Plain Text Char"/>
    <w:basedOn w:val="DefaultParagraphFont"/>
    <w:link w:val="PlainText"/>
    <w:rsid w:val="009B3798"/>
    <w:rPr>
      <w:rFonts w:ascii="Courier New" w:eastAsia="Times New Roman" w:hAnsi="Courier New" w:cs="Times New Roman"/>
      <w:sz w:val="20"/>
      <w:szCs w:val="20"/>
      <w:lang w:eastAsia="en-US"/>
    </w:rPr>
  </w:style>
  <w:style w:type="character" w:customStyle="1" w:styleId="MenuOption">
    <w:name w:val="Menu Option"/>
    <w:basedOn w:val="DefaultParagraphFont"/>
    <w:rsid w:val="009B3798"/>
    <w:rPr>
      <w:b/>
      <w:smallCaps/>
    </w:rPr>
  </w:style>
  <w:style w:type="paragraph" w:customStyle="1" w:styleId="TableListNumber">
    <w:name w:val="Table List Number"/>
    <w:basedOn w:val="ListNumber"/>
    <w:rsid w:val="009B3798"/>
    <w:pPr>
      <w:numPr>
        <w:numId w:val="0"/>
      </w:numPr>
    </w:pPr>
  </w:style>
  <w:style w:type="paragraph" w:styleId="TOC4">
    <w:name w:val="toc 4"/>
    <w:basedOn w:val="TOCBase"/>
    <w:next w:val="Normal"/>
    <w:semiHidden/>
    <w:rsid w:val="009B3798"/>
    <w:pPr>
      <w:tabs>
        <w:tab w:val="right" w:leader="dot" w:pos="9071"/>
      </w:tabs>
      <w:ind w:left="1701"/>
    </w:pPr>
  </w:style>
  <w:style w:type="paragraph" w:customStyle="1" w:styleId="ListAlpha">
    <w:name w:val="List Alpha"/>
    <w:basedOn w:val="List"/>
    <w:rsid w:val="009B3798"/>
    <w:pPr>
      <w:numPr>
        <w:numId w:val="9"/>
      </w:numPr>
    </w:pPr>
  </w:style>
  <w:style w:type="paragraph" w:customStyle="1" w:styleId="ListAlpha2">
    <w:name w:val="List Alpha 2"/>
    <w:basedOn w:val="List2"/>
    <w:rsid w:val="009B3798"/>
    <w:pPr>
      <w:numPr>
        <w:numId w:val="8"/>
      </w:numPr>
    </w:pPr>
  </w:style>
  <w:style w:type="paragraph" w:styleId="List2">
    <w:name w:val="List 2"/>
    <w:basedOn w:val="BodyText"/>
    <w:rsid w:val="009B3798"/>
    <w:pPr>
      <w:tabs>
        <w:tab w:val="left" w:pos="680"/>
      </w:tabs>
      <w:spacing w:before="60" w:after="60"/>
      <w:ind w:left="680" w:hanging="340"/>
    </w:pPr>
  </w:style>
  <w:style w:type="paragraph" w:styleId="List3">
    <w:name w:val="List 3"/>
    <w:basedOn w:val="BodyText"/>
    <w:rsid w:val="009B3798"/>
    <w:pPr>
      <w:tabs>
        <w:tab w:val="left" w:pos="1021"/>
      </w:tabs>
      <w:spacing w:before="60" w:after="60"/>
      <w:ind w:left="1020" w:hanging="340"/>
    </w:pPr>
  </w:style>
  <w:style w:type="paragraph" w:styleId="List4">
    <w:name w:val="List 4"/>
    <w:basedOn w:val="BodyText"/>
    <w:rsid w:val="009B3798"/>
    <w:pPr>
      <w:tabs>
        <w:tab w:val="left" w:pos="1361"/>
      </w:tabs>
      <w:spacing w:before="60" w:after="60"/>
      <w:ind w:left="1361" w:hanging="340"/>
    </w:pPr>
  </w:style>
  <w:style w:type="paragraph" w:styleId="List5">
    <w:name w:val="List 5"/>
    <w:basedOn w:val="BodyText"/>
    <w:rsid w:val="009B3798"/>
    <w:pPr>
      <w:tabs>
        <w:tab w:val="left" w:pos="1701"/>
      </w:tabs>
      <w:spacing w:before="60" w:after="60"/>
      <w:ind w:left="1701" w:hanging="340"/>
    </w:pPr>
  </w:style>
  <w:style w:type="paragraph" w:styleId="ListBullet3">
    <w:name w:val="List Bullet 3"/>
    <w:basedOn w:val="List3"/>
    <w:rsid w:val="009B3798"/>
    <w:pPr>
      <w:numPr>
        <w:numId w:val="15"/>
      </w:numPr>
      <w:tabs>
        <w:tab w:val="clear" w:pos="1021"/>
      </w:tabs>
      <w:ind w:left="1037" w:hanging="357"/>
    </w:pPr>
  </w:style>
  <w:style w:type="paragraph" w:styleId="ListBullet4">
    <w:name w:val="List Bullet 4"/>
    <w:basedOn w:val="List4"/>
    <w:rsid w:val="009B3798"/>
    <w:pPr>
      <w:numPr>
        <w:numId w:val="3"/>
      </w:numPr>
    </w:pPr>
  </w:style>
  <w:style w:type="paragraph" w:styleId="ListBullet5">
    <w:name w:val="List Bullet 5"/>
    <w:basedOn w:val="List5"/>
    <w:rsid w:val="009B3798"/>
    <w:pPr>
      <w:numPr>
        <w:numId w:val="4"/>
      </w:numPr>
    </w:pPr>
  </w:style>
  <w:style w:type="paragraph" w:styleId="ListContinue2">
    <w:name w:val="List Continue 2"/>
    <w:basedOn w:val="List2"/>
    <w:rsid w:val="009B3798"/>
    <w:pPr>
      <w:ind w:firstLine="0"/>
    </w:pPr>
  </w:style>
  <w:style w:type="paragraph" w:styleId="ListContinue3">
    <w:name w:val="List Continue 3"/>
    <w:basedOn w:val="List3"/>
    <w:rsid w:val="009B3798"/>
    <w:pPr>
      <w:ind w:left="1021" w:firstLine="0"/>
    </w:pPr>
  </w:style>
  <w:style w:type="paragraph" w:styleId="ListContinue4">
    <w:name w:val="List Continue 4"/>
    <w:basedOn w:val="List4"/>
    <w:rsid w:val="009B3798"/>
    <w:pPr>
      <w:ind w:firstLine="0"/>
    </w:pPr>
  </w:style>
  <w:style w:type="paragraph" w:styleId="ListContinue5">
    <w:name w:val="List Continue 5"/>
    <w:basedOn w:val="List5"/>
    <w:rsid w:val="009B3798"/>
    <w:pPr>
      <w:ind w:firstLine="0"/>
    </w:pPr>
  </w:style>
  <w:style w:type="paragraph" w:styleId="ListNumber3">
    <w:name w:val="List Number 3"/>
    <w:basedOn w:val="List3"/>
    <w:rsid w:val="009B3798"/>
    <w:pPr>
      <w:numPr>
        <w:numId w:val="5"/>
      </w:numPr>
    </w:pPr>
  </w:style>
  <w:style w:type="paragraph" w:styleId="ListNumber4">
    <w:name w:val="List Number 4"/>
    <w:basedOn w:val="List4"/>
    <w:rsid w:val="009B3798"/>
    <w:pPr>
      <w:numPr>
        <w:numId w:val="6"/>
      </w:numPr>
    </w:pPr>
  </w:style>
  <w:style w:type="paragraph" w:styleId="ListNumber5">
    <w:name w:val="List Number 5"/>
    <w:basedOn w:val="List5"/>
    <w:rsid w:val="009B3798"/>
    <w:pPr>
      <w:numPr>
        <w:numId w:val="7"/>
      </w:numPr>
    </w:pPr>
  </w:style>
  <w:style w:type="paragraph" w:styleId="BlockText">
    <w:name w:val="Block Text"/>
    <w:basedOn w:val="Normal"/>
    <w:rsid w:val="009B3798"/>
    <w:pPr>
      <w:spacing w:after="120"/>
      <w:ind w:left="1440" w:right="1440"/>
    </w:pPr>
  </w:style>
  <w:style w:type="character" w:customStyle="1" w:styleId="Subscript">
    <w:name w:val="Subscript"/>
    <w:basedOn w:val="DefaultParagraphFont"/>
    <w:rsid w:val="009B3798"/>
    <w:rPr>
      <w:sz w:val="16"/>
      <w:vertAlign w:val="subscript"/>
    </w:rPr>
  </w:style>
  <w:style w:type="character" w:customStyle="1" w:styleId="Superscript">
    <w:name w:val="Superscript"/>
    <w:basedOn w:val="DefaultParagraphFont"/>
    <w:rsid w:val="009B3798"/>
    <w:rPr>
      <w:sz w:val="16"/>
      <w:vertAlign w:val="superscript"/>
    </w:rPr>
  </w:style>
  <w:style w:type="character" w:customStyle="1" w:styleId="Symbols">
    <w:name w:val="Symbols"/>
    <w:basedOn w:val="DefaultParagraphFont"/>
    <w:rsid w:val="009B3798"/>
    <w:rPr>
      <w:rFonts w:ascii="Symbol" w:hAnsi="Symbol"/>
    </w:rPr>
  </w:style>
  <w:style w:type="character" w:customStyle="1" w:styleId="MenuOptions">
    <w:name w:val="Menu Options"/>
    <w:basedOn w:val="DefaultParagraphFont"/>
    <w:rsid w:val="009B3798"/>
    <w:rPr>
      <w:rFonts w:ascii="Arial Narrow" w:hAnsi="Arial Narrow"/>
      <w:smallCaps/>
    </w:rPr>
  </w:style>
  <w:style w:type="character" w:customStyle="1" w:styleId="Buttons">
    <w:name w:val="Buttons"/>
    <w:basedOn w:val="DefaultParagraphFont"/>
    <w:rsid w:val="009B3798"/>
    <w:rPr>
      <w:b/>
    </w:rPr>
  </w:style>
  <w:style w:type="character" w:customStyle="1" w:styleId="Underlined">
    <w:name w:val="Underlined"/>
    <w:basedOn w:val="DefaultParagraphFont"/>
    <w:rsid w:val="009B3798"/>
    <w:rPr>
      <w:u w:val="single"/>
    </w:rPr>
  </w:style>
  <w:style w:type="paragraph" w:customStyle="1" w:styleId="TableBodyTextRight">
    <w:name w:val="Table Body Text Right"/>
    <w:basedOn w:val="TableBodyText"/>
    <w:rsid w:val="009B3798"/>
    <w:pPr>
      <w:widowControl w:val="0"/>
      <w:autoSpaceDE w:val="0"/>
      <w:autoSpaceDN w:val="0"/>
      <w:adjustRightInd w:val="0"/>
      <w:jc w:val="right"/>
    </w:pPr>
    <w:rPr>
      <w:rFonts w:cs="Arial"/>
      <w:szCs w:val="18"/>
    </w:rPr>
  </w:style>
  <w:style w:type="paragraph" w:customStyle="1" w:styleId="CopyrightText">
    <w:name w:val="Copyright Text"/>
    <w:basedOn w:val="BodyText"/>
    <w:rsid w:val="009B3798"/>
    <w:rPr>
      <w:sz w:val="18"/>
    </w:rPr>
  </w:style>
  <w:style w:type="paragraph" w:customStyle="1" w:styleId="BodySmallRight">
    <w:name w:val="Body Small Right"/>
    <w:basedOn w:val="BodyTextRight"/>
    <w:rsid w:val="009B3798"/>
    <w:rPr>
      <w:sz w:val="18"/>
      <w:szCs w:val="18"/>
    </w:rPr>
  </w:style>
  <w:style w:type="paragraph" w:customStyle="1" w:styleId="MarginEdition">
    <w:name w:val="Margin Edition"/>
    <w:basedOn w:val="MarginNote"/>
    <w:rsid w:val="009B3798"/>
    <w:pPr>
      <w:spacing w:before="0" w:after="0"/>
    </w:pPr>
    <w:rPr>
      <w:rFonts w:ascii="Times New Roman" w:hAnsi="Times New Roman"/>
      <w:color w:val="999999"/>
    </w:rPr>
  </w:style>
  <w:style w:type="paragraph" w:customStyle="1" w:styleId="Spacer">
    <w:name w:val="Spacer"/>
    <w:basedOn w:val="Normal"/>
    <w:rsid w:val="009B3798"/>
    <w:rPr>
      <w:sz w:val="2"/>
      <w:szCs w:val="2"/>
    </w:rPr>
  </w:style>
  <w:style w:type="character" w:customStyle="1" w:styleId="Small">
    <w:name w:val="Small"/>
    <w:basedOn w:val="DefaultParagraphFont"/>
    <w:rsid w:val="009B3798"/>
    <w:rPr>
      <w:sz w:val="16"/>
    </w:rPr>
  </w:style>
  <w:style w:type="paragraph" w:customStyle="1" w:styleId="WideTable">
    <w:name w:val="Wide Table"/>
    <w:basedOn w:val="Normal"/>
    <w:rsid w:val="009B3798"/>
    <w:pPr>
      <w:ind w:left="-1418"/>
    </w:pPr>
    <w:rPr>
      <w:sz w:val="2"/>
      <w:szCs w:val="2"/>
    </w:rPr>
  </w:style>
  <w:style w:type="character" w:styleId="PageNumber">
    <w:name w:val="page number"/>
    <w:basedOn w:val="DefaultParagraphFont"/>
    <w:rsid w:val="009B3798"/>
  </w:style>
  <w:style w:type="paragraph" w:styleId="Quote">
    <w:name w:val="Quote"/>
    <w:basedOn w:val="Heading1"/>
    <w:link w:val="QuoteChar"/>
    <w:qFormat/>
    <w:rsid w:val="009B3798"/>
    <w:rPr>
      <w:b w:val="0"/>
      <w:sz w:val="72"/>
      <w:szCs w:val="72"/>
      <w:lang w:val="en-NZ"/>
    </w:rPr>
  </w:style>
  <w:style w:type="character" w:customStyle="1" w:styleId="QuoteChar">
    <w:name w:val="Quote Char"/>
    <w:basedOn w:val="DefaultParagraphFont"/>
    <w:link w:val="Quote"/>
    <w:rsid w:val="009B3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798"/>
    <w:pPr>
      <w:pageBreakBefore/>
    </w:pPr>
  </w:style>
  <w:style w:type="paragraph" w:customStyle="1" w:styleId="Border">
    <w:name w:val="Border"/>
    <w:basedOn w:val="Normal"/>
    <w:qFormat/>
    <w:rsid w:val="009B3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798"/>
    <w:rPr>
      <w:b/>
      <w:bCs/>
      <w:i/>
      <w:iCs/>
      <w:color w:val="auto"/>
    </w:rPr>
  </w:style>
  <w:style w:type="paragraph" w:styleId="IntenseQuote">
    <w:name w:val="Intense Quote"/>
    <w:basedOn w:val="Normal"/>
    <w:next w:val="Normal"/>
    <w:link w:val="IntenseQuoteChar"/>
    <w:uiPriority w:val="30"/>
    <w:qFormat/>
    <w:rsid w:val="009B3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798"/>
    <w:rPr>
      <w:smallCaps/>
      <w:color w:val="auto"/>
      <w:u w:val="single"/>
    </w:rPr>
  </w:style>
  <w:style w:type="character" w:styleId="IntenseReference">
    <w:name w:val="Intense Reference"/>
    <w:basedOn w:val="DefaultParagraphFont"/>
    <w:uiPriority w:val="32"/>
    <w:qFormat/>
    <w:rsid w:val="009B3798"/>
    <w:rPr>
      <w:b/>
      <w:bCs/>
      <w:smallCaps/>
      <w:color w:val="auto"/>
      <w:spacing w:val="5"/>
      <w:u w:val="single"/>
    </w:rPr>
  </w:style>
  <w:style w:type="paragraph" w:customStyle="1" w:styleId="2ColumnHeading">
    <w:name w:val="2Column Heading"/>
    <w:basedOn w:val="BodyText"/>
    <w:qFormat/>
    <w:rsid w:val="009B3798"/>
    <w:pPr>
      <w:spacing w:after="60"/>
      <w:ind w:left="-2268"/>
    </w:pPr>
    <w:rPr>
      <w:b/>
    </w:rPr>
  </w:style>
  <w:style w:type="paragraph" w:customStyle="1" w:styleId="Heading1TOC">
    <w:name w:val="Heading1 TOC"/>
    <w:basedOn w:val="Normal"/>
    <w:qFormat/>
    <w:rsid w:val="009B3798"/>
    <w:pPr>
      <w:spacing w:before="240" w:after="120"/>
    </w:pPr>
    <w:rPr>
      <w:rFonts w:ascii="Times New Roman" w:hAnsi="Times New Roman"/>
      <w:b/>
      <w:sz w:val="32"/>
    </w:rPr>
  </w:style>
  <w:style w:type="paragraph" w:customStyle="1" w:styleId="Heading2TOC">
    <w:name w:val="Heading2 TOC"/>
    <w:basedOn w:val="Normal"/>
    <w:qFormat/>
    <w:rsid w:val="009B3798"/>
    <w:pPr>
      <w:spacing w:before="240" w:after="60"/>
    </w:pPr>
    <w:rPr>
      <w:rFonts w:ascii="Times New Roman" w:hAnsi="Times New Roman"/>
      <w:b/>
      <w:sz w:val="28"/>
    </w:rPr>
  </w:style>
  <w:style w:type="character" w:customStyle="1" w:styleId="Underline">
    <w:name w:val="Underline"/>
    <w:basedOn w:val="DefaultParagraphFont"/>
    <w:qFormat/>
    <w:rsid w:val="009B3798"/>
    <w:rPr>
      <w:u w:val="single"/>
    </w:rPr>
  </w:style>
  <w:style w:type="character" w:customStyle="1" w:styleId="BoldandItalics">
    <w:name w:val="Bold and Italics"/>
    <w:qFormat/>
    <w:rsid w:val="009B3798"/>
    <w:rPr>
      <w:b/>
      <w:i/>
      <w:u w:val="none"/>
    </w:rPr>
  </w:style>
  <w:style w:type="paragraph" w:styleId="BalloonText">
    <w:name w:val="Balloon Text"/>
    <w:basedOn w:val="Normal"/>
    <w:link w:val="BalloonTextChar"/>
    <w:rsid w:val="009B3798"/>
    <w:rPr>
      <w:rFonts w:ascii="Tahoma" w:hAnsi="Tahoma" w:cs="Tahoma"/>
      <w:sz w:val="16"/>
      <w:szCs w:val="16"/>
    </w:rPr>
  </w:style>
  <w:style w:type="character" w:customStyle="1" w:styleId="BalloonTextChar">
    <w:name w:val="Balloon Text Char"/>
    <w:basedOn w:val="DefaultParagraphFont"/>
    <w:link w:val="BalloonText"/>
    <w:rsid w:val="009B3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7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798"/>
    <w:rPr>
      <w:b/>
      <w:color w:val="660033"/>
      <w:spacing w:val="0"/>
    </w:rPr>
  </w:style>
  <w:style w:type="paragraph" w:customStyle="1" w:styleId="Nameditemlist">
    <w:name w:val="Named item list"/>
    <w:basedOn w:val="BodyText"/>
    <w:qFormat/>
    <w:rsid w:val="009B37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1952</Words>
  <Characters>12306</Characters>
  <Application>Microsoft Office Word</Application>
  <DocSecurity>0</DocSecurity>
  <Lines>456</Lines>
  <Paragraphs>214</Paragraphs>
  <ScaleCrop>false</ScaleCrop>
  <Company>Author-it Software Corporation Ltd.</Company>
  <LinksUpToDate>false</LinksUpToDate>
  <CharactersWithSpaces>14189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UEENEEJ110A Select refrigerant piping, accessories and associated controls</dc:title>
  <dc:subject>Approved</dc:subject>
  <dc:creator>E-OZ Training Standards</dc:creator>
  <cp:keywords>Release 3</cp:keywords>
  <dc:description>Review Date: 12 April 2008</dc:description>
  <cp:lastModifiedBy>TPCMS</cp:lastModifiedBy>
  <cp:revision>3</cp:revision>
  <dcterms:created xsi:type="dcterms:W3CDTF">2013-08-14T01:08:00Z</dcterms:created>
  <dcterms:modified xsi:type="dcterms:W3CDTF">2013-08-14T01:08:00Z</dcterms:modified>
</cp:coreProperties>
</file>