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585" w:rsidP="003C5585">
      <w:pPr>
        <w:pStyle w:val="Title"/>
      </w:pPr>
      <w:r>
        <w:fldChar w:fldCharType="begin"/>
      </w:r>
      <w:r>
        <w:instrText xml:space="preserve"> TITLE   \* MERGEFORMAT </w:instrText>
      </w:r>
      <w:r>
        <w:fldChar w:fldCharType="separate"/>
      </w:r>
      <w:r>
        <w:t>UEENEEJ106A Install refrigerant pipe work, flow controls and accessories</w:t>
      </w:r>
      <w:r>
        <w:fldChar w:fldCharType="end"/>
      </w:r>
    </w:p>
    <w:p w:rsidR="003C5585" w:rsidP="003C5585">
      <w:pPr>
        <w:pStyle w:val="Version"/>
        <w:sectPr w:rsidSect="00353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538A6" w:rsidP="003538A6">
      <w:pPr>
        <w:pStyle w:val="SuperHeading"/>
      </w:pPr>
      <w:r w:rsidRPr="003538A6">
        <w:t>UEENEEJ106A Install refrigerant pipe work, flow controls and accessories</w:t>
      </w:r>
    </w:p>
    <w:p w:rsidR="00000000" w:rsidRPr="003538A6" w:rsidP="003538A6">
      <w:pPr>
        <w:pStyle w:val="Heading1"/>
      </w:pPr>
      <w:bookmarkStart w:id="1" w:name="O_589412"/>
      <w:bookmarkEnd w:id="1"/>
      <w:r w:rsidRPr="003538A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C558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Points</w:t>
            </w:r>
          </w:p>
        </w:tc>
      </w:tr>
      <w:tr w:rsidTr="003C5585">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A6">
            <w:pPr>
              <w:pStyle w:val="BodyText"/>
              <w:rPr>
                <w:lang w:val="en-NZ"/>
              </w:rPr>
            </w:pPr>
            <w:r w:rsidRPr="003538A6">
              <w:t>Concurrent Assessment Unit to UEENEEJ107A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A6" w:rsidP="003538A6">
            <w:pPr>
              <w:pStyle w:val="BodyText"/>
            </w:pPr>
            <w:r w:rsidRPr="003538A6">
              <w:t>N/A</w:t>
            </w:r>
          </w:p>
        </w:tc>
      </w:tr>
    </w:tbl>
    <w:p w:rsidR="00000000" w:rsidRPr="003538A6" w:rsidP="003538A6">
      <w:pPr>
        <w:pStyle w:val="BodyText"/>
      </w:pPr>
    </w:p>
    <w:p w:rsidR="00000000" w:rsidRPr="003538A6" w:rsidP="003538A6">
      <w:pPr>
        <w:pStyle w:val="AllowPageBreak"/>
      </w:pPr>
    </w:p>
    <w:p w:rsidR="00000000" w:rsidRPr="003538A6" w:rsidP="003538A6">
      <w:pPr>
        <w:pStyle w:val="Heading1"/>
      </w:pPr>
      <w:bookmarkStart w:id="2" w:name="O_589411"/>
      <w:bookmarkEnd w:id="2"/>
      <w:r w:rsidRPr="003538A6">
        <w:t>Unit Descriptor</w:t>
      </w:r>
    </w:p>
    <w:tbl>
      <w:tblPr>
        <w:tblW w:w="0" w:type="auto"/>
        <w:tblLayout w:type="fixed"/>
        <w:tblCellMar>
          <w:left w:w="62" w:type="dxa"/>
          <w:right w:w="62" w:type="dxa"/>
        </w:tblCellMar>
        <w:tblLook w:val="0000"/>
      </w:tblPr>
      <w:tblGrid>
        <w:gridCol w:w="2700"/>
        <w:gridCol w:w="5664"/>
      </w:tblGrid>
      <w:tr w:rsidTr="003C55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Unit Descriptor</w:t>
            </w:r>
          </w:p>
        </w:tc>
        <w:tc>
          <w:tcPr>
            <w:tcW w:w="56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1</w:t>
            </w:r>
            <w:r w:rsidRPr="003538A6">
              <w:t xml:space="preserve">) </w:t>
            </w:r>
          </w:p>
          <w:p w:rsidR="00000000" w:rsidP="003538A6">
            <w:pPr>
              <w:pStyle w:val="BodyText"/>
              <w:rPr>
                <w:lang w:val="en-NZ"/>
              </w:rPr>
            </w:pPr>
            <w:r w:rsidRPr="003538A6">
              <w:rPr>
                <w:rStyle w:val="SpecialBold"/>
              </w:rPr>
              <w:t>1</w:t>
            </w:r>
            <w:r w:rsidRPr="003538A6">
              <w:t>.</w:t>
            </w:r>
            <w:r w:rsidRPr="003538A6">
              <w:rPr>
                <w:rStyle w:val="SpecialBold"/>
              </w:rPr>
              <w:t>1</w:t>
            </w:r>
            <w:r w:rsidRPr="003538A6">
              <w:t xml:space="preserve">) </w:t>
            </w:r>
            <w:r w:rsidRPr="003538A6">
              <w:rPr>
                <w:rStyle w:val="SpecialBold"/>
              </w:rPr>
              <w:t>Descriptor</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This unit covers the installation, in buildings and premises, of refrigerant piping/tubing, fittings, flow controlsand accessories for refrigeration and air conditioning systems. It encompasses working safely and to in</w:t>
            </w:r>
            <w:r w:rsidRPr="003538A6">
              <w:t>stallation standards, routing pipe work to specified locations, connecting components and accessories and documenting installation work.</w:t>
            </w:r>
          </w:p>
        </w:tc>
      </w:tr>
    </w:tbl>
    <w:p w:rsidR="003C5585" w:rsidP="003538A6">
      <w:pPr>
        <w:pStyle w:val="BodyText"/>
      </w:pPr>
    </w:p>
    <w:p w:rsidR="003C5585" w:rsidP="003538A6">
      <w:pPr>
        <w:pStyle w:val="BodyText"/>
      </w:pPr>
    </w:p>
    <w:p w:rsidR="00000000" w:rsidRPr="003538A6" w:rsidP="003538A6">
      <w:pPr>
        <w:pStyle w:val="Heading1"/>
      </w:pPr>
      <w:bookmarkStart w:id="3" w:name="O_589410"/>
      <w:bookmarkEnd w:id="3"/>
      <w:r w:rsidRPr="003538A6">
        <w:t>Application of the Unit</w:t>
      </w:r>
    </w:p>
    <w:tbl>
      <w:tblPr>
        <w:tblW w:w="0" w:type="auto"/>
        <w:tblLayout w:type="fixed"/>
        <w:tblCellMar>
          <w:left w:w="62" w:type="dxa"/>
          <w:right w:w="62" w:type="dxa"/>
        </w:tblCellMar>
        <w:tblLook w:val="0000"/>
      </w:tblPr>
      <w:tblGrid>
        <w:gridCol w:w="2700"/>
        <w:gridCol w:w="5664"/>
      </w:tblGrid>
      <w:tr w:rsidTr="003C55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Application of the Unit</w:t>
            </w:r>
          </w:p>
        </w:tc>
        <w:tc>
          <w:tcPr>
            <w:tcW w:w="56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4</w:t>
            </w:r>
            <w:r w:rsidRPr="003538A6">
              <w:t>)</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This unit is intended for compe</w:t>
            </w:r>
            <w:r w:rsidRPr="003538A6">
              <w:t>tency development entry-level employment-based programs incorporated in approved contracts of training. It is suitable for augmenting previously acquired competencies.</w:t>
            </w:r>
          </w:p>
        </w:tc>
      </w:tr>
    </w:tbl>
    <w:p w:rsidR="003C5585" w:rsidP="003538A6">
      <w:pPr>
        <w:pStyle w:val="BodyText"/>
      </w:pPr>
    </w:p>
    <w:p w:rsidR="003C5585" w:rsidP="003538A6">
      <w:pPr>
        <w:pStyle w:val="BodyText"/>
      </w:pPr>
    </w:p>
    <w:p w:rsidR="00000000" w:rsidRPr="003538A6" w:rsidP="003538A6">
      <w:pPr>
        <w:pStyle w:val="Heading1"/>
      </w:pPr>
      <w:bookmarkStart w:id="4" w:name="O_589408"/>
      <w:bookmarkEnd w:id="4"/>
      <w:r w:rsidRPr="003538A6">
        <w:t>Licensing/Regulatory Information</w:t>
      </w:r>
    </w:p>
    <w:tbl>
      <w:tblPr>
        <w:tblW w:w="0" w:type="auto"/>
        <w:tblLayout w:type="fixed"/>
        <w:tblCellMar>
          <w:left w:w="62" w:type="dxa"/>
          <w:right w:w="62" w:type="dxa"/>
        </w:tblCellMar>
        <w:tblLook w:val="0000"/>
      </w:tblPr>
      <w:tblGrid>
        <w:gridCol w:w="8364"/>
      </w:tblGrid>
      <w:tr w:rsidTr="003C5585">
        <w:tblPrEx>
          <w:tblW w:w="0" w:type="auto"/>
          <w:tblLayout w:type="fixed"/>
          <w:tblCellMar>
            <w:left w:w="62" w:type="dxa"/>
            <w:right w:w="62" w:type="dxa"/>
          </w:tblCellMar>
          <w:tblLook w:val="0000"/>
        </w:tblPrEx>
        <w:trPr>
          <w:tblHeader/>
        </w:trPr>
        <w:tc>
          <w:tcPr>
            <w:tcW w:w="83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1</w:t>
            </w:r>
            <w:r w:rsidRPr="003538A6">
              <w:t>.</w:t>
            </w:r>
            <w:r w:rsidRPr="003538A6">
              <w:rPr>
                <w:rStyle w:val="SpecialBold"/>
              </w:rPr>
              <w:t>2</w:t>
            </w:r>
            <w:r w:rsidRPr="003538A6">
              <w:t xml:space="preserve">) </w:t>
            </w:r>
            <w:r w:rsidRPr="003538A6">
              <w:rPr>
                <w:rStyle w:val="SpecialBold"/>
              </w:rPr>
              <w:t>License to practice</w:t>
            </w:r>
          </w:p>
        </w:tc>
      </w:tr>
      <w:tr w:rsidTr="003C5585">
        <w:tblPrEx>
          <w:tblW w:w="0" w:type="auto"/>
          <w:tblLayout w:type="fixed"/>
          <w:tblCellMar>
            <w:left w:w="62" w:type="dxa"/>
            <w:right w:w="62" w:type="dxa"/>
          </w:tblCellMar>
          <w:tblLook w:val="0000"/>
        </w:tblPrEx>
        <w:tc>
          <w:tcPr>
            <w:tcW w:w="83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The skills and knowledge described in this unit may, in some jurisdictions, require a license to practice in the workplace subject to regulations for undertaking refrigeration and air conditioning work. Practice in workplace and during training is also sub</w:t>
            </w:r>
            <w:r w:rsidRPr="003538A6">
              <w:t>ject to regulations directly related to occupational health and safety and where applicable contracts of training such as apprenticeships.</w:t>
            </w:r>
          </w:p>
          <w:p w:rsidR="00000000" w:rsidRPr="003538A6" w:rsidP="003538A6">
            <w:pPr>
              <w:pStyle w:val="BodyText"/>
            </w:pPr>
            <w:r w:rsidRPr="003538A6">
              <w:t xml:space="preserve">Note: </w:t>
            </w:r>
            <w:r w:rsidRPr="003538A6">
              <w:br/>
              <w:t xml:space="preserve">1. Compliance with permits may be required in various jurisdictions and typically relates to the operation of </w:t>
            </w:r>
            <w:r w:rsidRPr="003538A6">
              <w:t>plant, machinery and equipment such as elevating work platforms, powder operated fixing tools, power operated tools, vehicles, road signage and traffic control, lifting equipment. Permits may also be required for some work environments such as confined spa</w:t>
            </w:r>
            <w:r w:rsidRPr="003538A6">
              <w:t>ces, working aloft, near live electrical apparatus and site rehabilitation.</w:t>
            </w:r>
            <w:r w:rsidRPr="003538A6">
              <w:br/>
              <w:t>2. Compliance may be required in various jurisdictions relating to currency in First Aid, confined space, lifting and risk safety measures.</w:t>
            </w:r>
          </w:p>
        </w:tc>
      </w:tr>
    </w:tbl>
    <w:p w:rsidR="003C5585" w:rsidP="003538A6">
      <w:pPr>
        <w:pStyle w:val="BodyText"/>
      </w:pPr>
    </w:p>
    <w:p w:rsidR="003C5585" w:rsidP="003538A6">
      <w:pPr>
        <w:pStyle w:val="BodyText"/>
      </w:pPr>
    </w:p>
    <w:p w:rsidR="00000000" w:rsidRPr="003538A6" w:rsidP="003538A6">
      <w:pPr>
        <w:pStyle w:val="Heading1"/>
      </w:pPr>
      <w:bookmarkStart w:id="5" w:name="O_589407"/>
      <w:bookmarkEnd w:id="5"/>
      <w:r w:rsidRPr="003538A6">
        <w:t>Pre-Requisites</w:t>
      </w:r>
    </w:p>
    <w:tbl>
      <w:tblPr>
        <w:tblW w:w="0" w:type="auto"/>
        <w:tblLayout w:type="fixed"/>
        <w:tblCellMar>
          <w:left w:w="62" w:type="dxa"/>
          <w:right w:w="62" w:type="dxa"/>
        </w:tblCellMar>
        <w:tblLook w:val="0000"/>
      </w:tblPr>
      <w:tblGrid>
        <w:gridCol w:w="2700"/>
        <w:gridCol w:w="1800"/>
        <w:gridCol w:w="3864"/>
      </w:tblGrid>
      <w:tr w:rsidTr="003C55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Prere</w:t>
            </w:r>
            <w:r w:rsidRPr="003538A6">
              <w:rPr>
                <w:rStyle w:val="SpecialBold"/>
              </w:rPr>
              <w:t>quisite Unit</w:t>
            </w:r>
            <w:r w:rsidRPr="003538A6">
              <w:t>(</w:t>
            </w:r>
            <w:r w:rsidRPr="003538A6">
              <w:rPr>
                <w:rStyle w:val="SpecialBold"/>
              </w:rPr>
              <w:t>s</w:t>
            </w:r>
            <w:r w:rsidRPr="003538A6">
              <w:t>)</w:t>
            </w:r>
          </w:p>
        </w:tc>
        <w:tc>
          <w:tcPr>
            <w:tcW w:w="5664" w:type="dxa"/>
            <w:gridSpan w:val="2"/>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2</w:t>
            </w:r>
            <w:r w:rsidRPr="003538A6">
              <w:t xml:space="preserve">) </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38A6">
            <w:pPr>
              <w:pStyle w:val="BodyText"/>
              <w:keepNext w:val="0"/>
              <w:keepLines w:val="0"/>
              <w:contextualSpacing w:val="0"/>
            </w:pPr>
          </w:p>
        </w:tc>
        <w:tc>
          <w:tcPr>
            <w:tcW w:w="5664" w:type="dxa"/>
            <w:gridSpan w:val="2"/>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2</w:t>
            </w:r>
            <w:r w:rsidRPr="003538A6">
              <w:t>.</w:t>
            </w:r>
            <w:r w:rsidRPr="003538A6">
              <w:rPr>
                <w:rStyle w:val="SpecialBold"/>
              </w:rPr>
              <w:t>1</w:t>
            </w:r>
            <w:r w:rsidRPr="003538A6">
              <w:t xml:space="preserve">) </w:t>
            </w:r>
            <w:r w:rsidRPr="003538A6">
              <w:rPr>
                <w:rStyle w:val="SpecialBold"/>
              </w:rPr>
              <w:t>Competencies</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4" w:type="dxa"/>
            <w:gridSpan w:val="2"/>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Granting competency in this unit shall be made only after competency in the following unit(s) has/have been confirmed.</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UEENEEE102A </w:t>
            </w:r>
          </w:p>
        </w:tc>
        <w:tc>
          <w:tcPr>
            <w:tcW w:w="38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Fabricate, assemble and dismantle utilities industry components</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UEENEEE105A </w:t>
            </w:r>
          </w:p>
        </w:tc>
        <w:tc>
          <w:tcPr>
            <w:tcW w:w="38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Fix and secure electrotechnology equipment</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UEENEEE137A </w:t>
            </w:r>
          </w:p>
        </w:tc>
        <w:tc>
          <w:tcPr>
            <w:tcW w:w="38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Document and apply measures to control OHS risks associated with electrotechnology work</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UEENEEJ102A </w:t>
            </w:r>
          </w:p>
        </w:tc>
        <w:tc>
          <w:tcPr>
            <w:tcW w:w="38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Prepare and connect refrigerant tubing and fittings</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UEENEEJ103A </w:t>
            </w:r>
          </w:p>
        </w:tc>
        <w:tc>
          <w:tcPr>
            <w:tcW w:w="38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Establish the b</w:t>
            </w:r>
            <w:r w:rsidRPr="003538A6">
              <w:t>asic operating conditions of vapour compression systems</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UEENEEE101A </w:t>
            </w:r>
          </w:p>
        </w:tc>
        <w:tc>
          <w:tcPr>
            <w:tcW w:w="38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Apply Occupational Health and Safety regulations, codes and practices in the workplace</w:t>
            </w:r>
          </w:p>
        </w:tc>
      </w:tr>
    </w:tbl>
    <w:p w:rsidR="003C5585" w:rsidP="003538A6">
      <w:pPr>
        <w:pStyle w:val="BodyText"/>
      </w:pPr>
    </w:p>
    <w:p w:rsidR="003C5585" w:rsidP="003538A6">
      <w:pPr>
        <w:pStyle w:val="BodyText"/>
      </w:pPr>
    </w:p>
    <w:p w:rsidR="00000000" w:rsidRPr="003538A6" w:rsidP="003538A6">
      <w:pPr>
        <w:pStyle w:val="Heading1"/>
      </w:pPr>
      <w:bookmarkStart w:id="6" w:name="O_589406"/>
      <w:bookmarkEnd w:id="6"/>
      <w:r w:rsidRPr="003538A6">
        <w:t>Employability Skills Information</w:t>
      </w:r>
    </w:p>
    <w:tbl>
      <w:tblPr>
        <w:tblW w:w="0" w:type="auto"/>
        <w:tblLayout w:type="fixed"/>
        <w:tblCellMar>
          <w:left w:w="62" w:type="dxa"/>
          <w:right w:w="62" w:type="dxa"/>
        </w:tblCellMar>
        <w:tblLook w:val="0000"/>
      </w:tblPr>
      <w:tblGrid>
        <w:gridCol w:w="2700"/>
        <w:gridCol w:w="5664"/>
      </w:tblGrid>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Employability Skills</w:t>
            </w:r>
          </w:p>
        </w:tc>
        <w:tc>
          <w:tcPr>
            <w:tcW w:w="56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3</w:t>
            </w:r>
            <w:r w:rsidRPr="003538A6">
              <w:t>)</w:t>
            </w:r>
          </w:p>
          <w:p w:rsidR="00000000" w:rsidRPr="003538A6" w:rsidP="003538A6">
            <w:pPr>
              <w:pStyle w:val="BodyText"/>
            </w:pPr>
            <w:r w:rsidRPr="003538A6">
              <w:t>This unit contains Employability Skills</w:t>
            </w:r>
          </w:p>
          <w:p w:rsidR="00000000" w:rsidRPr="003538A6" w:rsidP="003538A6">
            <w:pPr>
              <w:pStyle w:val="BodyText"/>
            </w:pPr>
            <w:r w:rsidRPr="003538A6">
              <w:t>The required outcomes described in this unit of competency contain applicable facets of Employability Skills. The Employability Skills Summary of the qualification in which this unit of competency is packaged will as</w:t>
            </w:r>
            <w:r w:rsidRPr="003538A6">
              <w:t>sist in identifying Employability Skill requirements.</w:t>
            </w:r>
          </w:p>
        </w:tc>
      </w:tr>
    </w:tbl>
    <w:p w:rsidR="003C5585" w:rsidP="003538A6">
      <w:pPr>
        <w:pStyle w:val="BodyText"/>
      </w:pPr>
    </w:p>
    <w:p w:rsidR="003C5585" w:rsidP="003538A6">
      <w:pPr>
        <w:pStyle w:val="BodyText"/>
      </w:pPr>
    </w:p>
    <w:p w:rsidR="00000000" w:rsidRPr="003538A6" w:rsidP="003538A6">
      <w:pPr>
        <w:pStyle w:val="Heading1"/>
      </w:pPr>
      <w:bookmarkStart w:id="7" w:name="O_589405"/>
      <w:bookmarkEnd w:id="7"/>
      <w:r w:rsidRPr="003538A6">
        <w:t>Elements and Performance Criteria Pre-Content</w:t>
      </w:r>
    </w:p>
    <w:tbl>
      <w:tblPr>
        <w:tblW w:w="0" w:type="auto"/>
        <w:tblLayout w:type="fixed"/>
        <w:tblCellMar>
          <w:left w:w="62" w:type="dxa"/>
          <w:right w:w="62" w:type="dxa"/>
        </w:tblCellMar>
        <w:tblLook w:val="0000"/>
      </w:tblPr>
      <w:tblGrid>
        <w:gridCol w:w="2151"/>
        <w:gridCol w:w="6304"/>
      </w:tblGrid>
      <w:tr w:rsidTr="003C5585">
        <w:tblPrEx>
          <w:tblW w:w="0" w:type="auto"/>
          <w:tblLayout w:type="fixed"/>
          <w:tblCellMar>
            <w:left w:w="62" w:type="dxa"/>
            <w:right w:w="62" w:type="dxa"/>
          </w:tblCellMar>
          <w:tblLook w:val="0000"/>
        </w:tblPrEx>
        <w:tc>
          <w:tcPr>
            <w:tcW w:w="2151"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6</w:t>
            </w:r>
            <w:r w:rsidRPr="003538A6">
              <w:t>) Elements describe the essential outcomes of a unit</w:t>
            </w:r>
          </w:p>
        </w:tc>
        <w:tc>
          <w:tcPr>
            <w:tcW w:w="630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Performance criteria describe the required performance needed to demonstrate achie</w:t>
            </w:r>
            <w:r w:rsidRPr="003538A6">
              <w:t>vement of the element. Assessment of performance is to be consistent with the evidence guide.</w:t>
            </w:r>
          </w:p>
        </w:tc>
      </w:tr>
    </w:tbl>
    <w:p w:rsidR="00000000" w:rsidRPr="003538A6" w:rsidP="003538A6">
      <w:pPr>
        <w:pStyle w:val="BodyText"/>
      </w:pPr>
    </w:p>
    <w:p w:rsidR="00000000" w:rsidRPr="003538A6" w:rsidP="003538A6">
      <w:pPr>
        <w:pStyle w:val="AllowPageBreak"/>
      </w:pPr>
    </w:p>
    <w:p w:rsidR="00000000" w:rsidRPr="003538A6" w:rsidP="003538A6">
      <w:pPr>
        <w:pStyle w:val="Heading1"/>
      </w:pPr>
      <w:bookmarkStart w:id="8" w:name="O_589404"/>
      <w:bookmarkEnd w:id="8"/>
      <w:r w:rsidRPr="003538A6">
        <w:t>Elements and Performance Criteria</w:t>
      </w:r>
    </w:p>
    <w:tbl>
      <w:tblPr>
        <w:tblW w:w="0" w:type="auto"/>
        <w:tblLayout w:type="fixed"/>
        <w:tblCellMar>
          <w:left w:w="62" w:type="dxa"/>
          <w:right w:w="62" w:type="dxa"/>
        </w:tblCellMar>
        <w:tblLook w:val="0000"/>
      </w:tblPr>
      <w:tblGrid>
        <w:gridCol w:w="409"/>
        <w:gridCol w:w="1742"/>
        <w:gridCol w:w="909"/>
        <w:gridCol w:w="5395"/>
      </w:tblGrid>
      <w:tr w:rsidTr="003C5585">
        <w:tblPrEx>
          <w:tblW w:w="0" w:type="auto"/>
          <w:tblLayout w:type="fixed"/>
          <w:tblCellMar>
            <w:left w:w="62" w:type="dxa"/>
            <w:right w:w="62" w:type="dxa"/>
          </w:tblCellMar>
          <w:tblLook w:val="0000"/>
        </w:tblPrEx>
        <w:trPr>
          <w:tblHeader/>
        </w:trPr>
        <w:tc>
          <w:tcPr>
            <w:tcW w:w="2151" w:type="dxa"/>
            <w:gridSpan w:val="2"/>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ELEMENT</w:t>
            </w:r>
          </w:p>
        </w:tc>
        <w:tc>
          <w:tcPr>
            <w:tcW w:w="6304" w:type="dxa"/>
            <w:gridSpan w:val="2"/>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PERFORMANCE CRITERIA</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w:t>
            </w:r>
          </w:p>
        </w:tc>
        <w:tc>
          <w:tcPr>
            <w:tcW w:w="1742" w:type="dxa"/>
            <w:vMerge w:val="restart"/>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Prepare to install pipe work, flow controls and accessories</w:t>
            </w: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1.1</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OHS procedures for a given work area are identified, obtained and understood  </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1.2</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Established OHS risk control measures and procedures in preparation for the work are followed</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1.3</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Safety hazards which have not previously been identified are noted and established risk control measures are implemented</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1.4</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Pipe work, flow control and accessory installation is appropriately sequenced in accordance with job schedule </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1.5</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The nature and location of the work is determined from documentation or appropriate person(s) to establish the scope of work to be undertaken</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1.6</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Pipe work routes are planned within the constraints of the building structure, (heritage) significants, spe</w:t>
            </w:r>
            <w:r w:rsidRPr="003538A6">
              <w:t>cifications and regulations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1.7</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Appropriate personnel are consulted to ensure the work is coordinated effectively with others involved on the work site</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1.8</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Materials needed install pipe work, flow controls and accessories are obtained in accordance with established procedures and checked against job requirements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1.9</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Tools, equipment and testing devices needed to install the pipe work, flow controls and acc</w:t>
            </w:r>
            <w:r w:rsidRPr="003538A6">
              <w:t>essories are obtained in accordance with established procedures and checked for correct operation and safety</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1.10</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Preparatory work is checked to ensure no damage has occurred and complies with requirements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w:t>
            </w:r>
          </w:p>
        </w:tc>
        <w:tc>
          <w:tcPr>
            <w:tcW w:w="1742" w:type="dxa"/>
            <w:vMerge w:val="restart"/>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Install pipe work, flow controls and accesso</w:t>
            </w:r>
            <w:r w:rsidRPr="003538A6">
              <w:t>ries</w:t>
            </w: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2.1</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OHS risk control measures and procedures for carrying out the work are followed</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2.2</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Circuits/machines/plant are checked as being isolated where necessary in strict accordance OH&amp;S requirements and procedures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2.3</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Pipework, flow controls and accessories are installed to comply with technical standards and job specifications and requirements with sufficient access to affect connections and maintenance</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2.4</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Pipework, flow controls and accessories are installed straight and square in the required locations and within acceptable tolerances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2.5</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Refrigerant tubing and fittings are silver brazed with the use of dry nitrogen to prevent contamination</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2.6</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Probl</w:t>
            </w:r>
            <w:r w:rsidRPr="003538A6">
              <w:t>ematic situations that arise from the installation of the pipe work, flow controls and accessories are dealt with in an appropriate manner.</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2.7</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Ongoing checks of the quality of pipe work, flow controls and accessories are undertaken including pressure t</w:t>
            </w:r>
            <w:r w:rsidRPr="003538A6">
              <w:t>esting and repair of leaks in accordance with the relevant technical standards and specifications and established procedures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2.8</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Checking operation, adjusting settings and replacement of flow controls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2.9</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Pipe work, flow controls and accessories areinstalled efficiently without waste of materials, damage or contamination to apparatus and the surrounding environment or services and using sustainable energy practices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w:t>
            </w:r>
          </w:p>
        </w:tc>
        <w:tc>
          <w:tcPr>
            <w:tcW w:w="1742" w:type="dxa"/>
            <w:vMerge w:val="restart"/>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Completion of pipe work, flow controls </w:t>
            </w:r>
            <w:r w:rsidRPr="003538A6">
              <w:t>and accessories installation.</w:t>
            </w: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3.1</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OHS risk control measures and procedures at the completion of work are followed</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3.2</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Work site is cleaned and made safe in accordance with established procedures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3.3</w:t>
            </w:r>
          </w:p>
        </w:tc>
        <w:tc>
          <w:tcPr>
            <w:tcW w:w="539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Final check of the installed pipe work is made to verify that it complies to all requirements</w:t>
            </w:r>
          </w:p>
        </w:tc>
      </w:tr>
      <w:tr w:rsidTr="003C558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3.4</w:t>
            </w:r>
          </w:p>
        </w:tc>
        <w:tc>
          <w:tcPr>
            <w:tcW w:w="5395"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'As-installed' pipe work, flow controls  and accessories are documented and an appropriate person or persons notified in accordance with established proced</w:t>
            </w:r>
            <w:r w:rsidRPr="003538A6">
              <w:t xml:space="preserve">ures </w:t>
            </w:r>
          </w:p>
        </w:tc>
      </w:tr>
    </w:tbl>
    <w:p w:rsidR="003C5585" w:rsidP="003538A6">
      <w:pPr>
        <w:pStyle w:val="BodyText"/>
      </w:pPr>
    </w:p>
    <w:p w:rsidR="003C5585" w:rsidP="003538A6">
      <w:pPr>
        <w:pStyle w:val="BodyText"/>
      </w:pPr>
    </w:p>
    <w:p w:rsidR="00000000" w:rsidRPr="003538A6" w:rsidP="003538A6">
      <w:pPr>
        <w:pStyle w:val="Heading1"/>
      </w:pPr>
      <w:bookmarkStart w:id="9" w:name="O_589402"/>
      <w:bookmarkEnd w:id="9"/>
      <w:r w:rsidRPr="003538A6">
        <w:t>Required Skills and Knowledge</w:t>
      </w:r>
    </w:p>
    <w:tbl>
      <w:tblPr>
        <w:tblW w:w="0" w:type="auto"/>
        <w:tblLayout w:type="fixed"/>
        <w:tblCellMar>
          <w:left w:w="62" w:type="dxa"/>
          <w:right w:w="62" w:type="dxa"/>
        </w:tblCellMar>
        <w:tblLook w:val="0000"/>
      </w:tblPr>
      <w:tblGrid>
        <w:gridCol w:w="8455"/>
      </w:tblGrid>
      <w:tr w:rsidTr="003C5585">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REQUIRED SKILLS AND KNOWLEDGE</w:t>
            </w:r>
          </w:p>
        </w:tc>
      </w:tr>
      <w:tr w:rsidTr="003C5585">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 xml:space="preserve">7) </w:t>
            </w:r>
            <w:r w:rsidRPr="003538A6">
              <w:t>This describes the essential skills and knowledge and their level, required for this unit.</w:t>
            </w:r>
          </w:p>
        </w:tc>
      </w:tr>
      <w:tr w:rsidTr="003C5585">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 xml:space="preserve">Evidence shall show that knowledge has been acquired of safe working practices and installing pipe work for refrigeration and air conditioning systems. </w:t>
            </w:r>
          </w:p>
          <w:p w:rsidR="00000000" w:rsidRPr="003538A6" w:rsidP="003538A6">
            <w:pPr>
              <w:pStyle w:val="BodyText"/>
            </w:pPr>
            <w:r w:rsidRPr="003538A6">
              <w:t>All knowledge and skills detailed in this unit should be contextualised to current industry practices a</w:t>
            </w:r>
            <w:r w:rsidRPr="003538A6">
              <w:t>nd technologies.</w:t>
            </w:r>
          </w:p>
          <w:p w:rsidR="00000000" w:rsidRPr="003538A6" w:rsidP="003538A6">
            <w:pPr>
              <w:pStyle w:val="BodyText"/>
            </w:pPr>
            <w:r w:rsidRPr="003538A6">
              <w:rPr>
                <w:rStyle w:val="SpecialBold"/>
              </w:rPr>
              <w:t>KS01-EJ106A</w:t>
            </w:r>
            <w:r w:rsidRPr="003538A6">
              <w:rPr>
                <w:rStyle w:val="SpecialBold"/>
              </w:rPr>
              <w:tab/>
              <w:t xml:space="preserve">              Refrigerant pipework, flow controls and accessories</w:t>
            </w:r>
          </w:p>
          <w:p w:rsidR="00000000" w:rsidRPr="003538A6" w:rsidP="003538A6">
            <w:pPr>
              <w:pStyle w:val="BodyText"/>
            </w:pPr>
            <w:r w:rsidRPr="003538A6">
              <w:t>Evidence shall show an understanding of refrigerant pipework, flow controls and accessories, applying safe working practices and relevant Standards, Codes and Re</w:t>
            </w:r>
            <w:r w:rsidRPr="003538A6">
              <w:t>gulations to an extent indicated by the following aspects:</w:t>
            </w:r>
          </w:p>
          <w:p w:rsidR="00000000" w:rsidRPr="003538A6" w:rsidP="003538A6">
            <w:pPr>
              <w:pStyle w:val="BodyText"/>
            </w:pPr>
            <w:r w:rsidRPr="003538A6">
              <w:t>T1</w:t>
            </w:r>
            <w:r w:rsidRPr="003538A6">
              <w:tab/>
              <w:t>Environmental and building regulation</w:t>
            </w:r>
          </w:p>
          <w:p w:rsidR="00000000" w:rsidRPr="003538A6" w:rsidP="003538A6">
            <w:pPr>
              <w:pStyle w:val="ListBullet"/>
            </w:pPr>
            <w:r w:rsidRPr="003538A6">
              <w:t>types of heritage listings</w:t>
            </w:r>
          </w:p>
          <w:p w:rsidR="00000000" w:rsidRPr="003538A6" w:rsidP="003538A6">
            <w:pPr>
              <w:pStyle w:val="ListBullet"/>
            </w:pPr>
            <w:r w:rsidRPr="003538A6">
              <w:t>purpose and principles of regulations related maintaining heritage sites</w:t>
            </w:r>
          </w:p>
          <w:p w:rsidR="00000000" w:rsidRPr="003538A6" w:rsidP="003538A6">
            <w:pPr>
              <w:pStyle w:val="ListBullet"/>
            </w:pPr>
            <w:r w:rsidRPr="003538A6">
              <w:t>responsibilities of those working in and around heritage sites</w:t>
            </w:r>
          </w:p>
          <w:p w:rsidR="00000000" w:rsidRPr="003538A6" w:rsidP="003538A6">
            <w:pPr>
              <w:pStyle w:val="ListBullet"/>
            </w:pPr>
            <w:r w:rsidRPr="003538A6">
              <w:t>scope of environmental protection and related regulations</w:t>
            </w:r>
          </w:p>
          <w:p w:rsidR="00000000" w:rsidRPr="003538A6" w:rsidP="003538A6">
            <w:pPr>
              <w:pStyle w:val="ListBullet"/>
            </w:pPr>
            <w:r w:rsidRPr="003538A6">
              <w:t>purpose and principles of regulations related to environmental protection</w:t>
            </w:r>
          </w:p>
          <w:p w:rsidR="00000000" w:rsidRPr="003538A6" w:rsidP="003538A6">
            <w:pPr>
              <w:pStyle w:val="ListBullet"/>
            </w:pPr>
            <w:r w:rsidRPr="003538A6">
              <w:t>responsibilities of those working in and around environmental</w:t>
            </w:r>
            <w:r w:rsidRPr="003538A6">
              <w:t>ly protected sites</w:t>
            </w:r>
          </w:p>
          <w:p w:rsidR="00000000" w:rsidRPr="003538A6" w:rsidP="003538A6">
            <w:pPr>
              <w:pStyle w:val="ListBullet"/>
            </w:pPr>
            <w:r w:rsidRPr="003538A6">
              <w:t>the protocols for working in and around protected environments and heritage sites.</w:t>
            </w:r>
          </w:p>
          <w:p w:rsidR="00000000" w:rsidRPr="003538A6" w:rsidP="003538A6">
            <w:pPr>
              <w:pStyle w:val="BodyText"/>
            </w:pPr>
            <w:r w:rsidRPr="003538A6">
              <w:t>T2</w:t>
            </w:r>
            <w:r w:rsidRPr="003538A6">
              <w:tab/>
              <w:t xml:space="preserve">Refrigeration pipework </w:t>
            </w:r>
          </w:p>
          <w:p w:rsidR="00000000" w:rsidRPr="003538A6" w:rsidP="003538A6">
            <w:pPr>
              <w:pStyle w:val="ListBullet"/>
            </w:pPr>
            <w:r w:rsidRPr="003538A6">
              <w:t>appropriate piping arrangements for refrigerant lines including discharge lines, liquid lines, suction lines</w:t>
            </w:r>
          </w:p>
          <w:p w:rsidR="00000000" w:rsidRPr="003538A6" w:rsidP="003538A6">
            <w:pPr>
              <w:pStyle w:val="ListBullet"/>
            </w:pPr>
            <w:r w:rsidRPr="003538A6">
              <w:t>position of equip</w:t>
            </w:r>
            <w:r w:rsidRPr="003538A6">
              <w:t>ment in relation pipework</w:t>
            </w:r>
          </w:p>
          <w:p w:rsidR="00000000" w:rsidRPr="003538A6" w:rsidP="003538A6">
            <w:pPr>
              <w:pStyle w:val="ListBullet"/>
            </w:pPr>
            <w:r w:rsidRPr="003538A6">
              <w:t>requirements for vertical and horizontal pipe runs.</w:t>
            </w:r>
          </w:p>
          <w:p w:rsidR="00000000" w:rsidRPr="003538A6" w:rsidP="003538A6">
            <w:pPr>
              <w:pStyle w:val="ListBullet"/>
            </w:pPr>
            <w:r w:rsidRPr="003538A6">
              <w:t>requirements for oil return and prevention of flood back</w:t>
            </w:r>
          </w:p>
          <w:p w:rsidR="00000000" w:rsidRPr="003538A6" w:rsidP="003538A6">
            <w:pPr>
              <w:pStyle w:val="ListBullet"/>
            </w:pPr>
            <w:r w:rsidRPr="003538A6">
              <w:t>techniques for the prevention of noise and vibration</w:t>
            </w:r>
          </w:p>
          <w:p w:rsidR="00000000" w:rsidRPr="003538A6" w:rsidP="003538A6">
            <w:pPr>
              <w:pStyle w:val="ListBullet"/>
            </w:pPr>
            <w:r w:rsidRPr="003538A6">
              <w:t>insulation requirements and materials</w:t>
            </w:r>
          </w:p>
          <w:p w:rsidR="00000000" w:rsidRPr="003538A6" w:rsidP="003538A6">
            <w:pPr>
              <w:pStyle w:val="ListBullet"/>
            </w:pPr>
            <w:r w:rsidRPr="003538A6">
              <w:t>pipework insulation requiremen</w:t>
            </w:r>
            <w:r w:rsidRPr="003538A6">
              <w:t>ts, including relevant technical standards, regulations and codes</w:t>
            </w:r>
          </w:p>
          <w:p w:rsidR="00000000" w:rsidRPr="003538A6" w:rsidP="003538A6">
            <w:pPr>
              <w:pStyle w:val="ListBullet"/>
            </w:pPr>
            <w:r w:rsidRPr="003538A6">
              <w:t>pipe work installation techniques</w:t>
            </w:r>
          </w:p>
          <w:p w:rsidR="00000000" w:rsidRPr="003538A6" w:rsidP="003538A6">
            <w:pPr>
              <w:pStyle w:val="ListBullet"/>
            </w:pPr>
            <w:r w:rsidRPr="003538A6">
              <w:t>insulation requirements and materials</w:t>
            </w:r>
          </w:p>
          <w:p w:rsidR="00000000" w:rsidRPr="003538A6" w:rsidP="003538A6">
            <w:pPr>
              <w:pStyle w:val="BodyText"/>
            </w:pPr>
            <w:r w:rsidRPr="003538A6">
              <w:t>T3</w:t>
            </w:r>
            <w:r w:rsidRPr="003538A6">
              <w:tab/>
              <w:t xml:space="preserve">Refrigerant pipework accessories </w:t>
            </w:r>
          </w:p>
          <w:p w:rsidR="00000000" w:rsidRPr="003538A6" w:rsidP="003538A6">
            <w:pPr>
              <w:pStyle w:val="ListBullet"/>
            </w:pPr>
            <w:r w:rsidRPr="003538A6">
              <w:t xml:space="preserve">types </w:t>
            </w:r>
          </w:p>
          <w:p w:rsidR="00000000" w:rsidRPr="003538A6" w:rsidP="003538A6">
            <w:pPr>
              <w:pStyle w:val="ListBullet2"/>
            </w:pPr>
            <w:r w:rsidRPr="003538A6">
              <w:t>including pipe work fittings, hand valves, isolation valves, solenoid va</w:t>
            </w:r>
            <w:r w:rsidRPr="003538A6">
              <w:t>lves, check valves, reversing valves, filter/dryers, sight glasses, accumulators, oil separators, pressure relief devices</w:t>
            </w:r>
          </w:p>
          <w:p w:rsidR="00000000" w:rsidRPr="003538A6" w:rsidP="003538A6">
            <w:pPr>
              <w:pStyle w:val="ListBullet"/>
            </w:pPr>
            <w:r w:rsidRPr="003538A6">
              <w:t xml:space="preserve">applications </w:t>
            </w:r>
          </w:p>
          <w:p w:rsidR="00000000" w:rsidRPr="003538A6" w:rsidP="003538A6">
            <w:pPr>
              <w:pStyle w:val="ListBullet"/>
            </w:pPr>
            <w:r w:rsidRPr="003538A6">
              <w:t xml:space="preserve">operation </w:t>
            </w:r>
          </w:p>
          <w:p w:rsidR="00000000" w:rsidRPr="003538A6" w:rsidP="003538A6">
            <w:pPr>
              <w:pStyle w:val="ListBullet"/>
            </w:pPr>
            <w:r w:rsidRPr="003538A6">
              <w:t xml:space="preserve">location and installation </w:t>
            </w:r>
          </w:p>
          <w:p w:rsidR="00000000" w:rsidRPr="003538A6" w:rsidP="003538A6">
            <w:pPr>
              <w:pStyle w:val="ListBullet"/>
            </w:pPr>
            <w:r w:rsidRPr="003538A6">
              <w:t xml:space="preserve">testing </w:t>
            </w:r>
          </w:p>
          <w:p w:rsidR="00000000" w:rsidRPr="003538A6" w:rsidP="003538A6">
            <w:pPr>
              <w:pStyle w:val="ListBullet"/>
            </w:pPr>
            <w:r w:rsidRPr="003538A6">
              <w:t>replacement</w:t>
            </w:r>
          </w:p>
          <w:p w:rsidR="00000000" w:rsidRPr="003538A6" w:rsidP="003538A6">
            <w:pPr>
              <w:pStyle w:val="BodyText"/>
            </w:pPr>
            <w:r w:rsidRPr="003538A6">
              <w:t>T4</w:t>
            </w:r>
            <w:r w:rsidRPr="003538A6">
              <w:tab/>
              <w:t xml:space="preserve">Refrigerant liquid flow controls and distributors </w:t>
            </w:r>
          </w:p>
          <w:p w:rsidR="00000000" w:rsidRPr="003538A6" w:rsidP="003538A6">
            <w:pPr>
              <w:pStyle w:val="ListBullet"/>
            </w:pPr>
            <w:r w:rsidRPr="003538A6">
              <w:t>types</w:t>
            </w:r>
          </w:p>
          <w:p w:rsidR="00000000" w:rsidRPr="003538A6" w:rsidP="003538A6">
            <w:pPr>
              <w:pStyle w:val="ListBullet2"/>
            </w:pPr>
            <w:r w:rsidRPr="003538A6">
              <w:t>including capillary, hand expansion valve, thermostatic expansion valve, thermo-electric expansion valve, electronic expansion valve, low side floats, high side floats, liquid level controllers</w:t>
            </w:r>
          </w:p>
          <w:p w:rsidR="00000000" w:rsidRPr="003538A6" w:rsidP="003538A6">
            <w:pPr>
              <w:pStyle w:val="ListBullet"/>
            </w:pPr>
            <w:r w:rsidRPr="003538A6">
              <w:t xml:space="preserve">applications </w:t>
            </w:r>
          </w:p>
          <w:p w:rsidR="00000000" w:rsidRPr="003538A6" w:rsidP="003538A6">
            <w:pPr>
              <w:pStyle w:val="ListBullet"/>
            </w:pPr>
            <w:r w:rsidRPr="003538A6">
              <w:t xml:space="preserve">operation </w:t>
            </w:r>
          </w:p>
          <w:p w:rsidR="00000000" w:rsidRPr="003538A6" w:rsidP="003538A6">
            <w:pPr>
              <w:pStyle w:val="ListBullet"/>
            </w:pPr>
            <w:r w:rsidRPr="003538A6">
              <w:t xml:space="preserve">location and installation </w:t>
            </w:r>
          </w:p>
          <w:p w:rsidR="00000000" w:rsidRPr="003538A6" w:rsidP="003538A6">
            <w:pPr>
              <w:pStyle w:val="ListBullet"/>
            </w:pPr>
            <w:r w:rsidRPr="003538A6">
              <w:t>testing</w:t>
            </w:r>
            <w:r w:rsidRPr="003538A6">
              <w:t xml:space="preserve"> and adjusting settings</w:t>
            </w:r>
          </w:p>
          <w:p w:rsidR="00000000" w:rsidRPr="003538A6" w:rsidP="003538A6">
            <w:pPr>
              <w:pStyle w:val="ListBullet"/>
            </w:pPr>
            <w:r w:rsidRPr="003538A6">
              <w:t>replacement</w:t>
            </w:r>
          </w:p>
          <w:p w:rsidR="00000000" w:rsidRPr="003538A6" w:rsidP="003538A6">
            <w:pPr>
              <w:pStyle w:val="BodyText"/>
            </w:pPr>
            <w:r w:rsidRPr="003538A6">
              <w:t>T5</w:t>
            </w:r>
            <w:r w:rsidRPr="003538A6">
              <w:tab/>
              <w:t>Refrigerant vapour flow controls</w:t>
            </w:r>
          </w:p>
          <w:p w:rsidR="00000000" w:rsidRPr="003538A6" w:rsidP="003538A6">
            <w:pPr>
              <w:pStyle w:val="ListBullet"/>
            </w:pPr>
            <w:r w:rsidRPr="003538A6">
              <w:t>types</w:t>
            </w:r>
          </w:p>
          <w:p w:rsidR="00000000" w:rsidRPr="003538A6" w:rsidP="003538A6">
            <w:pPr>
              <w:pStyle w:val="ListBullet2"/>
            </w:pPr>
            <w:r w:rsidRPr="003538A6">
              <w:t>including evaporator pressure regulators, crankcase pressure regulators, condenser bypass valves, electronic valves/controllers</w:t>
            </w:r>
          </w:p>
          <w:p w:rsidR="00000000" w:rsidRPr="003538A6" w:rsidP="003538A6">
            <w:pPr>
              <w:pStyle w:val="ListBullet"/>
            </w:pPr>
            <w:r w:rsidRPr="003538A6">
              <w:t xml:space="preserve">applications </w:t>
            </w:r>
          </w:p>
          <w:p w:rsidR="00000000" w:rsidRPr="003538A6" w:rsidP="003538A6">
            <w:pPr>
              <w:pStyle w:val="ListBullet"/>
            </w:pPr>
            <w:r w:rsidRPr="003538A6">
              <w:t xml:space="preserve">operation </w:t>
            </w:r>
          </w:p>
          <w:p w:rsidR="00000000" w:rsidRPr="003538A6" w:rsidP="003538A6">
            <w:pPr>
              <w:pStyle w:val="ListBullet"/>
            </w:pPr>
            <w:r w:rsidRPr="003538A6">
              <w:t xml:space="preserve">location and installation </w:t>
            </w:r>
          </w:p>
          <w:p w:rsidR="00000000" w:rsidRPr="003538A6" w:rsidP="003538A6">
            <w:pPr>
              <w:pStyle w:val="ListBullet"/>
            </w:pPr>
            <w:r w:rsidRPr="003538A6">
              <w:t>testing and adjusting settings</w:t>
            </w:r>
          </w:p>
          <w:p w:rsidR="00000000" w:rsidRPr="003538A6" w:rsidP="003538A6">
            <w:pPr>
              <w:pStyle w:val="ListBullet"/>
            </w:pPr>
            <w:r w:rsidRPr="003538A6">
              <w:t>replacement</w:t>
            </w:r>
          </w:p>
        </w:tc>
      </w:tr>
    </w:tbl>
    <w:p w:rsidR="003C5585" w:rsidP="003538A6">
      <w:pPr>
        <w:pStyle w:val="BodyText"/>
      </w:pPr>
    </w:p>
    <w:p w:rsidR="003C5585" w:rsidP="003538A6">
      <w:pPr>
        <w:pStyle w:val="BodyText"/>
      </w:pPr>
    </w:p>
    <w:p w:rsidR="00000000" w:rsidRPr="003538A6" w:rsidP="003538A6">
      <w:pPr>
        <w:pStyle w:val="Heading1"/>
      </w:pPr>
      <w:bookmarkStart w:id="10" w:name="O_589401"/>
      <w:bookmarkEnd w:id="10"/>
      <w:r w:rsidRPr="003538A6">
        <w:t>Evidence Guide</w:t>
      </w:r>
    </w:p>
    <w:tbl>
      <w:tblPr>
        <w:tblW w:w="0" w:type="auto"/>
        <w:tblLayout w:type="fixed"/>
        <w:tblCellMar>
          <w:left w:w="62" w:type="dxa"/>
          <w:right w:w="62" w:type="dxa"/>
        </w:tblCellMar>
        <w:tblLook w:val="0000"/>
      </w:tblPr>
      <w:tblGrid>
        <w:gridCol w:w="2160"/>
        <w:gridCol w:w="236"/>
        <w:gridCol w:w="540"/>
        <w:gridCol w:w="1291"/>
        <w:gridCol w:w="4140"/>
        <w:gridCol w:w="88"/>
      </w:tblGrid>
      <w:tr w:rsidTr="003C5585">
        <w:tblPrEx>
          <w:tblW w:w="0" w:type="auto"/>
          <w:tblLayout w:type="fixed"/>
          <w:tblCellMar>
            <w:left w:w="62" w:type="dxa"/>
            <w:right w:w="62" w:type="dxa"/>
          </w:tblCellMar>
          <w:tblLook w:val="0000"/>
        </w:tblPrEx>
        <w:trPr>
          <w:gridAfter w:val="1"/>
          <w:wAfter w:w="88" w:type="dxa"/>
          <w:tblHeader/>
        </w:trPr>
        <w:tc>
          <w:tcPr>
            <w:tcW w:w="8367" w:type="dxa"/>
            <w:gridSpan w:val="5"/>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EVIDENCE GUIDE</w:t>
            </w:r>
          </w:p>
        </w:tc>
      </w:tr>
      <w:tr w:rsidTr="003C5585">
        <w:tblPrEx>
          <w:tblW w:w="0" w:type="auto"/>
          <w:tblLayout w:type="fixed"/>
          <w:tblCellMar>
            <w:left w:w="62" w:type="dxa"/>
            <w:right w:w="62" w:type="dxa"/>
          </w:tblCellMar>
          <w:tblLook w:val="0000"/>
        </w:tblPrEx>
        <w:trPr>
          <w:gridAfter w:val="1"/>
          <w:wAfter w:w="88" w:type="dxa"/>
        </w:trPr>
        <w:tc>
          <w:tcPr>
            <w:tcW w:w="8367" w:type="dxa"/>
            <w:gridSpan w:val="5"/>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9</w:t>
            </w:r>
            <w:r w:rsidRPr="003538A6">
              <w:t xml:space="preserve">) The evidence guide provides advice on assessment and must be read in conjunction with the Performance </w:t>
            </w:r>
            <w:r w:rsidRPr="003538A6">
              <w:t>Criteria, Required Skills and Knowledge, the Range Statement and the Assessment Guidelines for this Training Package. .</w:t>
            </w:r>
          </w:p>
          <w:p w:rsidR="00000000" w:rsidP="003538A6">
            <w:pPr>
              <w:pStyle w:val="BodyText"/>
              <w:rPr>
                <w:lang w:val="en-NZ"/>
              </w:rPr>
            </w:pPr>
            <w:r w:rsidRPr="003538A6">
              <w:t>The Evidence Guide forms an integral part of this Unit. It must be used in conjunction with all parts of this unit and performed in acco</w:t>
            </w:r>
            <w:r w:rsidRPr="003538A6">
              <w:t>rdance with the Assessment Guidelines of this Training Package.</w:t>
            </w:r>
          </w:p>
        </w:tc>
      </w:tr>
      <w:tr w:rsidTr="003C5585">
        <w:tblPrEx>
          <w:tblW w:w="0" w:type="auto"/>
          <w:tblLayout w:type="fixed"/>
          <w:tblCellMar>
            <w:left w:w="62" w:type="dxa"/>
            <w:right w:w="62" w:type="dxa"/>
          </w:tblCellMar>
          <w:tblLook w:val="0000"/>
        </w:tblPrEx>
        <w:trPr>
          <w:gridAfter w:val="1"/>
          <w:wAfter w:w="88" w:type="dxa"/>
        </w:trPr>
        <w:tc>
          <w:tcPr>
            <w:tcW w:w="216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Overview of Assessment</w:t>
            </w:r>
          </w:p>
        </w:tc>
        <w:tc>
          <w:tcPr>
            <w:tcW w:w="6207" w:type="dxa"/>
            <w:gridSpan w:val="4"/>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9</w:t>
            </w:r>
            <w:r w:rsidRPr="003538A6">
              <w:t>.</w:t>
            </w:r>
            <w:r w:rsidRPr="003538A6">
              <w:rPr>
                <w:rStyle w:val="SpecialBold"/>
              </w:rPr>
              <w:t>1</w:t>
            </w:r>
            <w:r w:rsidRPr="003538A6">
              <w:t xml:space="preserve">) </w:t>
            </w:r>
          </w:p>
          <w:p w:rsidR="00000000" w:rsidRPr="003538A6" w:rsidP="003538A6">
            <w:pPr>
              <w:pStyle w:val="BodyText"/>
            </w:pPr>
            <w:r w:rsidRPr="003538A6">
              <w:t>Longitudinal competency development approaches to assessment, such as Profiling, require data to be reliably gathered in a form that can be consistently interpreted over time. This approach is best utilised in Apprenticeship programs and reduces assessment</w:t>
            </w:r>
            <w:r w:rsidRPr="003538A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538A6">
              <w:t>ncy in a realistically simulated work environment. In some circumstances, assessment in part or full can occur outside the workplace. However, it must be in accordance with industry and regulatory policy.</w:t>
            </w:r>
          </w:p>
          <w:p w:rsidR="00000000" w:rsidRPr="003538A6" w:rsidP="003538A6">
            <w:pPr>
              <w:pStyle w:val="BodyText"/>
            </w:pPr>
            <w:r w:rsidRPr="003538A6">
              <w:t xml:space="preserve">Methods chosen for a particular assessment will be </w:t>
            </w:r>
            <w:r w:rsidRPr="003538A6">
              <w:t>influenced by various factors. These include the extent of the assessment, the most effective locations for the assessment activities to take place, access to physical resources, additional safety measures that may be required and the critical nature of th</w:t>
            </w:r>
            <w:r w:rsidRPr="003538A6">
              <w:t>e competencies being assessed.</w:t>
            </w:r>
          </w:p>
          <w:p w:rsidR="00000000" w:rsidRPr="003538A6" w:rsidP="003538A6">
            <w:pPr>
              <w:pStyle w:val="BodyText"/>
            </w:pPr>
            <w:r w:rsidRPr="003538A6">
              <w:t>The critical safety nature of working with electricity, electrical equipment, gas or any other hazardous substance/material carries risk in deeming a person competent. Sources of evidence need to be 'rich' in nature to minimi</w:t>
            </w:r>
            <w:r w:rsidRPr="003538A6">
              <w:t>se error in judgment.</w:t>
            </w:r>
          </w:p>
          <w:p w:rsidR="00000000" w:rsidP="003538A6">
            <w:pPr>
              <w:pStyle w:val="BodyText"/>
              <w:rPr>
                <w:lang w:val="en-NZ"/>
              </w:rPr>
            </w:pPr>
            <w:r w:rsidRPr="003538A6">
              <w:t>Activities associated with normal everyday work influence decisions about how/how much the data gathered will contribute to its 'richness'. Some skills are more critical to safety and operational requirements while the same skills may</w:t>
            </w:r>
            <w:r w:rsidRPr="003538A6">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3538A6">
              <w:t>this Training Package.</w:t>
            </w:r>
          </w:p>
        </w:tc>
      </w:tr>
      <w:tr w:rsidTr="003C5585">
        <w:tblPrEx>
          <w:tblW w:w="0" w:type="auto"/>
          <w:tblLayout w:type="fixed"/>
          <w:tblCellMar>
            <w:left w:w="62" w:type="dxa"/>
            <w:right w:w="62" w:type="dxa"/>
          </w:tblCellMar>
          <w:tblLook w:val="0000"/>
        </w:tblPrEx>
        <w:trPr>
          <w:gridAfter w:val="1"/>
          <w:wAfter w:w="88" w:type="dxa"/>
        </w:trPr>
        <w:tc>
          <w:tcPr>
            <w:tcW w:w="2160" w:type="dxa"/>
            <w:vMerge w:val="restart"/>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Critical aspects of evidence required to demonstrate competency in this unit</w:t>
            </w:r>
          </w:p>
        </w:tc>
        <w:tc>
          <w:tcPr>
            <w:tcW w:w="6207" w:type="dxa"/>
            <w:gridSpan w:val="4"/>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9</w:t>
            </w:r>
            <w:r w:rsidRPr="003538A6">
              <w:t>.</w:t>
            </w:r>
            <w:r w:rsidRPr="003538A6">
              <w:rPr>
                <w:rStyle w:val="SpecialBold"/>
              </w:rPr>
              <w:t>2</w:t>
            </w:r>
            <w:r w:rsidRPr="003538A6">
              <w:t xml:space="preserve">) </w:t>
            </w:r>
          </w:p>
          <w:p w:rsidR="00000000" w:rsidP="003538A6">
            <w:pPr>
              <w:pStyle w:val="BodyText"/>
              <w:rPr>
                <w:lang w:val="en-NZ"/>
              </w:rPr>
            </w:pPr>
            <w:r w:rsidRPr="003538A6">
              <w:t>Before the critical aspects of evidence are considered all prerequisites must be met.</w:t>
            </w:r>
          </w:p>
        </w:tc>
      </w:tr>
      <w:tr w:rsidTr="003C5585">
        <w:tblPrEx>
          <w:tblW w:w="0" w:type="auto"/>
          <w:tblLayout w:type="fixed"/>
          <w:tblCellMar>
            <w:left w:w="62" w:type="dxa"/>
            <w:right w:w="62" w:type="dxa"/>
          </w:tblCellMar>
          <w:tblLook w:val="0000"/>
        </w:tblPrEx>
        <w:trPr>
          <w:gridAfter w:val="1"/>
          <w:wAfter w:w="88"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7" w:type="dxa"/>
            <w:gridSpan w:val="4"/>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538A6">
            <w:pPr>
              <w:pStyle w:val="ListBullet"/>
              <w:rPr>
                <w:lang w:val="en-NZ"/>
              </w:rPr>
            </w:pPr>
            <w:r w:rsidRPr="003538A6">
              <w:t>A representative body of work performance demonstrated within the timeframes typically expected of the discipline, work function and industrial environment. In particular this shall incorporate evidence that shows a candidate is able to:</w:t>
            </w:r>
          </w:p>
        </w:tc>
      </w:tr>
      <w:tr w:rsidTr="003C5585">
        <w:tblPrEx>
          <w:tblW w:w="0" w:type="auto"/>
          <w:tblLayout w:type="fixed"/>
          <w:tblCellMar>
            <w:left w:w="62" w:type="dxa"/>
            <w:right w:w="62" w:type="dxa"/>
          </w:tblCellMar>
          <w:tblLook w:val="0000"/>
        </w:tblPrEx>
        <w:trPr>
          <w:gridAfter w:val="1"/>
          <w:wAfter w:w="88" w:type="dxa"/>
        </w:trPr>
        <w:tc>
          <w:tcPr>
            <w:tcW w:w="216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p>
        </w:tc>
        <w:tc>
          <w:tcPr>
            <w:tcW w:w="6207" w:type="dxa"/>
            <w:gridSpan w:val="4"/>
            <w:tcBorders>
              <w:top w:val="nil"/>
              <w:left w:val="nil"/>
              <w:bottom w:val="nil"/>
              <w:right w:val="nil"/>
            </w:tcBorders>
            <w:tcMar>
              <w:top w:w="0" w:type="dxa"/>
              <w:left w:w="62" w:type="dxa"/>
              <w:bottom w:w="0" w:type="dxa"/>
              <w:right w:w="62" w:type="dxa"/>
            </w:tcMar>
          </w:tcPr>
          <w:p w:rsidR="00000000" w:rsidRPr="003538A6" w:rsidP="003538A6">
            <w:pPr>
              <w:pStyle w:val="ListBullet2"/>
            </w:pPr>
            <w:r w:rsidRPr="003538A6">
              <w:t>Implement Occupational Health and Safety workplace procedures and practices including the use of risk control measures as specified in the performance criteria and range statement</w:t>
            </w:r>
          </w:p>
          <w:p w:rsidR="00000000" w:rsidRPr="003538A6" w:rsidP="003538A6">
            <w:pPr>
              <w:pStyle w:val="ListBullet2"/>
            </w:pPr>
            <w:r w:rsidRPr="003538A6">
              <w:t>Apply sustainable energy principles and practices as specified in the perfor</w:t>
            </w:r>
            <w:r w:rsidRPr="003538A6">
              <w:t>mance criteria and range statement</w:t>
            </w:r>
          </w:p>
          <w:p w:rsidR="00000000" w:rsidRPr="003538A6" w:rsidP="003538A6">
            <w:pPr>
              <w:pStyle w:val="ListBullet2"/>
            </w:pPr>
            <w:r w:rsidRPr="003538A6">
              <w:t>Demonstrate an understanding of the essential knowledge and associated skills as described in this unit.  It may be required by some jurisdictions that RTOs provide a percentile graded result for the purpose of regulatory</w:t>
            </w:r>
            <w:r w:rsidRPr="003538A6">
              <w:t xml:space="preserve"> or licensing requirements.</w:t>
            </w:r>
          </w:p>
          <w:p w:rsidR="00000000" w:rsidRPr="003538A6" w:rsidP="003538A6">
            <w:pPr>
              <w:pStyle w:val="ListBullet2"/>
            </w:pPr>
            <w:r w:rsidRPr="003538A6">
              <w:t>Demonstrate an appropriate level of skills enabling employment</w:t>
            </w:r>
          </w:p>
          <w:p w:rsidR="00000000" w:rsidP="003538A6">
            <w:pPr>
              <w:pStyle w:val="ListBullet2"/>
              <w:rPr>
                <w:lang w:val="en-NZ"/>
              </w:rPr>
            </w:pPr>
            <w:r w:rsidRPr="003538A6">
              <w:t>Conduct work observing the relevant Anti Discrimination legislation, regulations, polices and workplace procedures</w:t>
            </w:r>
          </w:p>
        </w:tc>
      </w:tr>
      <w:tr w:rsidTr="003C5585">
        <w:tblPrEx>
          <w:tblW w:w="0" w:type="auto"/>
          <w:tblLayout w:type="fixed"/>
          <w:tblCellMar>
            <w:left w:w="62" w:type="dxa"/>
            <w:right w:w="62" w:type="dxa"/>
          </w:tblCellMar>
          <w:tblLook w:val="0000"/>
        </w:tblPrEx>
        <w:trPr>
          <w:gridAfter w:val="1"/>
          <w:wAfter w:w="88" w:type="dxa"/>
        </w:trPr>
        <w:tc>
          <w:tcPr>
            <w:tcW w:w="216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p>
        </w:tc>
        <w:tc>
          <w:tcPr>
            <w:tcW w:w="6207" w:type="dxa"/>
            <w:gridSpan w:val="4"/>
            <w:tcBorders>
              <w:top w:val="nil"/>
              <w:left w:val="nil"/>
              <w:bottom w:val="nil"/>
              <w:right w:val="nil"/>
            </w:tcBorders>
            <w:tcMar>
              <w:top w:w="0" w:type="dxa"/>
              <w:left w:w="62" w:type="dxa"/>
              <w:bottom w:w="0" w:type="dxa"/>
              <w:right w:w="62" w:type="dxa"/>
            </w:tcMar>
          </w:tcPr>
          <w:p w:rsidR="00000000" w:rsidP="003538A6">
            <w:pPr>
              <w:pStyle w:val="ListBullet"/>
              <w:rPr>
                <w:lang w:val="en-NZ"/>
              </w:rPr>
            </w:pPr>
            <w:r w:rsidRPr="003538A6">
              <w:t>Demonstrated consistent performance across a representative range of contexts from the prescribed items below:</w:t>
            </w:r>
          </w:p>
        </w:tc>
      </w:tr>
      <w:tr w:rsidTr="003C5585">
        <w:tblPrEx>
          <w:tblW w:w="0" w:type="auto"/>
          <w:tblLayout w:type="fixed"/>
          <w:tblCellMar>
            <w:left w:w="62" w:type="dxa"/>
            <w:right w:w="62" w:type="dxa"/>
          </w:tblCellMar>
          <w:tblLook w:val="0000"/>
        </w:tblPrEx>
        <w:trPr>
          <w:gridAfter w:val="1"/>
          <w:wAfter w:w="88" w:type="dxa"/>
        </w:trPr>
        <w:tc>
          <w:tcPr>
            <w:tcW w:w="216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p>
        </w:tc>
        <w:tc>
          <w:tcPr>
            <w:tcW w:w="6207" w:type="dxa"/>
            <w:gridSpan w:val="4"/>
            <w:tcBorders>
              <w:top w:val="nil"/>
              <w:left w:val="nil"/>
              <w:bottom w:val="nil"/>
              <w:right w:val="nil"/>
            </w:tcBorders>
            <w:tcMar>
              <w:top w:w="0" w:type="dxa"/>
              <w:left w:w="62" w:type="dxa"/>
              <w:bottom w:w="0" w:type="dxa"/>
              <w:right w:w="62" w:type="dxa"/>
            </w:tcMar>
          </w:tcPr>
          <w:p w:rsidR="00000000" w:rsidP="003538A6">
            <w:pPr>
              <w:pStyle w:val="ListBullet2"/>
              <w:rPr>
                <w:lang w:val="en-NZ"/>
              </w:rPr>
            </w:pPr>
            <w:r w:rsidRPr="003538A6">
              <w:t>Install refrigerant pipe work, flow controls and accessories for refrigeration and air conditioning systems as described in 8) and includin</w:t>
            </w:r>
            <w:r w:rsidRPr="003538A6">
              <w:t>g:</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A</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Reading and interpreting drawings related to pipe work layouts and apparatus locations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B</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Routing, placing and securing pipe work to comply with requirements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Placing and securing flow controls and accessories accurately </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D</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Connecting pipe work, flow controls and accessories to comply with requirements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E</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Cleaning pipe work of contaminants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F</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Ensuring pipe work, flow controls and accessories will not leak under pressure</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G</w:t>
            </w: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Checking operation, adjusting settings and replacement of flow controls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H</w:t>
            </w:r>
          </w:p>
          <w:p w:rsidR="00000000">
            <w:pPr>
              <w:pStyle w:val="BodyText"/>
              <w:keepNext w:val="0"/>
              <w:keepLines w:val="0"/>
              <w:contextualSpacing w:val="0"/>
              <w:rPr>
                <w:rFonts w:ascii="Tahoma" w:hAnsi="Tahoma"/>
                <w:color w:val="000000"/>
                <w:sz w:val="20"/>
                <w:lang w:val="en-NZ"/>
              </w:rPr>
            </w:pPr>
          </w:p>
        </w:tc>
        <w:tc>
          <w:tcPr>
            <w:tcW w:w="5519"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Dealing with unplanned events by drawing on essential knowledge and skills to provide appropriate solutions incorporated in the holistic assessment with the above listed items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5"/>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 xml:space="preserve">Note: </w:t>
            </w:r>
            <w:r w:rsidRPr="003538A6">
              <w:br/>
              <w:t xml:space="preserve">Successful completion of relevant vendor training may be used to contribute to evidence on which competency is deemed. In these cases the alignment of outcomes of vendor training with performance criteria and critical aspects of evidence shall be </w:t>
            </w:r>
            <w:r w:rsidRPr="003538A6">
              <w:t>clearly identified.</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Context of and specific resources for assessment</w:t>
            </w:r>
          </w:p>
        </w:tc>
        <w:tc>
          <w:tcPr>
            <w:tcW w:w="6295" w:type="dxa"/>
            <w:gridSpan w:val="5"/>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9</w:t>
            </w:r>
            <w:r w:rsidRPr="003538A6">
              <w:t>.</w:t>
            </w:r>
            <w:r w:rsidRPr="003538A6">
              <w:rPr>
                <w:rStyle w:val="SpecialBold"/>
              </w:rPr>
              <w:t>3</w:t>
            </w:r>
            <w:r w:rsidRPr="003538A6">
              <w:t xml:space="preserve">) </w:t>
            </w:r>
          </w:p>
          <w:p w:rsidR="00000000" w:rsidRPr="003538A6" w:rsidP="003538A6">
            <w:pPr>
              <w:pStyle w:val="BodyText"/>
            </w:pPr>
            <w:r w:rsidRPr="003538A6">
              <w:t>This unit should be assessed as it relates to normal work practice using procedures, information and resources typical of a workplace. This should include:</w:t>
            </w:r>
          </w:p>
          <w:p w:rsidR="00000000" w:rsidRPr="003538A6" w:rsidP="003538A6">
            <w:pPr>
              <w:pStyle w:val="ListBullet"/>
            </w:pPr>
            <w:r w:rsidRPr="003538A6">
              <w:t xml:space="preserve">OHS policy and work </w:t>
            </w:r>
            <w:r w:rsidRPr="003538A6">
              <w:t>procedures and instructions.</w:t>
            </w:r>
          </w:p>
          <w:p w:rsidR="00000000" w:rsidRPr="003538A6" w:rsidP="003538A6">
            <w:pPr>
              <w:pStyle w:val="ListBullet"/>
            </w:pPr>
            <w:r w:rsidRPr="003538A6">
              <w:t>Suitable work environment, facilities, equipment and materials to undertake actual work as prescribed by this unit.</w:t>
            </w:r>
          </w:p>
          <w:p w:rsidR="00000000" w:rsidRPr="003538A6" w:rsidP="003538A6">
            <w:pPr>
              <w:pStyle w:val="BodyText"/>
            </w:pPr>
            <w:r w:rsidRPr="003538A6">
              <w:t>These should be part of the formal learning/assessment environment.</w:t>
            </w:r>
          </w:p>
          <w:p w:rsidR="00000000" w:rsidRPr="003538A6" w:rsidP="003538A6">
            <w:pPr>
              <w:pStyle w:val="BodyText"/>
            </w:pPr>
            <w:r w:rsidRPr="003538A6">
              <w:t>Note:</w:t>
            </w:r>
          </w:p>
          <w:p w:rsidR="00000000" w:rsidP="003538A6">
            <w:pPr>
              <w:pStyle w:val="BodyText"/>
              <w:rPr>
                <w:lang w:val="en-NZ"/>
              </w:rPr>
            </w:pPr>
            <w:r w:rsidRPr="003538A6">
              <w:t>Where simulation is c</w:t>
            </w:r>
            <w:r w:rsidRPr="003538A6">
              <w:t>onsidered a suitable strategy for assessment, conditions must be authentic and as far as possible reproduce and replicate the workplace and be consistent with the approved industry simulation policy.</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5"/>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Evidence should show demonstrated competency in ins</w:t>
            </w:r>
            <w:r w:rsidRPr="003538A6">
              <w:t>talling pipe work for refrigeration and air conditioning systems.</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Method of assessment</w:t>
            </w:r>
          </w:p>
        </w:tc>
        <w:tc>
          <w:tcPr>
            <w:tcW w:w="6295" w:type="dxa"/>
            <w:gridSpan w:val="5"/>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9</w:t>
            </w:r>
            <w:r w:rsidRPr="003538A6">
              <w:t>.</w:t>
            </w:r>
            <w:r w:rsidRPr="003538A6">
              <w:rPr>
                <w:rStyle w:val="SpecialBold"/>
              </w:rPr>
              <w:t>4</w:t>
            </w:r>
            <w:r w:rsidRPr="003538A6">
              <w:t xml:space="preserve">) </w:t>
            </w:r>
          </w:p>
          <w:p w:rsidR="00000000" w:rsidRPr="003538A6" w:rsidP="003538A6">
            <w:pPr>
              <w:pStyle w:val="BodyText"/>
            </w:pPr>
            <w:r w:rsidRPr="003538A6">
              <w:t>This unit shall be assessed by methods given in Volume 1, Part 3 'Assessment Guidelines'.</w:t>
            </w:r>
          </w:p>
          <w:p w:rsidR="00000000" w:rsidP="003538A6">
            <w:pPr>
              <w:pStyle w:val="BodyText"/>
              <w:rPr>
                <w:lang w:val="en-NZ"/>
              </w:rPr>
            </w:pPr>
            <w:r w:rsidRPr="003538A6">
              <w:t xml:space="preserve">Note: </w:t>
            </w:r>
            <w:r w:rsidRPr="003538A6">
              <w:br/>
            </w:r>
            <w:r w:rsidRPr="003538A6">
              <w:t>Competent performance with inherent safe working practices is expected in the Industry to which this unit applies. This requires assessment in a structured environment which is intended primarily for learning/assessment and incorporates all necessary equip</w:t>
            </w:r>
            <w:r w:rsidRPr="003538A6">
              <w:t>ment and facilities for learners to develop and demonstrate the essential knowledge and skills described in this unit.</w:t>
            </w:r>
          </w:p>
        </w:tc>
      </w:tr>
      <w:tr w:rsidTr="003C55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Concurrent assessment and relationship with other units</w:t>
            </w:r>
          </w:p>
        </w:tc>
        <w:tc>
          <w:tcPr>
            <w:tcW w:w="6295" w:type="dxa"/>
            <w:gridSpan w:val="5"/>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9</w:t>
            </w:r>
            <w:r w:rsidRPr="003538A6">
              <w:t>.</w:t>
            </w:r>
            <w:r w:rsidRPr="003538A6">
              <w:rPr>
                <w:rStyle w:val="SpecialBold"/>
              </w:rPr>
              <w:t>5</w:t>
            </w:r>
            <w:r w:rsidRPr="003538A6">
              <w:t>)</w:t>
            </w:r>
          </w:p>
        </w:tc>
      </w:tr>
      <w:tr w:rsidTr="003C5585">
        <w:tblPrEx>
          <w:tblW w:w="0" w:type="auto"/>
          <w:tblLayout w:type="fixed"/>
          <w:tblCellMar>
            <w:left w:w="62" w:type="dxa"/>
            <w:right w:w="62" w:type="dxa"/>
          </w:tblCellMar>
          <w:tblLook w:val="0000"/>
        </w:tblPrEx>
        <w:trPr>
          <w:trHeight w:val="602"/>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5" w:type="dxa"/>
            <w:gridSpan w:val="5"/>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For optimisation of training and assessment effort, competency development in this unit may be arranged concurrently with unit:</w:t>
            </w:r>
          </w:p>
        </w:tc>
      </w:tr>
      <w:tr w:rsidTr="003C55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7" w:type="dxa"/>
            <w:gridSpan w:val="3"/>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UEENEEJ107A</w:t>
            </w:r>
          </w:p>
        </w:tc>
        <w:tc>
          <w:tcPr>
            <w:tcW w:w="4228" w:type="dxa"/>
            <w:gridSpan w:val="2"/>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Install refrigeration and air conditioning systems, major components and associated equipment</w:t>
            </w:r>
          </w:p>
        </w:tc>
      </w:tr>
    </w:tbl>
    <w:p w:rsidR="003C5585" w:rsidP="003538A6">
      <w:pPr>
        <w:pStyle w:val="BodyText"/>
      </w:pPr>
    </w:p>
    <w:p w:rsidR="003C5585" w:rsidP="003538A6">
      <w:pPr>
        <w:pStyle w:val="BodyText"/>
      </w:pPr>
    </w:p>
    <w:p w:rsidR="00000000" w:rsidRPr="003538A6" w:rsidP="003538A6">
      <w:pPr>
        <w:pStyle w:val="Heading1"/>
      </w:pPr>
      <w:bookmarkStart w:id="11" w:name="O_589400"/>
      <w:bookmarkEnd w:id="11"/>
      <w:r w:rsidRPr="003538A6">
        <w:t>Range Statement</w:t>
      </w:r>
    </w:p>
    <w:tbl>
      <w:tblPr>
        <w:tblW w:w="0" w:type="auto"/>
        <w:tblLayout w:type="fixed"/>
        <w:tblCellMar>
          <w:left w:w="62" w:type="dxa"/>
          <w:right w:w="62" w:type="dxa"/>
        </w:tblCellMar>
        <w:tblLook w:val="0000"/>
      </w:tblPr>
      <w:tblGrid>
        <w:gridCol w:w="8455"/>
      </w:tblGrid>
      <w:tr w:rsidTr="003C5585">
        <w:tblPrEx>
          <w:tblW w:w="0" w:type="auto"/>
          <w:tblLayout w:type="fixed"/>
          <w:tblCellMar>
            <w:left w:w="62" w:type="dxa"/>
            <w:right w:w="62" w:type="dxa"/>
          </w:tblCellMar>
          <w:tblLook w:val="0000"/>
        </w:tblPrEx>
        <w:trPr>
          <w:tblHeader/>
        </w:trPr>
        <w:tc>
          <w:tcPr>
            <w:tcW w:w="845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RANGE STATEMENT</w:t>
            </w:r>
          </w:p>
        </w:tc>
      </w:tr>
      <w:tr w:rsidTr="003C5585">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8</w:t>
            </w:r>
            <w:r w:rsidRPr="003538A6">
              <w:t>) This relates to the unit as a whole providing the range of contexts and conditions to which the performance criteria apply. It allows for different work environments and situations that will affect performance.</w:t>
            </w:r>
          </w:p>
        </w:tc>
      </w:tr>
      <w:tr w:rsidTr="003C5585">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This unit must be demonstrated in relation to the installation of pipe work,flow controls and accessories for at least two different types of refrigeration and/or air conditioning systems.</w:t>
            </w:r>
          </w:p>
          <w:p w:rsidR="00000000" w:rsidP="003538A6">
            <w:pPr>
              <w:pStyle w:val="BodyText"/>
              <w:rPr>
                <w:lang w:val="en-NZ"/>
              </w:rPr>
            </w:pPr>
            <w:r w:rsidRPr="003538A6">
              <w:t xml:space="preserve">The pipe work shall include suction lines, liquid lines, discharge </w:t>
            </w:r>
            <w:r w:rsidRPr="003538A6">
              <w:t>lines andcontrol lines.. Accessories shall include pipe work fittings, hand valves, isolation valves, solenoid valves, check valves, reversing valves, filter/dryers, sight glasses, accumulators, oil separators. Flow controls shall include both liquid and v</w:t>
            </w:r>
            <w:r w:rsidRPr="003538A6">
              <w:t>apour flow controls, mechanical and electronic.</w:t>
            </w:r>
          </w:p>
        </w:tc>
      </w:tr>
      <w:tr w:rsidTr="003C5585">
        <w:tblPrEx>
          <w:tblW w:w="0" w:type="auto"/>
          <w:tblLayout w:type="fixed"/>
          <w:tblCellMar>
            <w:left w:w="62" w:type="dxa"/>
            <w:right w:w="62" w:type="dxa"/>
          </w:tblCellMar>
          <w:tblLook w:val="0000"/>
        </w:tblPrEx>
        <w:tc>
          <w:tcPr>
            <w:tcW w:w="8455"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Generic terms used throughout this Vocational Standard shall be regarded as part of the Range Statement in which competency is demonstrated. The definition of these and other terms that apply are given in Vo</w:t>
            </w:r>
            <w:r w:rsidRPr="003538A6">
              <w:t>lume 2, Part 2.1.</w:t>
            </w:r>
          </w:p>
        </w:tc>
      </w:tr>
    </w:tbl>
    <w:p w:rsidR="003C5585" w:rsidP="003538A6">
      <w:pPr>
        <w:pStyle w:val="BodyText"/>
      </w:pPr>
    </w:p>
    <w:p w:rsidR="003C5585" w:rsidP="003538A6">
      <w:pPr>
        <w:pStyle w:val="BodyText"/>
      </w:pPr>
    </w:p>
    <w:p w:rsidR="00000000" w:rsidRPr="003538A6" w:rsidP="003538A6">
      <w:pPr>
        <w:pStyle w:val="Heading1"/>
      </w:pPr>
      <w:bookmarkStart w:id="12" w:name="O_589399"/>
      <w:bookmarkEnd w:id="12"/>
      <w:r w:rsidRPr="003538A6">
        <w:t>Unit Sector(s)</w:t>
      </w:r>
    </w:p>
    <w:p w:rsidR="00000000" w:rsidRPr="003538A6" w:rsidP="003538A6">
      <w:pPr>
        <w:pStyle w:val="BodyText"/>
      </w:pPr>
      <w:r w:rsidRPr="003538A6">
        <w:t>Not Applicable</w:t>
      </w:r>
    </w:p>
    <w:p w:rsidR="00000000" w:rsidRPr="003538A6" w:rsidP="003538A6">
      <w:pPr>
        <w:pStyle w:val="AllowPageBreak"/>
      </w:pPr>
    </w:p>
    <w:p w:rsidR="00000000" w:rsidRPr="003538A6" w:rsidP="003538A6">
      <w:pPr>
        <w:pStyle w:val="Heading1"/>
      </w:pPr>
      <w:bookmarkStart w:id="13" w:name="O_589398"/>
      <w:bookmarkEnd w:id="13"/>
      <w:r w:rsidRPr="003538A6">
        <w:t>Competency Field</w:t>
      </w:r>
    </w:p>
    <w:tbl>
      <w:tblPr>
        <w:tblW w:w="0" w:type="auto"/>
        <w:tblLayout w:type="fixed"/>
        <w:tblCellMar>
          <w:left w:w="62" w:type="dxa"/>
          <w:right w:w="62" w:type="dxa"/>
        </w:tblCellMar>
        <w:tblLook w:val="0000"/>
      </w:tblPr>
      <w:tblGrid>
        <w:gridCol w:w="1460"/>
        <w:gridCol w:w="1189"/>
        <w:gridCol w:w="1748"/>
        <w:gridCol w:w="1189"/>
        <w:gridCol w:w="1731"/>
        <w:gridCol w:w="1047"/>
      </w:tblGrid>
      <w:tr w:rsidTr="003C5585">
        <w:tblPrEx>
          <w:tblW w:w="0" w:type="auto"/>
          <w:tblLayout w:type="fixed"/>
          <w:tblCellMar>
            <w:left w:w="62" w:type="dxa"/>
            <w:right w:w="62" w:type="dxa"/>
          </w:tblCellMar>
          <w:tblLook w:val="0000"/>
        </w:tblPrEx>
        <w:trPr>
          <w:tblHeader/>
        </w:trPr>
        <w:tc>
          <w:tcPr>
            <w:tcW w:w="8364" w:type="dxa"/>
            <w:gridSpan w:val="6"/>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2</w:t>
            </w:r>
            <w:r w:rsidRPr="003538A6">
              <w:t>.</w:t>
            </w:r>
            <w:r w:rsidRPr="003538A6">
              <w:rPr>
                <w:rStyle w:val="SpecialBold"/>
              </w:rPr>
              <w:t>2</w:t>
            </w:r>
            <w:r w:rsidRPr="003538A6">
              <w:t xml:space="preserve">) </w:t>
            </w:r>
            <w:r w:rsidRPr="003538A6">
              <w:rPr>
                <w:rStyle w:val="SpecialBold"/>
              </w:rPr>
              <w:t>Literacy and numeracy skills</w:t>
            </w:r>
          </w:p>
          <w:p w:rsidR="00000000" w:rsidP="003538A6">
            <w:pPr>
              <w:pStyle w:val="BodyText"/>
              <w:rPr>
                <w:lang w:val="en-NZ"/>
              </w:rPr>
            </w:pPr>
            <w:r w:rsidRPr="003538A6">
              <w:t>Participants are best equipped to achieve competency in this unit if they have reading, writing and numeracy skills indicated by the following scales. Description of each scale is given in Volume 2, Part 3 'Literacy and Numeracy'</w:t>
            </w:r>
          </w:p>
        </w:tc>
      </w:tr>
      <w:tr w:rsidTr="003C5585">
        <w:tblPrEx>
          <w:tblW w:w="0" w:type="auto"/>
          <w:tblLayout w:type="fixed"/>
          <w:tblCellMar>
            <w:left w:w="62" w:type="dxa"/>
            <w:right w:w="62" w:type="dxa"/>
          </w:tblCellMar>
          <w:tblLook w:val="0000"/>
        </w:tblPrEx>
        <w:tc>
          <w:tcPr>
            <w:tcW w:w="1460"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Reading</w:t>
            </w:r>
          </w:p>
        </w:tc>
        <w:tc>
          <w:tcPr>
            <w:tcW w:w="118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w:t>
            </w:r>
          </w:p>
        </w:tc>
        <w:tc>
          <w:tcPr>
            <w:tcW w:w="1748"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Writing</w:t>
            </w:r>
          </w:p>
        </w:tc>
        <w:tc>
          <w:tcPr>
            <w:tcW w:w="1189"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3</w:t>
            </w:r>
          </w:p>
        </w:tc>
        <w:tc>
          <w:tcPr>
            <w:tcW w:w="1731"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t>Numeracy</w:t>
            </w:r>
          </w:p>
        </w:tc>
        <w:tc>
          <w:tcPr>
            <w:tcW w:w="1047"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3</w:t>
            </w:r>
          </w:p>
        </w:tc>
      </w:tr>
    </w:tbl>
    <w:p w:rsidR="003C5585" w:rsidP="003538A6">
      <w:pPr>
        <w:pStyle w:val="BodyText"/>
      </w:pPr>
    </w:p>
    <w:p w:rsidR="003C5585" w:rsidP="003538A6">
      <w:pPr>
        <w:pStyle w:val="BodyText"/>
      </w:pPr>
    </w:p>
    <w:p w:rsidR="00000000" w:rsidRPr="003538A6" w:rsidP="003538A6">
      <w:pPr>
        <w:pStyle w:val="Heading1"/>
      </w:pPr>
      <w:bookmarkStart w:id="14" w:name="O_589397"/>
      <w:bookmarkEnd w:id="14"/>
      <w:r w:rsidRPr="003538A6">
        <w:t>Custom Content Section</w:t>
      </w:r>
    </w:p>
    <w:tbl>
      <w:tblPr>
        <w:tblW w:w="0" w:type="auto"/>
        <w:tblLayout w:type="fixed"/>
        <w:tblCellMar>
          <w:left w:w="62" w:type="dxa"/>
          <w:right w:w="62" w:type="dxa"/>
        </w:tblCellMar>
        <w:tblLook w:val="0000"/>
      </w:tblPr>
      <w:tblGrid>
        <w:gridCol w:w="2700"/>
        <w:gridCol w:w="5664"/>
      </w:tblGrid>
      <w:tr w:rsidTr="003C55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rPr>
                <w:rStyle w:val="SpecialBold"/>
              </w:rPr>
              <w:t>Competency Field</w:t>
            </w:r>
          </w:p>
        </w:tc>
        <w:tc>
          <w:tcPr>
            <w:tcW w:w="5664" w:type="dxa"/>
            <w:tcBorders>
              <w:top w:val="nil"/>
              <w:left w:val="nil"/>
              <w:bottom w:val="nil"/>
              <w:right w:val="nil"/>
            </w:tcBorders>
            <w:tcMar>
              <w:top w:w="0" w:type="dxa"/>
              <w:left w:w="62" w:type="dxa"/>
              <w:bottom w:w="0" w:type="dxa"/>
              <w:right w:w="62" w:type="dxa"/>
            </w:tcMar>
          </w:tcPr>
          <w:p w:rsidR="00000000" w:rsidP="003538A6">
            <w:pPr>
              <w:pStyle w:val="BodyText"/>
              <w:rPr>
                <w:lang w:val="en-NZ"/>
              </w:rPr>
            </w:pPr>
            <w:r w:rsidRPr="003538A6">
              <w:rPr>
                <w:rStyle w:val="SpecialBold"/>
              </w:rPr>
              <w:t>5</w:t>
            </w:r>
            <w:r w:rsidRPr="003538A6">
              <w:t>)</w:t>
            </w:r>
          </w:p>
        </w:tc>
      </w:tr>
      <w:tr w:rsidTr="003C55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4" w:type="dxa"/>
            <w:tcBorders>
              <w:top w:val="nil"/>
              <w:left w:val="nil"/>
              <w:bottom w:val="nil"/>
              <w:right w:val="nil"/>
            </w:tcBorders>
            <w:tcMar>
              <w:top w:w="0" w:type="dxa"/>
              <w:left w:w="62" w:type="dxa"/>
              <w:bottom w:w="0" w:type="dxa"/>
              <w:right w:w="62" w:type="dxa"/>
            </w:tcMar>
          </w:tcPr>
          <w:p w:rsidR="00000000" w:rsidRPr="003538A6" w:rsidP="003538A6">
            <w:pPr>
              <w:pStyle w:val="BodyText"/>
            </w:pPr>
            <w:r w:rsidRPr="003538A6">
              <w:t>Refrigeration and Air Conditioning</w:t>
            </w:r>
          </w:p>
        </w:tc>
      </w:tr>
    </w:tbl>
    <w:p w:rsidR="003C5585" w:rsidP="003538A6">
      <w:pPr>
        <w:pStyle w:val="BodyText"/>
      </w:pPr>
    </w:p>
    <w:p w:rsidR="003C5585" w:rsidP="003538A6">
      <w:pPr>
        <w:pStyle w:val="BodyText"/>
      </w:pPr>
    </w:p>
    <w:p w:rsidR="00000000" w:rsidRPr="003538A6" w:rsidP="003538A6"/>
    <w:sectPr w:rsidSect="00353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rsidRPr="003C5585" w:rsidP="003C5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85" w:rsidP="00353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C5585" w:rsidP="003538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C5585" w:rsidP="00353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rsidRPr="003C5585" w:rsidP="003C55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85" w:rsidRPr="002D2AF8" w:rsidP="003538A6">
    <w:pPr>
      <w:pStyle w:val="Header"/>
      <w:framePr w:wrap="around"/>
    </w:pPr>
    <w:r>
      <w:fldChar w:fldCharType="begin"/>
    </w:r>
    <w:r>
      <w:instrText xml:space="preserve"> TITLE   \* MERGEFORMAT </w:instrText>
    </w:r>
    <w:r>
      <w:fldChar w:fldCharType="separate"/>
    </w:r>
    <w:r>
      <w:t>UEENEEJ106A Install refrigerant pipe work, flow controls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C5585" w:rsidP="00353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05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983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68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8A6"/>
    <w:pPr>
      <w:spacing w:before="360" w:after="60"/>
      <w:outlineLvl w:val="0"/>
    </w:pPr>
    <w:rPr>
      <w:sz w:val="32"/>
    </w:rPr>
  </w:style>
  <w:style w:type="paragraph" w:styleId="Heading2">
    <w:name w:val="heading 2"/>
    <w:basedOn w:val="HeadingBase"/>
    <w:next w:val="BodyText"/>
    <w:link w:val="Heading2Char"/>
    <w:qFormat/>
    <w:rsid w:val="003538A6"/>
    <w:pPr>
      <w:keepLines/>
      <w:spacing w:before="240" w:after="120"/>
      <w:outlineLvl w:val="1"/>
    </w:pPr>
    <w:rPr>
      <w:sz w:val="28"/>
      <w:szCs w:val="40"/>
    </w:rPr>
  </w:style>
  <w:style w:type="paragraph" w:styleId="Heading3">
    <w:name w:val="heading 3"/>
    <w:basedOn w:val="HeadingBase"/>
    <w:next w:val="BodyText"/>
    <w:link w:val="Heading3Char"/>
    <w:qFormat/>
    <w:rsid w:val="003538A6"/>
    <w:pPr>
      <w:spacing w:before="180" w:after="120"/>
      <w:outlineLvl w:val="2"/>
    </w:pPr>
    <w:rPr>
      <w:spacing w:val="-10"/>
      <w:kern w:val="32"/>
    </w:rPr>
  </w:style>
  <w:style w:type="paragraph" w:styleId="Heading4">
    <w:name w:val="heading 4"/>
    <w:basedOn w:val="HeadingBase"/>
    <w:next w:val="BodyText"/>
    <w:link w:val="Heading4Char"/>
    <w:qFormat/>
    <w:rsid w:val="003538A6"/>
    <w:pPr>
      <w:spacing w:before="160" w:after="120"/>
      <w:outlineLvl w:val="3"/>
    </w:pPr>
    <w:rPr>
      <w:sz w:val="22"/>
    </w:rPr>
  </w:style>
  <w:style w:type="paragraph" w:styleId="Heading5">
    <w:name w:val="heading 5"/>
    <w:basedOn w:val="HeadingBase"/>
    <w:next w:val="Normal"/>
    <w:link w:val="Heading5Char"/>
    <w:qFormat/>
    <w:rsid w:val="003538A6"/>
    <w:pPr>
      <w:spacing w:before="80"/>
      <w:outlineLvl w:val="4"/>
    </w:pPr>
    <w:rPr>
      <w:color w:val="918585"/>
      <w:sz w:val="20"/>
    </w:rPr>
  </w:style>
  <w:style w:type="paragraph" w:styleId="Heading6">
    <w:name w:val="heading 6"/>
    <w:basedOn w:val="HeadingBase"/>
    <w:next w:val="Normal"/>
    <w:link w:val="Heading6Char"/>
    <w:qFormat/>
    <w:rsid w:val="003538A6"/>
    <w:pPr>
      <w:spacing w:before="60"/>
      <w:outlineLvl w:val="5"/>
    </w:pPr>
    <w:rPr>
      <w:color w:val="918585"/>
      <w:sz w:val="20"/>
    </w:rPr>
  </w:style>
  <w:style w:type="paragraph" w:styleId="Heading7">
    <w:name w:val="heading 7"/>
    <w:basedOn w:val="Normal"/>
    <w:next w:val="Normal"/>
    <w:link w:val="Heading7Char"/>
    <w:qFormat/>
    <w:rsid w:val="003538A6"/>
    <w:pPr>
      <w:ind w:left="720"/>
      <w:outlineLvl w:val="6"/>
    </w:pPr>
    <w:rPr>
      <w:i/>
    </w:rPr>
  </w:style>
  <w:style w:type="paragraph" w:styleId="Heading8">
    <w:name w:val="heading 8"/>
    <w:basedOn w:val="Normal"/>
    <w:next w:val="Normal"/>
    <w:link w:val="Heading8Char"/>
    <w:qFormat/>
    <w:rsid w:val="003538A6"/>
    <w:pPr>
      <w:ind w:left="720"/>
      <w:outlineLvl w:val="7"/>
    </w:pPr>
    <w:rPr>
      <w:i/>
    </w:rPr>
  </w:style>
  <w:style w:type="paragraph" w:styleId="Heading9">
    <w:name w:val="heading 9"/>
    <w:basedOn w:val="Normal"/>
    <w:next w:val="Normal"/>
    <w:link w:val="Heading9Char"/>
    <w:qFormat/>
    <w:rsid w:val="003538A6"/>
    <w:pPr>
      <w:ind w:left="720"/>
      <w:outlineLvl w:val="8"/>
    </w:pPr>
    <w:rPr>
      <w:i/>
    </w:rPr>
  </w:style>
  <w:style w:type="character" w:default="1" w:styleId="DefaultParagraphFont">
    <w:name w:val="Default Paragraph Font"/>
    <w:uiPriority w:val="1"/>
    <w:unhideWhenUsed/>
    <w:rsid w:val="00353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8A6"/>
  </w:style>
  <w:style w:type="character" w:customStyle="1" w:styleId="Heading1Char">
    <w:name w:val="Heading 1 Char"/>
    <w:basedOn w:val="DefaultParagraphFont"/>
    <w:link w:val="Heading1"/>
    <w:rsid w:val="003538A6"/>
    <w:rPr>
      <w:rFonts w:ascii="Times New Roman" w:eastAsia="Times New Roman" w:hAnsi="Times New Roman" w:cs="Times New Roman"/>
      <w:b/>
      <w:sz w:val="32"/>
      <w:szCs w:val="20"/>
      <w:lang w:eastAsia="en-US"/>
    </w:rPr>
  </w:style>
  <w:style w:type="paragraph" w:styleId="BodyText">
    <w:name w:val="Body Text"/>
    <w:basedOn w:val="Normal"/>
    <w:link w:val="BodyTextChar"/>
    <w:rsid w:val="00353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8A6"/>
    <w:rPr>
      <w:rFonts w:ascii="Times New Roman" w:eastAsia="Times New Roman" w:hAnsi="Times New Roman" w:cs="Times New Roman"/>
      <w:sz w:val="24"/>
      <w:lang w:eastAsia="en-US"/>
    </w:rPr>
  </w:style>
  <w:style w:type="paragraph" w:styleId="ListBullet">
    <w:name w:val="List Bullet"/>
    <w:basedOn w:val="List"/>
    <w:rsid w:val="003538A6"/>
    <w:pPr>
      <w:numPr>
        <w:numId w:val="13"/>
      </w:numPr>
      <w:tabs>
        <w:tab w:val="clear" w:pos="340"/>
      </w:tabs>
      <w:spacing w:before="40" w:after="40"/>
    </w:pPr>
  </w:style>
  <w:style w:type="character" w:customStyle="1" w:styleId="SpecialBold">
    <w:name w:val="Special Bold"/>
    <w:basedOn w:val="DefaultParagraphFont"/>
    <w:rsid w:val="003538A6"/>
    <w:rPr>
      <w:b/>
      <w:spacing w:val="0"/>
    </w:rPr>
  </w:style>
  <w:style w:type="paragraph" w:styleId="ListBullet2">
    <w:name w:val="List Bullet 2"/>
    <w:basedOn w:val="List2"/>
    <w:rsid w:val="003538A6"/>
    <w:pPr>
      <w:numPr>
        <w:numId w:val="14"/>
      </w:numPr>
      <w:tabs>
        <w:tab w:val="clear" w:pos="680"/>
      </w:tabs>
    </w:pPr>
  </w:style>
  <w:style w:type="paragraph" w:customStyle="1" w:styleId="SuperHeading">
    <w:name w:val="SuperHeading"/>
    <w:basedOn w:val="Normal"/>
    <w:rsid w:val="003538A6"/>
    <w:pPr>
      <w:spacing w:before="240" w:after="120"/>
      <w:outlineLvl w:val="0"/>
    </w:pPr>
    <w:rPr>
      <w:rFonts w:ascii="Times New Roman" w:hAnsi="Times New Roman"/>
      <w:b/>
      <w:sz w:val="32"/>
    </w:rPr>
  </w:style>
  <w:style w:type="paragraph" w:customStyle="1" w:styleId="AllowPageBreak">
    <w:name w:val="AllowPageBreak"/>
    <w:rsid w:val="00353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8A6"/>
    <w:rPr>
      <w:rFonts w:ascii="Courier New" w:eastAsia="Times New Roman" w:hAnsi="Courier New" w:cs="Times New Roman"/>
      <w:i/>
      <w:szCs w:val="20"/>
      <w:lang w:eastAsia="en-US"/>
    </w:rPr>
  </w:style>
  <w:style w:type="paragraph" w:customStyle="1" w:styleId="HeadingBase">
    <w:name w:val="Heading Base"/>
    <w:rsid w:val="00353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8A6"/>
    <w:pPr>
      <w:tabs>
        <w:tab w:val="right" w:leader="dot" w:pos="9072"/>
      </w:tabs>
      <w:ind w:left="567"/>
    </w:pPr>
    <w:rPr>
      <w:szCs w:val="22"/>
    </w:rPr>
  </w:style>
  <w:style w:type="paragraph" w:customStyle="1" w:styleId="TOCBase">
    <w:name w:val="TOC Base"/>
    <w:rsid w:val="00353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8A6"/>
    <w:pPr>
      <w:tabs>
        <w:tab w:val="right" w:leader="dot" w:pos="9072"/>
      </w:tabs>
      <w:spacing w:before="40" w:after="40"/>
      <w:ind w:left="284"/>
    </w:pPr>
    <w:rPr>
      <w:rFonts w:ascii="Times New Roman" w:hAnsi="Times New Roman"/>
    </w:rPr>
  </w:style>
  <w:style w:type="paragraph" w:styleId="TOC1">
    <w:name w:val="toc 1"/>
    <w:basedOn w:val="TOCBase"/>
    <w:next w:val="Normal"/>
    <w:rsid w:val="00353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8A6"/>
    <w:rPr>
      <w:rFonts w:ascii="Times New Roman" w:eastAsia="Times New Roman" w:hAnsi="Times New Roman" w:cs="Times New Roman"/>
      <w:sz w:val="16"/>
      <w:lang w:eastAsia="en-US"/>
    </w:rPr>
  </w:style>
  <w:style w:type="paragraph" w:styleId="Title">
    <w:name w:val="Title"/>
    <w:basedOn w:val="HeadingBase"/>
    <w:link w:val="TitleChar"/>
    <w:qFormat/>
    <w:rsid w:val="003538A6"/>
    <w:pPr>
      <w:spacing w:before="5040"/>
      <w:jc w:val="center"/>
    </w:pPr>
    <w:rPr>
      <w:sz w:val="48"/>
      <w:szCs w:val="72"/>
      <w:lang w:val="en-US"/>
    </w:rPr>
  </w:style>
  <w:style w:type="character" w:customStyle="1" w:styleId="TitleChar">
    <w:name w:val="Title Char"/>
    <w:basedOn w:val="DefaultParagraphFont"/>
    <w:link w:val="Title"/>
    <w:rsid w:val="00353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8A6"/>
    <w:pPr>
      <w:tabs>
        <w:tab w:val="left" w:pos="3600"/>
        <w:tab w:val="left" w:pos="3958"/>
      </w:tabs>
    </w:pPr>
  </w:style>
  <w:style w:type="paragraph" w:styleId="List">
    <w:name w:val="List"/>
    <w:basedOn w:val="BodyText"/>
    <w:next w:val="BodyText"/>
    <w:rsid w:val="003538A6"/>
    <w:pPr>
      <w:tabs>
        <w:tab w:val="left" w:pos="340"/>
      </w:tabs>
      <w:spacing w:before="60" w:after="60"/>
      <w:ind w:left="340" w:hanging="340"/>
    </w:pPr>
  </w:style>
  <w:style w:type="paragraph" w:customStyle="1" w:styleId="Note">
    <w:name w:val="Note"/>
    <w:basedOn w:val="BodyText"/>
    <w:rsid w:val="00353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8A6"/>
    <w:pPr>
      <w:framePr w:wrap="auto" w:hAnchor="text" w:y="6049"/>
    </w:pPr>
    <w:rPr>
      <w:color w:val="000000"/>
      <w:sz w:val="40"/>
    </w:rPr>
  </w:style>
  <w:style w:type="paragraph" w:customStyle="1" w:styleId="TOCTitle">
    <w:name w:val="TOCTitle"/>
    <w:basedOn w:val="Heading1"/>
    <w:rsid w:val="003538A6"/>
    <w:pPr>
      <w:spacing w:after="240"/>
      <w:jc w:val="center"/>
      <w:outlineLvl w:val="9"/>
    </w:pPr>
    <w:rPr>
      <w:caps/>
    </w:rPr>
  </w:style>
  <w:style w:type="paragraph" w:customStyle="1" w:styleId="Version">
    <w:name w:val="Version"/>
    <w:rsid w:val="00353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8A6"/>
    <w:pPr>
      <w:keepNext w:val="0"/>
      <w:tabs>
        <w:tab w:val="right" w:pos="4176"/>
      </w:tabs>
      <w:ind w:left="198" w:hanging="198"/>
    </w:pPr>
    <w:rPr>
      <w:rFonts w:ascii="Garamond" w:hAnsi="Garamond"/>
    </w:rPr>
  </w:style>
  <w:style w:type="paragraph" w:styleId="IndexHeading">
    <w:name w:val="index heading"/>
    <w:basedOn w:val="Normal"/>
    <w:next w:val="Index1"/>
    <w:semiHidden/>
    <w:rsid w:val="003538A6"/>
    <w:pPr>
      <w:spacing w:before="120" w:after="120"/>
    </w:pPr>
    <w:rPr>
      <w:rFonts w:ascii="Arial" w:hAnsi="Arial"/>
      <w:b/>
      <w:color w:val="918585"/>
      <w:sz w:val="24"/>
    </w:rPr>
  </w:style>
  <w:style w:type="paragraph" w:styleId="Header">
    <w:name w:val="header"/>
    <w:basedOn w:val="Normal"/>
    <w:link w:val="HeaderChar"/>
    <w:rsid w:val="00353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8A6"/>
    <w:rPr>
      <w:rFonts w:ascii="Times New Roman" w:eastAsia="Times New Roman" w:hAnsi="Times New Roman" w:cs="Times New Roman"/>
      <w:sz w:val="16"/>
      <w:szCs w:val="20"/>
      <w:lang w:val="en-GB" w:eastAsia="en-US"/>
    </w:rPr>
  </w:style>
  <w:style w:type="paragraph" w:customStyle="1" w:styleId="Chapter">
    <w:name w:val="Chapter"/>
    <w:basedOn w:val="Normal"/>
    <w:rsid w:val="003538A6"/>
    <w:pPr>
      <w:spacing w:before="240"/>
    </w:pPr>
    <w:rPr>
      <w:rFonts w:ascii="Times New Roman" w:hAnsi="Times New Roman"/>
      <w:smallCaps/>
      <w:spacing w:val="80"/>
      <w:sz w:val="28"/>
    </w:rPr>
  </w:style>
  <w:style w:type="paragraph" w:customStyle="1" w:styleId="InChapter">
    <w:name w:val="InChapter"/>
    <w:basedOn w:val="Heading3"/>
    <w:rsid w:val="003538A6"/>
    <w:pPr>
      <w:spacing w:after="240"/>
      <w:outlineLvl w:val="9"/>
    </w:pPr>
    <w:rPr>
      <w:noProof/>
    </w:rPr>
  </w:style>
  <w:style w:type="paragraph" w:styleId="Index2">
    <w:name w:val="index 2"/>
    <w:basedOn w:val="Normal"/>
    <w:next w:val="Normal"/>
    <w:semiHidden/>
    <w:rsid w:val="003538A6"/>
    <w:pPr>
      <w:tabs>
        <w:tab w:val="right" w:pos="4176"/>
      </w:tabs>
      <w:ind w:left="568" w:hanging="284"/>
    </w:pPr>
    <w:rPr>
      <w:rFonts w:ascii="Garamond" w:hAnsi="Garamond"/>
    </w:rPr>
  </w:style>
  <w:style w:type="paragraph" w:customStyle="1" w:styleId="Byline">
    <w:name w:val="Byline"/>
    <w:rsid w:val="00353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8A6"/>
    <w:pPr>
      <w:tabs>
        <w:tab w:val="clear" w:pos="3600"/>
        <w:tab w:val="clear" w:pos="3958"/>
      </w:tabs>
      <w:jc w:val="right"/>
    </w:pPr>
  </w:style>
  <w:style w:type="character" w:styleId="Emphasis">
    <w:name w:val="Emphasis"/>
    <w:basedOn w:val="DefaultParagraphFont"/>
    <w:qFormat/>
    <w:rsid w:val="003538A6"/>
    <w:rPr>
      <w:i/>
    </w:rPr>
  </w:style>
  <w:style w:type="paragraph" w:styleId="Caption">
    <w:name w:val="caption"/>
    <w:basedOn w:val="BodyText"/>
    <w:next w:val="Normal"/>
    <w:qFormat/>
    <w:rsid w:val="003538A6"/>
    <w:pPr>
      <w:framePr w:w="2268" w:hSpace="181" w:vSpace="181" w:wrap="around" w:vAnchor="text" w:hAnchor="page" w:x="1135" w:y="285" w:anchorLock="1"/>
    </w:pPr>
    <w:rPr>
      <w:i/>
    </w:rPr>
  </w:style>
  <w:style w:type="paragraph" w:customStyle="1" w:styleId="MiniTOCTitle">
    <w:name w:val="MiniTOCTitle"/>
    <w:basedOn w:val="Heading4"/>
    <w:rsid w:val="003538A6"/>
    <w:pPr>
      <w:spacing w:before="240"/>
      <w:outlineLvl w:val="9"/>
    </w:pPr>
    <w:rPr>
      <w:noProof/>
      <w:sz w:val="24"/>
    </w:rPr>
  </w:style>
  <w:style w:type="paragraph" w:customStyle="1" w:styleId="MiniTOCItem">
    <w:name w:val="MiniTOCItem"/>
    <w:basedOn w:val="ListBullet"/>
    <w:rsid w:val="003538A6"/>
    <w:pPr>
      <w:numPr>
        <w:numId w:val="0"/>
      </w:numPr>
      <w:tabs>
        <w:tab w:val="right" w:leader="dot" w:pos="6521"/>
      </w:tabs>
      <w:spacing w:before="0" w:after="0"/>
    </w:pPr>
  </w:style>
  <w:style w:type="paragraph" w:customStyle="1" w:styleId="TOFTitle">
    <w:name w:val="TOFTitle"/>
    <w:basedOn w:val="TOCTitle"/>
    <w:rsid w:val="003538A6"/>
  </w:style>
  <w:style w:type="paragraph" w:styleId="TableofFigures">
    <w:name w:val="table of figures"/>
    <w:basedOn w:val="Normal"/>
    <w:next w:val="Normal"/>
    <w:semiHidden/>
    <w:rsid w:val="003538A6"/>
    <w:pPr>
      <w:tabs>
        <w:tab w:val="right" w:leader="dot" w:pos="9072"/>
      </w:tabs>
      <w:ind w:left="970" w:hanging="403"/>
    </w:pPr>
    <w:rPr>
      <w:rFonts w:ascii="Times New Roman" w:hAnsi="Times New Roman"/>
      <w:b/>
    </w:rPr>
  </w:style>
  <w:style w:type="paragraph" w:styleId="ListNumber">
    <w:name w:val="List Number"/>
    <w:basedOn w:val="List"/>
    <w:rsid w:val="003538A6"/>
    <w:pPr>
      <w:numPr>
        <w:numId w:val="11"/>
      </w:numPr>
    </w:pPr>
  </w:style>
  <w:style w:type="character" w:customStyle="1" w:styleId="WingdingSymbols">
    <w:name w:val="Wingding Symbols"/>
    <w:rsid w:val="003538A6"/>
    <w:rPr>
      <w:rFonts w:ascii="Wingdings" w:hAnsi="Wingdings"/>
    </w:rPr>
  </w:style>
  <w:style w:type="paragraph" w:customStyle="1" w:styleId="TableHeading">
    <w:name w:val="Table Heading"/>
    <w:basedOn w:val="HeadingBase"/>
    <w:rsid w:val="003538A6"/>
    <w:pPr>
      <w:keepLines/>
      <w:pBdr>
        <w:bottom w:val="single" w:sz="6" w:space="1" w:color="918585"/>
      </w:pBdr>
      <w:spacing w:before="240"/>
    </w:pPr>
  </w:style>
  <w:style w:type="character" w:customStyle="1" w:styleId="HotSpot">
    <w:name w:val="HotSpot"/>
    <w:rsid w:val="003538A6"/>
    <w:rPr>
      <w:color w:val="0033CC"/>
      <w:u w:val="none"/>
    </w:rPr>
  </w:style>
  <w:style w:type="paragraph" w:customStyle="1" w:styleId="BodyTextRight">
    <w:name w:val="Body Text Right"/>
    <w:basedOn w:val="BodyText"/>
    <w:rsid w:val="003538A6"/>
    <w:pPr>
      <w:spacing w:before="0" w:after="0"/>
      <w:jc w:val="right"/>
    </w:pPr>
  </w:style>
  <w:style w:type="paragraph" w:styleId="Index3">
    <w:name w:val="index 3"/>
    <w:basedOn w:val="ListNumber2"/>
    <w:next w:val="Normal"/>
    <w:semiHidden/>
    <w:rsid w:val="003538A6"/>
    <w:pPr>
      <w:numPr>
        <w:numId w:val="0"/>
      </w:numPr>
      <w:tabs>
        <w:tab w:val="right" w:leader="dot" w:pos="4176"/>
      </w:tabs>
    </w:pPr>
  </w:style>
  <w:style w:type="paragraph" w:styleId="ListNumber2">
    <w:name w:val="List Number 2"/>
    <w:basedOn w:val="List2"/>
    <w:rsid w:val="003538A6"/>
    <w:pPr>
      <w:numPr>
        <w:numId w:val="10"/>
      </w:numPr>
      <w:tabs>
        <w:tab w:val="clear" w:pos="1060"/>
      </w:tabs>
    </w:pPr>
  </w:style>
  <w:style w:type="paragraph" w:customStyle="1" w:styleId="MarginNote">
    <w:name w:val="Margin Note"/>
    <w:basedOn w:val="BodyText"/>
    <w:rsid w:val="00353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8A6"/>
    <w:rPr>
      <w:sz w:val="32"/>
    </w:rPr>
  </w:style>
  <w:style w:type="paragraph" w:customStyle="1" w:styleId="HeadingProcedure">
    <w:name w:val="Heading Procedure"/>
    <w:basedOn w:val="HeadingBase"/>
    <w:next w:val="Normal"/>
    <w:rsid w:val="003538A6"/>
    <w:pPr>
      <w:tabs>
        <w:tab w:val="left" w:pos="0"/>
      </w:tabs>
      <w:spacing w:before="120" w:after="60"/>
    </w:pPr>
    <w:rPr>
      <w:i/>
      <w:color w:val="918585"/>
      <w:sz w:val="22"/>
    </w:rPr>
  </w:style>
  <w:style w:type="paragraph" w:customStyle="1" w:styleId="TableBodyText">
    <w:name w:val="Table Body Text"/>
    <w:basedOn w:val="BodyText"/>
    <w:rsid w:val="003538A6"/>
    <w:pPr>
      <w:spacing w:before="60" w:after="60"/>
    </w:pPr>
  </w:style>
  <w:style w:type="paragraph" w:styleId="ListContinue">
    <w:name w:val="List Continue"/>
    <w:basedOn w:val="List"/>
    <w:rsid w:val="003538A6"/>
    <w:pPr>
      <w:ind w:firstLine="0"/>
    </w:pPr>
  </w:style>
  <w:style w:type="paragraph" w:customStyle="1" w:styleId="ListNote">
    <w:name w:val="List Note"/>
    <w:basedOn w:val="List"/>
    <w:rsid w:val="003538A6"/>
    <w:pPr>
      <w:pBdr>
        <w:top w:val="single" w:sz="6" w:space="2" w:color="918585"/>
        <w:bottom w:val="single" w:sz="6" w:space="2" w:color="918585"/>
      </w:pBdr>
      <w:tabs>
        <w:tab w:val="left" w:pos="1021"/>
      </w:tabs>
      <w:ind w:firstLine="0"/>
    </w:pPr>
  </w:style>
  <w:style w:type="paragraph" w:customStyle="1" w:styleId="Warning">
    <w:name w:val="Warning"/>
    <w:basedOn w:val="BodyText"/>
    <w:rsid w:val="003538A6"/>
    <w:pPr>
      <w:shd w:val="clear" w:color="auto" w:fill="D9D9D9"/>
      <w:tabs>
        <w:tab w:val="left" w:pos="992"/>
      </w:tabs>
      <w:ind w:left="119" w:right="119"/>
    </w:pPr>
    <w:rPr>
      <w:sz w:val="20"/>
    </w:rPr>
  </w:style>
  <w:style w:type="paragraph" w:customStyle="1" w:styleId="MarginIcons">
    <w:name w:val="Margin Icons"/>
    <w:basedOn w:val="BodyText"/>
    <w:rsid w:val="00353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8A6"/>
    <w:rPr>
      <w:rFonts w:ascii="Courier New" w:hAnsi="Courier New"/>
    </w:rPr>
  </w:style>
  <w:style w:type="paragraph" w:customStyle="1" w:styleId="NoteBullet">
    <w:name w:val="Note Bullet"/>
    <w:basedOn w:val="Note"/>
    <w:rsid w:val="003538A6"/>
    <w:pPr>
      <w:tabs>
        <w:tab w:val="clear" w:pos="680"/>
      </w:tabs>
      <w:spacing w:before="60" w:after="60"/>
    </w:pPr>
  </w:style>
  <w:style w:type="paragraph" w:customStyle="1" w:styleId="SubHeading2">
    <w:name w:val="SubHeading2"/>
    <w:basedOn w:val="HeadingBase"/>
    <w:rsid w:val="003538A6"/>
    <w:pPr>
      <w:spacing w:before="240" w:after="60"/>
    </w:pPr>
    <w:rPr>
      <w:sz w:val="20"/>
    </w:rPr>
  </w:style>
  <w:style w:type="paragraph" w:customStyle="1" w:styleId="SubHeading1">
    <w:name w:val="SubHeading1"/>
    <w:basedOn w:val="HeadingBase"/>
    <w:rsid w:val="003538A6"/>
    <w:pPr>
      <w:spacing w:before="240" w:after="60"/>
    </w:pPr>
    <w:rPr>
      <w:color w:val="918585"/>
      <w:sz w:val="22"/>
    </w:rPr>
  </w:style>
  <w:style w:type="paragraph" w:customStyle="1" w:styleId="SideHeading">
    <w:name w:val="Side Heading"/>
    <w:basedOn w:val="HeadingBase"/>
    <w:rsid w:val="00353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8A6"/>
    <w:pPr>
      <w:numPr>
        <w:numId w:val="12"/>
      </w:numPr>
    </w:pPr>
  </w:style>
  <w:style w:type="paragraph" w:styleId="PlainText">
    <w:name w:val="Plain Text"/>
    <w:basedOn w:val="Normal"/>
    <w:link w:val="PlainTextChar"/>
    <w:rsid w:val="003538A6"/>
    <w:rPr>
      <w:sz w:val="20"/>
    </w:rPr>
  </w:style>
  <w:style w:type="character" w:customStyle="1" w:styleId="PlainTextChar">
    <w:name w:val="Plain Text Char"/>
    <w:basedOn w:val="DefaultParagraphFont"/>
    <w:link w:val="PlainText"/>
    <w:rsid w:val="003538A6"/>
    <w:rPr>
      <w:rFonts w:ascii="Courier New" w:eastAsia="Times New Roman" w:hAnsi="Courier New" w:cs="Times New Roman"/>
      <w:sz w:val="20"/>
      <w:szCs w:val="20"/>
      <w:lang w:eastAsia="en-US"/>
    </w:rPr>
  </w:style>
  <w:style w:type="character" w:customStyle="1" w:styleId="MenuOption">
    <w:name w:val="Menu Option"/>
    <w:basedOn w:val="DefaultParagraphFont"/>
    <w:rsid w:val="003538A6"/>
    <w:rPr>
      <w:b/>
      <w:smallCaps/>
    </w:rPr>
  </w:style>
  <w:style w:type="paragraph" w:customStyle="1" w:styleId="TableListNumber">
    <w:name w:val="Table List Number"/>
    <w:basedOn w:val="ListNumber"/>
    <w:rsid w:val="003538A6"/>
    <w:pPr>
      <w:numPr>
        <w:numId w:val="0"/>
      </w:numPr>
    </w:pPr>
  </w:style>
  <w:style w:type="paragraph" w:styleId="TOC4">
    <w:name w:val="toc 4"/>
    <w:basedOn w:val="TOCBase"/>
    <w:next w:val="Normal"/>
    <w:semiHidden/>
    <w:rsid w:val="003538A6"/>
    <w:pPr>
      <w:tabs>
        <w:tab w:val="right" w:leader="dot" w:pos="9071"/>
      </w:tabs>
      <w:ind w:left="1701"/>
    </w:pPr>
  </w:style>
  <w:style w:type="paragraph" w:customStyle="1" w:styleId="ListAlpha">
    <w:name w:val="List Alpha"/>
    <w:basedOn w:val="List"/>
    <w:rsid w:val="003538A6"/>
    <w:pPr>
      <w:numPr>
        <w:numId w:val="9"/>
      </w:numPr>
    </w:pPr>
  </w:style>
  <w:style w:type="paragraph" w:customStyle="1" w:styleId="ListAlpha2">
    <w:name w:val="List Alpha 2"/>
    <w:basedOn w:val="List2"/>
    <w:rsid w:val="003538A6"/>
    <w:pPr>
      <w:numPr>
        <w:numId w:val="8"/>
      </w:numPr>
    </w:pPr>
  </w:style>
  <w:style w:type="paragraph" w:styleId="List2">
    <w:name w:val="List 2"/>
    <w:basedOn w:val="BodyText"/>
    <w:rsid w:val="003538A6"/>
    <w:pPr>
      <w:tabs>
        <w:tab w:val="left" w:pos="680"/>
      </w:tabs>
      <w:spacing w:before="60" w:after="60"/>
      <w:ind w:left="680" w:hanging="340"/>
    </w:pPr>
  </w:style>
  <w:style w:type="paragraph" w:styleId="List3">
    <w:name w:val="List 3"/>
    <w:basedOn w:val="BodyText"/>
    <w:rsid w:val="003538A6"/>
    <w:pPr>
      <w:tabs>
        <w:tab w:val="left" w:pos="1021"/>
      </w:tabs>
      <w:spacing w:before="60" w:after="60"/>
      <w:ind w:left="1020" w:hanging="340"/>
    </w:pPr>
  </w:style>
  <w:style w:type="paragraph" w:styleId="List4">
    <w:name w:val="List 4"/>
    <w:basedOn w:val="BodyText"/>
    <w:rsid w:val="003538A6"/>
    <w:pPr>
      <w:tabs>
        <w:tab w:val="left" w:pos="1361"/>
      </w:tabs>
      <w:spacing w:before="60" w:after="60"/>
      <w:ind w:left="1361" w:hanging="340"/>
    </w:pPr>
  </w:style>
  <w:style w:type="paragraph" w:styleId="List5">
    <w:name w:val="List 5"/>
    <w:basedOn w:val="BodyText"/>
    <w:rsid w:val="003538A6"/>
    <w:pPr>
      <w:tabs>
        <w:tab w:val="left" w:pos="1701"/>
      </w:tabs>
      <w:spacing w:before="60" w:after="60"/>
      <w:ind w:left="1701" w:hanging="340"/>
    </w:pPr>
  </w:style>
  <w:style w:type="paragraph" w:styleId="ListBullet3">
    <w:name w:val="List Bullet 3"/>
    <w:basedOn w:val="List3"/>
    <w:rsid w:val="003538A6"/>
    <w:pPr>
      <w:numPr>
        <w:numId w:val="15"/>
      </w:numPr>
      <w:tabs>
        <w:tab w:val="clear" w:pos="1021"/>
      </w:tabs>
      <w:ind w:left="1037" w:hanging="357"/>
    </w:pPr>
  </w:style>
  <w:style w:type="paragraph" w:styleId="ListBullet4">
    <w:name w:val="List Bullet 4"/>
    <w:basedOn w:val="List4"/>
    <w:rsid w:val="003538A6"/>
    <w:pPr>
      <w:numPr>
        <w:numId w:val="3"/>
      </w:numPr>
    </w:pPr>
  </w:style>
  <w:style w:type="paragraph" w:styleId="ListBullet5">
    <w:name w:val="List Bullet 5"/>
    <w:basedOn w:val="List5"/>
    <w:rsid w:val="003538A6"/>
    <w:pPr>
      <w:numPr>
        <w:numId w:val="4"/>
      </w:numPr>
    </w:pPr>
  </w:style>
  <w:style w:type="paragraph" w:styleId="ListContinue2">
    <w:name w:val="List Continue 2"/>
    <w:basedOn w:val="List2"/>
    <w:rsid w:val="003538A6"/>
    <w:pPr>
      <w:ind w:firstLine="0"/>
    </w:pPr>
  </w:style>
  <w:style w:type="paragraph" w:styleId="ListContinue3">
    <w:name w:val="List Continue 3"/>
    <w:basedOn w:val="List3"/>
    <w:rsid w:val="003538A6"/>
    <w:pPr>
      <w:ind w:left="1021" w:firstLine="0"/>
    </w:pPr>
  </w:style>
  <w:style w:type="paragraph" w:styleId="ListContinue4">
    <w:name w:val="List Continue 4"/>
    <w:basedOn w:val="List4"/>
    <w:rsid w:val="003538A6"/>
    <w:pPr>
      <w:ind w:firstLine="0"/>
    </w:pPr>
  </w:style>
  <w:style w:type="paragraph" w:styleId="ListContinue5">
    <w:name w:val="List Continue 5"/>
    <w:basedOn w:val="List5"/>
    <w:rsid w:val="003538A6"/>
    <w:pPr>
      <w:ind w:firstLine="0"/>
    </w:pPr>
  </w:style>
  <w:style w:type="paragraph" w:styleId="ListNumber3">
    <w:name w:val="List Number 3"/>
    <w:basedOn w:val="List3"/>
    <w:rsid w:val="003538A6"/>
    <w:pPr>
      <w:numPr>
        <w:numId w:val="5"/>
      </w:numPr>
    </w:pPr>
  </w:style>
  <w:style w:type="paragraph" w:styleId="ListNumber4">
    <w:name w:val="List Number 4"/>
    <w:basedOn w:val="List4"/>
    <w:rsid w:val="003538A6"/>
    <w:pPr>
      <w:numPr>
        <w:numId w:val="6"/>
      </w:numPr>
    </w:pPr>
  </w:style>
  <w:style w:type="paragraph" w:styleId="ListNumber5">
    <w:name w:val="List Number 5"/>
    <w:basedOn w:val="List5"/>
    <w:rsid w:val="003538A6"/>
    <w:pPr>
      <w:numPr>
        <w:numId w:val="7"/>
      </w:numPr>
    </w:pPr>
  </w:style>
  <w:style w:type="paragraph" w:styleId="BlockText">
    <w:name w:val="Block Text"/>
    <w:basedOn w:val="Normal"/>
    <w:rsid w:val="003538A6"/>
    <w:pPr>
      <w:spacing w:after="120"/>
      <w:ind w:left="1440" w:right="1440"/>
    </w:pPr>
  </w:style>
  <w:style w:type="character" w:customStyle="1" w:styleId="Subscript">
    <w:name w:val="Subscript"/>
    <w:basedOn w:val="DefaultParagraphFont"/>
    <w:rsid w:val="003538A6"/>
    <w:rPr>
      <w:sz w:val="16"/>
      <w:vertAlign w:val="subscript"/>
    </w:rPr>
  </w:style>
  <w:style w:type="character" w:customStyle="1" w:styleId="Superscript">
    <w:name w:val="Superscript"/>
    <w:basedOn w:val="DefaultParagraphFont"/>
    <w:rsid w:val="003538A6"/>
    <w:rPr>
      <w:sz w:val="16"/>
      <w:vertAlign w:val="superscript"/>
    </w:rPr>
  </w:style>
  <w:style w:type="character" w:customStyle="1" w:styleId="Symbols">
    <w:name w:val="Symbols"/>
    <w:basedOn w:val="DefaultParagraphFont"/>
    <w:rsid w:val="003538A6"/>
    <w:rPr>
      <w:rFonts w:ascii="Symbol" w:hAnsi="Symbol"/>
    </w:rPr>
  </w:style>
  <w:style w:type="character" w:customStyle="1" w:styleId="MenuOptions">
    <w:name w:val="Menu Options"/>
    <w:basedOn w:val="DefaultParagraphFont"/>
    <w:rsid w:val="003538A6"/>
    <w:rPr>
      <w:rFonts w:ascii="Arial Narrow" w:hAnsi="Arial Narrow"/>
      <w:smallCaps/>
    </w:rPr>
  </w:style>
  <w:style w:type="character" w:customStyle="1" w:styleId="Buttons">
    <w:name w:val="Buttons"/>
    <w:basedOn w:val="DefaultParagraphFont"/>
    <w:rsid w:val="003538A6"/>
    <w:rPr>
      <w:b/>
    </w:rPr>
  </w:style>
  <w:style w:type="character" w:customStyle="1" w:styleId="Underlined">
    <w:name w:val="Underlined"/>
    <w:basedOn w:val="DefaultParagraphFont"/>
    <w:rsid w:val="003538A6"/>
    <w:rPr>
      <w:u w:val="single"/>
    </w:rPr>
  </w:style>
  <w:style w:type="paragraph" w:customStyle="1" w:styleId="TableBodyTextRight">
    <w:name w:val="Table Body Text Right"/>
    <w:basedOn w:val="TableBodyText"/>
    <w:rsid w:val="003538A6"/>
    <w:pPr>
      <w:widowControl w:val="0"/>
      <w:autoSpaceDE w:val="0"/>
      <w:autoSpaceDN w:val="0"/>
      <w:adjustRightInd w:val="0"/>
      <w:jc w:val="right"/>
    </w:pPr>
    <w:rPr>
      <w:rFonts w:cs="Arial"/>
      <w:szCs w:val="18"/>
    </w:rPr>
  </w:style>
  <w:style w:type="paragraph" w:customStyle="1" w:styleId="CopyrightText">
    <w:name w:val="Copyright Text"/>
    <w:basedOn w:val="BodyText"/>
    <w:rsid w:val="003538A6"/>
    <w:rPr>
      <w:sz w:val="18"/>
    </w:rPr>
  </w:style>
  <w:style w:type="paragraph" w:customStyle="1" w:styleId="BodySmallRight">
    <w:name w:val="Body Small Right"/>
    <w:basedOn w:val="BodyTextRight"/>
    <w:rsid w:val="003538A6"/>
    <w:rPr>
      <w:sz w:val="18"/>
      <w:szCs w:val="18"/>
    </w:rPr>
  </w:style>
  <w:style w:type="paragraph" w:customStyle="1" w:styleId="MarginEdition">
    <w:name w:val="Margin Edition"/>
    <w:basedOn w:val="MarginNote"/>
    <w:rsid w:val="003538A6"/>
    <w:pPr>
      <w:spacing w:before="0" w:after="0"/>
    </w:pPr>
    <w:rPr>
      <w:rFonts w:ascii="Times New Roman" w:hAnsi="Times New Roman"/>
      <w:color w:val="999999"/>
    </w:rPr>
  </w:style>
  <w:style w:type="paragraph" w:customStyle="1" w:styleId="Spacer">
    <w:name w:val="Spacer"/>
    <w:basedOn w:val="Normal"/>
    <w:rsid w:val="003538A6"/>
    <w:rPr>
      <w:sz w:val="2"/>
      <w:szCs w:val="2"/>
    </w:rPr>
  </w:style>
  <w:style w:type="character" w:customStyle="1" w:styleId="Small">
    <w:name w:val="Small"/>
    <w:basedOn w:val="DefaultParagraphFont"/>
    <w:rsid w:val="003538A6"/>
    <w:rPr>
      <w:sz w:val="16"/>
    </w:rPr>
  </w:style>
  <w:style w:type="paragraph" w:customStyle="1" w:styleId="WideTable">
    <w:name w:val="Wide Table"/>
    <w:basedOn w:val="Normal"/>
    <w:rsid w:val="003538A6"/>
    <w:pPr>
      <w:ind w:left="-1418"/>
    </w:pPr>
    <w:rPr>
      <w:sz w:val="2"/>
      <w:szCs w:val="2"/>
    </w:rPr>
  </w:style>
  <w:style w:type="character" w:styleId="PageNumber">
    <w:name w:val="page number"/>
    <w:basedOn w:val="DefaultParagraphFont"/>
    <w:rsid w:val="003538A6"/>
  </w:style>
  <w:style w:type="paragraph" w:styleId="Quote">
    <w:name w:val="Quote"/>
    <w:basedOn w:val="Heading1"/>
    <w:link w:val="QuoteChar"/>
    <w:qFormat/>
    <w:rsid w:val="003538A6"/>
    <w:rPr>
      <w:b w:val="0"/>
      <w:sz w:val="72"/>
      <w:szCs w:val="72"/>
      <w:lang w:val="en-NZ"/>
    </w:rPr>
  </w:style>
  <w:style w:type="character" w:customStyle="1" w:styleId="QuoteChar">
    <w:name w:val="Quote Char"/>
    <w:basedOn w:val="DefaultParagraphFont"/>
    <w:link w:val="Quote"/>
    <w:rsid w:val="00353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8A6"/>
    <w:pPr>
      <w:pageBreakBefore/>
    </w:pPr>
  </w:style>
  <w:style w:type="paragraph" w:customStyle="1" w:styleId="Border">
    <w:name w:val="Border"/>
    <w:basedOn w:val="Normal"/>
    <w:qFormat/>
    <w:rsid w:val="00353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8A6"/>
    <w:rPr>
      <w:b/>
      <w:bCs/>
      <w:i/>
      <w:iCs/>
      <w:color w:val="auto"/>
    </w:rPr>
  </w:style>
  <w:style w:type="paragraph" w:styleId="IntenseQuote">
    <w:name w:val="Intense Quote"/>
    <w:basedOn w:val="Normal"/>
    <w:next w:val="Normal"/>
    <w:link w:val="IntenseQuoteChar"/>
    <w:uiPriority w:val="30"/>
    <w:qFormat/>
    <w:rsid w:val="00353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8A6"/>
    <w:rPr>
      <w:smallCaps/>
      <w:color w:val="auto"/>
      <w:u w:val="single"/>
    </w:rPr>
  </w:style>
  <w:style w:type="character" w:styleId="IntenseReference">
    <w:name w:val="Intense Reference"/>
    <w:basedOn w:val="DefaultParagraphFont"/>
    <w:uiPriority w:val="32"/>
    <w:qFormat/>
    <w:rsid w:val="003538A6"/>
    <w:rPr>
      <w:b/>
      <w:bCs/>
      <w:smallCaps/>
      <w:color w:val="auto"/>
      <w:spacing w:val="5"/>
      <w:u w:val="single"/>
    </w:rPr>
  </w:style>
  <w:style w:type="paragraph" w:customStyle="1" w:styleId="2ColumnHeading">
    <w:name w:val="2Column Heading"/>
    <w:basedOn w:val="BodyText"/>
    <w:qFormat/>
    <w:rsid w:val="003538A6"/>
    <w:pPr>
      <w:spacing w:after="60"/>
      <w:ind w:left="-2268"/>
    </w:pPr>
    <w:rPr>
      <w:b/>
    </w:rPr>
  </w:style>
  <w:style w:type="paragraph" w:customStyle="1" w:styleId="Heading1TOC">
    <w:name w:val="Heading1 TOC"/>
    <w:basedOn w:val="Normal"/>
    <w:qFormat/>
    <w:rsid w:val="003538A6"/>
    <w:pPr>
      <w:spacing w:before="240" w:after="120"/>
    </w:pPr>
    <w:rPr>
      <w:rFonts w:ascii="Times New Roman" w:hAnsi="Times New Roman"/>
      <w:b/>
      <w:sz w:val="32"/>
    </w:rPr>
  </w:style>
  <w:style w:type="paragraph" w:customStyle="1" w:styleId="Heading2TOC">
    <w:name w:val="Heading2 TOC"/>
    <w:basedOn w:val="Normal"/>
    <w:qFormat/>
    <w:rsid w:val="003538A6"/>
    <w:pPr>
      <w:spacing w:before="240" w:after="60"/>
    </w:pPr>
    <w:rPr>
      <w:rFonts w:ascii="Times New Roman" w:hAnsi="Times New Roman"/>
      <w:b/>
      <w:sz w:val="28"/>
    </w:rPr>
  </w:style>
  <w:style w:type="character" w:customStyle="1" w:styleId="Underline">
    <w:name w:val="Underline"/>
    <w:basedOn w:val="DefaultParagraphFont"/>
    <w:qFormat/>
    <w:rsid w:val="003538A6"/>
    <w:rPr>
      <w:u w:val="single"/>
    </w:rPr>
  </w:style>
  <w:style w:type="character" w:customStyle="1" w:styleId="BoldandItalics">
    <w:name w:val="Bold and Italics"/>
    <w:qFormat/>
    <w:rsid w:val="003538A6"/>
    <w:rPr>
      <w:b/>
      <w:i/>
      <w:u w:val="none"/>
    </w:rPr>
  </w:style>
  <w:style w:type="paragraph" w:styleId="BalloonText">
    <w:name w:val="Balloon Text"/>
    <w:basedOn w:val="Normal"/>
    <w:link w:val="BalloonTextChar"/>
    <w:rsid w:val="003538A6"/>
    <w:rPr>
      <w:rFonts w:ascii="Tahoma" w:hAnsi="Tahoma" w:cs="Tahoma"/>
      <w:sz w:val="16"/>
      <w:szCs w:val="16"/>
    </w:rPr>
  </w:style>
  <w:style w:type="character" w:customStyle="1" w:styleId="BalloonTextChar">
    <w:name w:val="Balloon Text Char"/>
    <w:basedOn w:val="DefaultParagraphFont"/>
    <w:link w:val="BalloonText"/>
    <w:rsid w:val="00353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8A6"/>
    <w:rPr>
      <w:b/>
      <w:color w:val="660033"/>
      <w:spacing w:val="0"/>
    </w:rPr>
  </w:style>
  <w:style w:type="paragraph" w:customStyle="1" w:styleId="Nameditemlist">
    <w:name w:val="Named item list"/>
    <w:basedOn w:val="BodyText"/>
    <w:qFormat/>
    <w:rsid w:val="003538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2397</Words>
  <Characters>14792</Characters>
  <Application>Microsoft Office Word</Application>
  <DocSecurity>0</DocSecurity>
  <Lines>567</Lines>
  <Paragraphs>234</Paragraphs>
  <ScaleCrop>false</ScaleCrop>
  <Company>Author-it Software Corporation Ltd.</Company>
  <LinksUpToDate>false</LinksUpToDate>
  <CharactersWithSpaces>17055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UEENEEJ106A Install refrigerant pipe work, flow controls and accessories</dc:title>
  <dc:subject>Approved</dc:subject>
  <dc:creator>E-OZ Training Standards</dc:creator>
  <cp:keywords>Release: 4</cp:keywords>
  <dc:description>Review Date: 12 April 2008</dc:description>
  <cp:lastModifiedBy>TPCMS</cp:lastModifiedBy>
  <cp:revision>3</cp:revision>
  <dcterms:created xsi:type="dcterms:W3CDTF">2013-08-14T06:56:00Z</dcterms:created>
  <dcterms:modified xsi:type="dcterms:W3CDTF">2013-08-14T06:56:00Z</dcterms:modified>
</cp:coreProperties>
</file>