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C158B" w:rsidP="00DC158B">
      <w:pPr>
        <w:pStyle w:val="Title"/>
      </w:pPr>
      <w:r>
        <w:fldChar w:fldCharType="begin"/>
      </w:r>
      <w:r>
        <w:instrText xml:space="preserve"> TITLE   \* MERGEFORMAT </w:instrText>
      </w:r>
      <w:r>
        <w:fldChar w:fldCharType="separate"/>
      </w:r>
      <w:r>
        <w:t>UEENEEJ104A Establish the basic operating conditions of air conditioning systems</w:t>
      </w:r>
      <w:r>
        <w:fldChar w:fldCharType="end"/>
      </w:r>
    </w:p>
    <w:p w:rsidR="00DC158B" w:rsidP="00DC158B">
      <w:pPr>
        <w:pStyle w:val="Version"/>
        <w:sectPr w:rsidSect="00DD2FD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DD2FD0" w:rsidP="00DD2FD0">
      <w:pPr>
        <w:pStyle w:val="SuperHeading"/>
      </w:pPr>
      <w:r w:rsidRPr="00DD2FD0">
        <w:t>UEENEEJ104A Establish the basic operating conditions of air conditioning systems</w:t>
      </w:r>
    </w:p>
    <w:p w:rsidR="00000000" w:rsidRPr="00DD2FD0" w:rsidP="00DD2FD0">
      <w:pPr>
        <w:pStyle w:val="Heading1"/>
      </w:pPr>
      <w:bookmarkStart w:id="1" w:name="O_589357"/>
      <w:bookmarkEnd w:id="1"/>
      <w:r w:rsidRPr="00DD2FD0">
        <w:t>Modification History</w:t>
      </w:r>
    </w:p>
    <w:p w:rsidR="00000000" w:rsidRPr="00DD2FD0" w:rsidP="00DD2FD0">
      <w:pPr>
        <w:pStyle w:val="BodyText"/>
      </w:pPr>
      <w:r w:rsidRPr="00DD2FD0">
        <w:t>Not Applicable</w:t>
      </w:r>
    </w:p>
    <w:p w:rsidR="00000000" w:rsidRPr="00DD2FD0" w:rsidP="00DD2FD0">
      <w:pPr>
        <w:pStyle w:val="AllowPageBreak"/>
      </w:pPr>
    </w:p>
    <w:p w:rsidR="00000000" w:rsidRPr="00DD2FD0" w:rsidP="00DD2FD0">
      <w:pPr>
        <w:pStyle w:val="Heading1"/>
      </w:pPr>
      <w:bookmarkStart w:id="2" w:name="O_589356"/>
      <w:bookmarkEnd w:id="2"/>
      <w:r w:rsidRPr="00DD2FD0">
        <w:t>Unit Descriptor</w:t>
      </w:r>
    </w:p>
    <w:tbl>
      <w:tblPr>
        <w:tblW w:w="0" w:type="auto"/>
        <w:tblLayout w:type="fixed"/>
        <w:tblCellMar>
          <w:left w:w="62" w:type="dxa"/>
          <w:right w:w="62" w:type="dxa"/>
        </w:tblCellMar>
        <w:tblLook w:val="0000"/>
      </w:tblPr>
      <w:tblGrid>
        <w:gridCol w:w="2700"/>
        <w:gridCol w:w="5760"/>
      </w:tblGrid>
      <w:tr w:rsidTr="00DC158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D2FD0" w:rsidP="00DD2FD0">
            <w:pPr>
              <w:pStyle w:val="BodyText"/>
            </w:pPr>
            <w:r w:rsidRPr="00DD2FD0">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DD2FD0" w:rsidP="00DD2FD0">
            <w:pPr>
              <w:pStyle w:val="BodyText"/>
            </w:pPr>
            <w:r w:rsidRPr="00DD2FD0">
              <w:rPr>
                <w:rStyle w:val="SpecialBold"/>
              </w:rPr>
              <w:t>1</w:t>
            </w:r>
            <w:r w:rsidRPr="00DD2FD0">
              <w:t xml:space="preserve">) </w:t>
            </w:r>
          </w:p>
          <w:p w:rsidR="00000000" w:rsidP="00DD2FD0">
            <w:pPr>
              <w:pStyle w:val="BodyText"/>
              <w:rPr>
                <w:lang w:val="en-NZ"/>
              </w:rPr>
            </w:pPr>
            <w:r w:rsidRPr="00DD2FD0">
              <w:rPr>
                <w:rStyle w:val="SpecialBold"/>
              </w:rPr>
              <w:t>1</w:t>
            </w:r>
            <w:r w:rsidRPr="00DD2FD0">
              <w:t>.</w:t>
            </w:r>
            <w:r w:rsidRPr="00DD2FD0">
              <w:rPr>
                <w:rStyle w:val="SpecialBold"/>
              </w:rPr>
              <w:t>1</w:t>
            </w:r>
            <w:r w:rsidRPr="00DD2FD0">
              <w:t xml:space="preserve">) </w:t>
            </w:r>
            <w:r w:rsidRPr="00DD2FD0">
              <w:rPr>
                <w:rStyle w:val="SpecialBold"/>
              </w:rPr>
              <w:t>Descriptor</w:t>
            </w:r>
          </w:p>
        </w:tc>
      </w:tr>
      <w:tr w:rsidTr="00DC158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D2FD0" w:rsidP="00DD2FD0">
            <w:pPr>
              <w:pStyle w:val="BodyText"/>
            </w:pPr>
            <w:r w:rsidRPr="00DD2FD0">
              <w:t>This unit covers the determination of basic operating conditions of air conditioning systems. It encompasses working safely, determining air temperature, air flow rates and relative humidity using measurement and basic calculation methods.</w:t>
            </w:r>
          </w:p>
        </w:tc>
      </w:tr>
    </w:tbl>
    <w:p w:rsidR="00DC158B" w:rsidP="00DD2FD0">
      <w:pPr>
        <w:pStyle w:val="BodyText"/>
      </w:pPr>
    </w:p>
    <w:p w:rsidR="00DC158B" w:rsidP="00DD2FD0">
      <w:pPr>
        <w:pStyle w:val="BodyText"/>
      </w:pPr>
    </w:p>
    <w:p w:rsidR="00000000" w:rsidRPr="00DD2FD0" w:rsidP="00DD2FD0">
      <w:pPr>
        <w:pStyle w:val="Heading1"/>
      </w:pPr>
      <w:bookmarkStart w:id="3" w:name="O_589355"/>
      <w:bookmarkEnd w:id="3"/>
      <w:r w:rsidRPr="00DD2FD0">
        <w:t>Application of the Unit</w:t>
      </w:r>
    </w:p>
    <w:tbl>
      <w:tblPr>
        <w:tblW w:w="0" w:type="auto"/>
        <w:tblLayout w:type="fixed"/>
        <w:tblCellMar>
          <w:left w:w="62" w:type="dxa"/>
          <w:right w:w="62" w:type="dxa"/>
        </w:tblCellMar>
        <w:tblLook w:val="0000"/>
      </w:tblPr>
      <w:tblGrid>
        <w:gridCol w:w="2700"/>
        <w:gridCol w:w="5760"/>
      </w:tblGrid>
      <w:tr w:rsidTr="00DC158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D2FD0" w:rsidP="00DD2FD0">
            <w:pPr>
              <w:pStyle w:val="BodyText"/>
            </w:pPr>
            <w:r w:rsidRPr="00DD2FD0">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DD2FD0">
            <w:pPr>
              <w:pStyle w:val="BodyText"/>
              <w:rPr>
                <w:lang w:val="en-NZ"/>
              </w:rPr>
            </w:pPr>
            <w:r w:rsidRPr="00DD2FD0">
              <w:rPr>
                <w:rStyle w:val="SpecialBold"/>
              </w:rPr>
              <w:t>4</w:t>
            </w:r>
            <w:r w:rsidRPr="00DD2FD0">
              <w:t>)</w:t>
            </w:r>
          </w:p>
        </w:tc>
      </w:tr>
      <w:tr w:rsidTr="00DC158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D2FD0" w:rsidP="00DD2FD0">
            <w:pPr>
              <w:pStyle w:val="BodyText"/>
            </w:pPr>
            <w:r w:rsidRPr="00DD2FD0">
              <w:t>This competency standard is suitable for employment-based programs under an approved contract of training at the AQF level of the qualification in which the unit is first packaged or higher.</w:t>
            </w:r>
          </w:p>
          <w:p w:rsidR="00000000" w:rsidRPr="00DD2FD0" w:rsidP="00DD2FD0">
            <w:pPr>
              <w:pStyle w:val="BodyText"/>
            </w:pPr>
            <w:r w:rsidRPr="00DD2FD0">
              <w:t>The unit may be selected as an elective from the relevant schedule (see qualification packaging rules) provided that all prerequisite units are undertaken or addressed through recognition processes.</w:t>
            </w:r>
          </w:p>
          <w:p w:rsidR="00000000" w:rsidRPr="00DD2FD0" w:rsidP="00DD2FD0">
            <w:pPr>
              <w:pStyle w:val="BodyText"/>
            </w:pPr>
            <w:r w:rsidRPr="00DD2FD0">
              <w:t>This unit may be included in a skill set provided that it</w:t>
            </w:r>
            <w:r w:rsidRPr="00DD2FD0">
              <w:t xml:space="preserve"> is listed in the schedule of electives (see Qualification Framework) and all prerequisite units are undertaken or addressed through recognition processes.</w:t>
            </w:r>
          </w:p>
          <w:p w:rsidR="00000000" w:rsidRPr="00DD2FD0" w:rsidP="00DD2FD0">
            <w:pPr>
              <w:pStyle w:val="BodyText"/>
            </w:pPr>
            <w:r w:rsidRPr="00DD2FD0">
              <w:t>Delivery and assessment of this unit should be undertaken within regard to the requirements of Licen</w:t>
            </w:r>
            <w:r w:rsidRPr="00DD2FD0">
              <w:t>se to Practice (1.2 above), Prerequisite Competencies and Literacy and Numeracy skills (2 above) and the  recommendations for concurrent assessment and relationship with other units (9.5 below).</w:t>
            </w:r>
          </w:p>
          <w:p w:rsidR="00000000" w:rsidRPr="00DD2FD0" w:rsidP="00DD2FD0">
            <w:pPr>
              <w:pStyle w:val="BodyText"/>
            </w:pPr>
            <w:r w:rsidRPr="00DD2FD0">
              <w:t xml:space="preserve">Practice in the workplace and during training is also </w:t>
            </w:r>
            <w:r w:rsidRPr="00DD2FD0">
              <w:t>subject</w:t>
            </w:r>
            <w:r w:rsidRPr="00DD2FD0">
              <w:t xml:space="preserve"> to regulations directly related to occupational health and safety and where applicable contracts of training such as apprenticeships.</w:t>
            </w:r>
          </w:p>
          <w:p w:rsidR="00000000" w:rsidRPr="00DD2FD0" w:rsidP="00DD2FD0">
            <w:pPr>
              <w:pStyle w:val="BodyText"/>
            </w:pPr>
            <w:r w:rsidRPr="00DD2FD0">
              <w:t xml:space="preserve">Note: </w:t>
            </w:r>
          </w:p>
          <w:p w:rsidR="00000000" w:rsidRPr="00DD2FD0" w:rsidP="00DD2FD0">
            <w:pPr>
              <w:pStyle w:val="BodyText"/>
            </w:pPr>
            <w:r w:rsidRPr="00DD2FD0">
              <w:t>1. Compliance with permits may be required in various jurisdictions and typically relates to the operation of plan</w:t>
            </w:r>
            <w:r w:rsidRPr="00DD2FD0">
              <w:t>t, machinery and equipment such as elevating work platforms, powder operated fixing tools, power operated tools, vehicles, road signage and traffic control and lifting equipment. Permits may also be required for some work environments such as confined spac</w:t>
            </w:r>
            <w:r w:rsidRPr="00DD2FD0">
              <w:t>es, working aloft, near live electrical apparatus and site rehabilitation.</w:t>
            </w:r>
          </w:p>
          <w:p w:rsidR="00000000" w:rsidRPr="00DD2FD0" w:rsidP="00DD2FD0">
            <w:pPr>
              <w:pStyle w:val="BodyText"/>
            </w:pPr>
            <w:r w:rsidRPr="00DD2FD0">
              <w:t>2. Compliance may be required in various jurisdictions relating to currency in First Aid, confined space, lifting, risk safety measures etc.</w:t>
            </w:r>
          </w:p>
        </w:tc>
      </w:tr>
    </w:tbl>
    <w:p w:rsidR="00DC158B" w:rsidP="00DD2FD0">
      <w:pPr>
        <w:pStyle w:val="BodyText"/>
      </w:pPr>
    </w:p>
    <w:p w:rsidR="00DC158B" w:rsidP="00DD2FD0">
      <w:pPr>
        <w:pStyle w:val="BodyText"/>
      </w:pPr>
    </w:p>
    <w:p w:rsidR="00000000" w:rsidRPr="00DD2FD0" w:rsidP="00DD2FD0">
      <w:pPr>
        <w:pStyle w:val="Heading1"/>
      </w:pPr>
      <w:bookmarkStart w:id="4" w:name="O_589354"/>
      <w:bookmarkEnd w:id="4"/>
      <w:r w:rsidRPr="00DD2FD0">
        <w:t>Licensing/Regulatory Information</w:t>
      </w:r>
    </w:p>
    <w:tbl>
      <w:tblPr>
        <w:tblW w:w="0" w:type="auto"/>
        <w:tblLayout w:type="fixed"/>
        <w:tblCellMar>
          <w:left w:w="62" w:type="dxa"/>
          <w:right w:w="62" w:type="dxa"/>
        </w:tblCellMar>
        <w:tblLook w:val="0000"/>
      </w:tblPr>
      <w:tblGrid>
        <w:gridCol w:w="8460"/>
      </w:tblGrid>
      <w:tr w:rsidTr="00DC158B">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DD2FD0">
            <w:pPr>
              <w:pStyle w:val="BodyText"/>
              <w:rPr>
                <w:lang w:val="en-NZ"/>
              </w:rPr>
            </w:pPr>
            <w:r w:rsidRPr="00DD2FD0">
              <w:rPr>
                <w:rStyle w:val="SpecialBold"/>
              </w:rPr>
              <w:t>1</w:t>
            </w:r>
            <w:r w:rsidRPr="00DD2FD0">
              <w:t>.</w:t>
            </w:r>
            <w:r w:rsidRPr="00DD2FD0">
              <w:rPr>
                <w:rStyle w:val="SpecialBold"/>
              </w:rPr>
              <w:t>2</w:t>
            </w:r>
            <w:r w:rsidRPr="00DD2FD0">
              <w:t xml:space="preserve">) </w:t>
            </w:r>
            <w:r w:rsidRPr="00DD2FD0">
              <w:rPr>
                <w:rStyle w:val="SpecialBold"/>
              </w:rPr>
              <w:t>License to practice</w:t>
            </w:r>
          </w:p>
        </w:tc>
      </w:tr>
      <w:tr w:rsidTr="00DC158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DD2FD0" w:rsidP="00DD2FD0">
            <w:pPr>
              <w:pStyle w:val="BodyText"/>
            </w:pPr>
            <w:r w:rsidRPr="00DD2FD0">
              <w:t xml:space="preserve">The skills and knowledge described in this unit may, in some jurisdictions, require a license to practice in the workplace subject to regulations for undertaking refrigeration and air conditioning </w:t>
            </w:r>
            <w:r w:rsidRPr="00DD2FD0">
              <w:t>work. Practice in workplace and during training is also subject to regulations directly related to occupational health and safety and where applicable contracts of training such as apprenticeships.</w:t>
            </w:r>
          </w:p>
          <w:p w:rsidR="00000000" w:rsidRPr="00DD2FD0" w:rsidP="00DD2FD0">
            <w:pPr>
              <w:pStyle w:val="BodyText"/>
            </w:pPr>
            <w:r w:rsidRPr="00DD2FD0">
              <w:t xml:space="preserve">Note: </w:t>
            </w:r>
          </w:p>
          <w:p w:rsidR="00000000" w:rsidRPr="00DD2FD0" w:rsidP="00DD2FD0">
            <w:pPr>
              <w:pStyle w:val="BodyText"/>
            </w:pPr>
            <w:r w:rsidRPr="00DD2FD0">
              <w:t>1. Compliance with permits may be required in vario</w:t>
            </w:r>
            <w:r w:rsidRPr="00DD2FD0">
              <w:t xml:space="preserve">us jurisdictions and typically relates to the operation of plant, machinery and equipment such as elevating work platforms, powder operated fixing tools, power operated tools, vehicles, road signage and traffic control, lifting equipment. Permits may also </w:t>
            </w:r>
            <w:r w:rsidRPr="00DD2FD0">
              <w:t>be required for some work environments such as confined spaces, working aloft, near live electrical apparatus and site rehabilitation.</w:t>
            </w:r>
          </w:p>
          <w:p w:rsidR="00000000" w:rsidRPr="00DD2FD0" w:rsidP="00DD2FD0">
            <w:pPr>
              <w:pStyle w:val="BodyText"/>
            </w:pPr>
            <w:r w:rsidRPr="00DD2FD0">
              <w:t>2. Compliance may be required in various jurisdictions relating to currency in First Aid, confined space, lifting and ris</w:t>
            </w:r>
            <w:r w:rsidRPr="00DD2FD0">
              <w:t>k safety measures.</w:t>
            </w:r>
          </w:p>
        </w:tc>
      </w:tr>
    </w:tbl>
    <w:p w:rsidR="00DC158B" w:rsidP="00DD2FD0">
      <w:pPr>
        <w:pStyle w:val="BodyText"/>
      </w:pPr>
    </w:p>
    <w:p w:rsidR="00DC158B" w:rsidP="00DD2FD0">
      <w:pPr>
        <w:pStyle w:val="BodyText"/>
      </w:pPr>
    </w:p>
    <w:p w:rsidR="00000000" w:rsidRPr="00DD2FD0" w:rsidP="00DD2FD0">
      <w:pPr>
        <w:pStyle w:val="Heading1"/>
      </w:pPr>
      <w:bookmarkStart w:id="5" w:name="O_589353"/>
      <w:bookmarkEnd w:id="5"/>
      <w:r w:rsidRPr="00DD2FD0">
        <w:t>Pre-Requisites</w:t>
      </w:r>
    </w:p>
    <w:tbl>
      <w:tblPr>
        <w:tblW w:w="0" w:type="auto"/>
        <w:tblLayout w:type="fixed"/>
        <w:tblCellMar>
          <w:left w:w="62" w:type="dxa"/>
          <w:right w:w="62" w:type="dxa"/>
        </w:tblCellMar>
        <w:tblLook w:val="0000"/>
      </w:tblPr>
      <w:tblGrid>
        <w:gridCol w:w="2700"/>
        <w:gridCol w:w="1530"/>
        <w:gridCol w:w="4230"/>
      </w:tblGrid>
      <w:tr w:rsidTr="00DC158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D2FD0" w:rsidP="00DD2FD0">
            <w:pPr>
              <w:pStyle w:val="BodyText"/>
            </w:pPr>
            <w:r w:rsidRPr="00DD2FD0">
              <w:rPr>
                <w:rStyle w:val="SpecialBold"/>
              </w:rPr>
              <w:t>Prerequisite Unit</w:t>
            </w:r>
            <w:r w:rsidRPr="00DD2FD0">
              <w:t>(</w:t>
            </w:r>
            <w:r w:rsidRPr="00DD2FD0">
              <w:rPr>
                <w:rStyle w:val="SpecialBold"/>
              </w:rPr>
              <w:t>s</w:t>
            </w:r>
            <w:r w:rsidRPr="00DD2FD0">
              <w:t>)</w:t>
            </w:r>
          </w:p>
        </w:tc>
        <w:tc>
          <w:tcPr>
            <w:tcW w:w="5760" w:type="dxa"/>
            <w:gridSpan w:val="2"/>
            <w:tcBorders>
              <w:top w:val="nil"/>
              <w:left w:val="nil"/>
              <w:bottom w:val="nil"/>
              <w:right w:val="nil"/>
            </w:tcBorders>
            <w:tcMar>
              <w:top w:w="0" w:type="dxa"/>
              <w:left w:w="62" w:type="dxa"/>
              <w:bottom w:w="0" w:type="dxa"/>
              <w:right w:w="62" w:type="dxa"/>
            </w:tcMar>
          </w:tcPr>
          <w:p w:rsidR="00000000" w:rsidP="00DD2FD0">
            <w:pPr>
              <w:pStyle w:val="BodyText"/>
              <w:rPr>
                <w:lang w:val="en-NZ"/>
              </w:rPr>
            </w:pPr>
            <w:r w:rsidRPr="00DD2FD0">
              <w:rPr>
                <w:rStyle w:val="SpecialBold"/>
              </w:rPr>
              <w:t>2</w:t>
            </w:r>
            <w:r w:rsidRPr="00DD2FD0">
              <w:t xml:space="preserve">) </w:t>
            </w:r>
          </w:p>
        </w:tc>
      </w:tr>
      <w:tr w:rsidTr="00DC158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DD2FD0">
            <w:pPr>
              <w:pStyle w:val="BodyText"/>
              <w:keepNext w:val="0"/>
              <w:keepLines w:val="0"/>
              <w:contextualSpacing w:val="0"/>
            </w:pPr>
          </w:p>
        </w:tc>
        <w:tc>
          <w:tcPr>
            <w:tcW w:w="5760" w:type="dxa"/>
            <w:gridSpan w:val="2"/>
            <w:tcBorders>
              <w:top w:val="nil"/>
              <w:left w:val="nil"/>
              <w:bottom w:val="nil"/>
              <w:right w:val="nil"/>
            </w:tcBorders>
            <w:tcMar>
              <w:top w:w="0" w:type="dxa"/>
              <w:left w:w="62" w:type="dxa"/>
              <w:bottom w:w="0" w:type="dxa"/>
              <w:right w:w="62" w:type="dxa"/>
            </w:tcMar>
          </w:tcPr>
          <w:p w:rsidR="00000000" w:rsidP="00DD2FD0">
            <w:pPr>
              <w:pStyle w:val="BodyText"/>
              <w:rPr>
                <w:lang w:val="en-NZ"/>
              </w:rPr>
            </w:pPr>
            <w:r w:rsidRPr="00DD2FD0">
              <w:rPr>
                <w:rStyle w:val="SpecialBold"/>
              </w:rPr>
              <w:t>2</w:t>
            </w:r>
            <w:r w:rsidRPr="00DD2FD0">
              <w:t>.</w:t>
            </w:r>
            <w:r w:rsidRPr="00DD2FD0">
              <w:rPr>
                <w:rStyle w:val="SpecialBold"/>
              </w:rPr>
              <w:t>1</w:t>
            </w:r>
            <w:r w:rsidRPr="00DD2FD0">
              <w:t xml:space="preserve">) </w:t>
            </w:r>
            <w:r w:rsidRPr="00DD2FD0">
              <w:rPr>
                <w:rStyle w:val="SpecialBold"/>
              </w:rPr>
              <w:t>Competencies</w:t>
            </w:r>
          </w:p>
        </w:tc>
      </w:tr>
      <w:tr w:rsidTr="00DC158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DD2FD0">
            <w:pPr>
              <w:pStyle w:val="BodyText"/>
              <w:rPr>
                <w:lang w:val="en-NZ"/>
              </w:rPr>
            </w:pPr>
            <w:r w:rsidRPr="00DD2FD0">
              <w:t>Granting competency in this unit shall be made only after competency in the following unit(s) has/have been confirmed.</w:t>
            </w:r>
          </w:p>
        </w:tc>
      </w:tr>
      <w:tr w:rsidTr="00DC158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DD2FD0">
            <w:pPr>
              <w:pStyle w:val="BodyText"/>
              <w:rPr>
                <w:lang w:val="en-NZ"/>
              </w:rPr>
            </w:pPr>
            <w:r w:rsidRPr="00DD2FD0">
              <w:t xml:space="preserve">UEENEEE101A </w:t>
            </w:r>
          </w:p>
        </w:tc>
        <w:tc>
          <w:tcPr>
            <w:tcW w:w="4230" w:type="dxa"/>
            <w:tcBorders>
              <w:top w:val="nil"/>
              <w:left w:val="nil"/>
              <w:bottom w:val="nil"/>
              <w:right w:val="nil"/>
            </w:tcBorders>
            <w:tcMar>
              <w:top w:w="0" w:type="dxa"/>
              <w:left w:w="62" w:type="dxa"/>
              <w:bottom w:w="0" w:type="dxa"/>
              <w:right w:w="62" w:type="dxa"/>
            </w:tcMar>
          </w:tcPr>
          <w:p w:rsidR="00000000" w:rsidRPr="00DD2FD0" w:rsidP="00DD2FD0">
            <w:pPr>
              <w:pStyle w:val="BodyText"/>
            </w:pPr>
            <w:r w:rsidRPr="00DD2FD0">
              <w:t>Apply Occupational Health and Safety regulations, codes and practices in the workplace</w:t>
            </w:r>
          </w:p>
        </w:tc>
      </w:tr>
    </w:tbl>
    <w:p w:rsidR="00DC158B" w:rsidP="00DD2FD0">
      <w:pPr>
        <w:pStyle w:val="BodyText"/>
      </w:pPr>
    </w:p>
    <w:p w:rsidR="00DC158B" w:rsidP="00DD2FD0">
      <w:pPr>
        <w:pStyle w:val="BodyText"/>
      </w:pPr>
    </w:p>
    <w:p w:rsidR="00000000" w:rsidRPr="00DD2FD0" w:rsidP="00DD2FD0">
      <w:pPr>
        <w:pStyle w:val="Heading1"/>
      </w:pPr>
      <w:bookmarkStart w:id="6" w:name="O_589352"/>
      <w:bookmarkEnd w:id="6"/>
      <w:r w:rsidRPr="00DD2FD0">
        <w:t>Employability Skills Information</w:t>
      </w:r>
    </w:p>
    <w:tbl>
      <w:tblPr>
        <w:tblW w:w="0" w:type="auto"/>
        <w:tblLayout w:type="fixed"/>
        <w:tblCellMar>
          <w:left w:w="62" w:type="dxa"/>
          <w:right w:w="62" w:type="dxa"/>
        </w:tblCellMar>
        <w:tblLook w:val="0000"/>
      </w:tblPr>
      <w:tblGrid>
        <w:gridCol w:w="2700"/>
        <w:gridCol w:w="5760"/>
      </w:tblGrid>
      <w:tr w:rsidTr="00DC158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DD2FD0" w:rsidP="00DD2FD0">
            <w:pPr>
              <w:pStyle w:val="BodyText"/>
            </w:pPr>
            <w:r w:rsidRPr="00DD2FD0">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DD2FD0" w:rsidP="00DD2FD0">
            <w:pPr>
              <w:pStyle w:val="BodyText"/>
            </w:pPr>
            <w:r w:rsidRPr="00DD2FD0">
              <w:rPr>
                <w:rStyle w:val="SpecialBold"/>
              </w:rPr>
              <w:t>3</w:t>
            </w:r>
            <w:r w:rsidRPr="00DD2FD0">
              <w:t>)</w:t>
            </w:r>
          </w:p>
          <w:p w:rsidR="00000000" w:rsidRPr="00DD2FD0" w:rsidP="00DD2FD0">
            <w:pPr>
              <w:pStyle w:val="BodyText"/>
            </w:pPr>
            <w:r w:rsidRPr="00DD2FD0">
              <w:t>This unit contains Employability Skills</w:t>
            </w:r>
          </w:p>
          <w:p w:rsidR="00000000" w:rsidRPr="00DD2FD0" w:rsidP="00DD2FD0">
            <w:pPr>
              <w:pStyle w:val="BodyText"/>
            </w:pPr>
            <w:r w:rsidRPr="00DD2FD0">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DD2FD0">
              <w:t>requirements.</w:t>
            </w:r>
          </w:p>
        </w:tc>
      </w:tr>
    </w:tbl>
    <w:p w:rsidR="00DC158B" w:rsidP="00DD2FD0">
      <w:pPr>
        <w:pStyle w:val="BodyText"/>
      </w:pPr>
    </w:p>
    <w:p w:rsidR="00DC158B" w:rsidP="00DD2FD0">
      <w:pPr>
        <w:pStyle w:val="BodyText"/>
      </w:pPr>
    </w:p>
    <w:p w:rsidR="00000000" w:rsidRPr="00DD2FD0" w:rsidP="00DD2FD0">
      <w:pPr>
        <w:pStyle w:val="Heading1"/>
      </w:pPr>
      <w:bookmarkStart w:id="7" w:name="O_589351"/>
      <w:bookmarkEnd w:id="7"/>
      <w:r w:rsidRPr="00DD2FD0">
        <w:t>Elements and Performance Criteria Pre-Content</w:t>
      </w:r>
    </w:p>
    <w:tbl>
      <w:tblPr>
        <w:tblW w:w="0" w:type="auto"/>
        <w:tblLayout w:type="fixed"/>
        <w:tblCellMar>
          <w:left w:w="62" w:type="dxa"/>
          <w:right w:w="62" w:type="dxa"/>
        </w:tblCellMar>
        <w:tblLook w:val="0000"/>
      </w:tblPr>
      <w:tblGrid>
        <w:gridCol w:w="2410"/>
        <w:gridCol w:w="6239"/>
      </w:tblGrid>
      <w:tr w:rsidTr="00DC158B">
        <w:tblPrEx>
          <w:tblW w:w="0" w:type="auto"/>
          <w:tblLayout w:type="fixed"/>
          <w:tblCellMar>
            <w:left w:w="62" w:type="dxa"/>
            <w:right w:w="62" w:type="dxa"/>
          </w:tblCellMar>
          <w:tblLook w:val="0000"/>
        </w:tblPrEx>
        <w:tc>
          <w:tcPr>
            <w:tcW w:w="2410" w:type="dxa"/>
            <w:tcBorders>
              <w:top w:val="nil"/>
              <w:left w:val="nil"/>
              <w:bottom w:val="nil"/>
              <w:right w:val="nil"/>
            </w:tcBorders>
            <w:tcMar>
              <w:top w:w="0" w:type="dxa"/>
              <w:left w:w="62" w:type="dxa"/>
              <w:bottom w:w="0" w:type="dxa"/>
              <w:right w:w="62" w:type="dxa"/>
            </w:tcMar>
          </w:tcPr>
          <w:p w:rsidR="00000000" w:rsidP="00DD2FD0">
            <w:pPr>
              <w:pStyle w:val="BodyText"/>
              <w:rPr>
                <w:lang w:val="en-NZ"/>
              </w:rPr>
            </w:pPr>
            <w:r w:rsidRPr="00DD2FD0">
              <w:rPr>
                <w:rStyle w:val="SpecialBold"/>
              </w:rPr>
              <w:t>6</w:t>
            </w:r>
            <w:r w:rsidRPr="00DD2FD0">
              <w:t>) Elements describe the essential outcomes of a unit</w:t>
            </w:r>
          </w:p>
        </w:tc>
        <w:tc>
          <w:tcPr>
            <w:tcW w:w="6239" w:type="dxa"/>
            <w:tcBorders>
              <w:top w:val="nil"/>
              <w:left w:val="nil"/>
              <w:bottom w:val="nil"/>
              <w:right w:val="nil"/>
            </w:tcBorders>
            <w:tcMar>
              <w:top w:w="0" w:type="dxa"/>
              <w:left w:w="62" w:type="dxa"/>
              <w:bottom w:w="0" w:type="dxa"/>
              <w:right w:w="62" w:type="dxa"/>
            </w:tcMar>
          </w:tcPr>
          <w:p w:rsidR="00000000" w:rsidRPr="00DD2FD0" w:rsidP="00DD2FD0">
            <w:pPr>
              <w:pStyle w:val="BodyText"/>
            </w:pPr>
            <w:r w:rsidRPr="00DD2FD0">
              <w:t>Performance criteria describe the required performance needed to demonstrate achievement of the element. Assessment of per</w:t>
            </w:r>
            <w:r w:rsidRPr="00DD2FD0">
              <w:t>formance is to be consistent with the evidence guide.</w:t>
            </w:r>
          </w:p>
        </w:tc>
      </w:tr>
    </w:tbl>
    <w:p w:rsidR="00000000" w:rsidRPr="00DD2FD0" w:rsidP="00DD2FD0">
      <w:pPr>
        <w:pStyle w:val="BodyText"/>
      </w:pPr>
    </w:p>
    <w:p w:rsidR="00000000" w:rsidRPr="00DD2FD0" w:rsidP="00DD2FD0">
      <w:pPr>
        <w:pStyle w:val="AllowPageBreak"/>
      </w:pPr>
    </w:p>
    <w:p w:rsidR="00000000" w:rsidRPr="00DD2FD0" w:rsidP="00DD2FD0">
      <w:pPr>
        <w:pStyle w:val="Heading1"/>
      </w:pPr>
      <w:bookmarkStart w:id="8" w:name="O_589350"/>
      <w:bookmarkEnd w:id="8"/>
      <w:r w:rsidRPr="00DD2FD0">
        <w:t>Elements and Performance Criteria</w:t>
      </w:r>
    </w:p>
    <w:tbl>
      <w:tblPr>
        <w:tblW w:w="0" w:type="auto"/>
        <w:tblLayout w:type="fixed"/>
        <w:tblCellMar>
          <w:left w:w="62" w:type="dxa"/>
          <w:right w:w="62" w:type="dxa"/>
        </w:tblCellMar>
        <w:tblLook w:val="0000"/>
      </w:tblPr>
      <w:tblGrid>
        <w:gridCol w:w="404"/>
        <w:gridCol w:w="2006"/>
        <w:gridCol w:w="900"/>
        <w:gridCol w:w="5339"/>
      </w:tblGrid>
      <w:tr w:rsidTr="00DC158B">
        <w:tblPrEx>
          <w:tblW w:w="0" w:type="auto"/>
          <w:tblLayout w:type="fixed"/>
          <w:tblCellMar>
            <w:left w:w="62" w:type="dxa"/>
            <w:right w:w="62" w:type="dxa"/>
          </w:tblCellMar>
          <w:tblLook w:val="0000"/>
        </w:tblPrEx>
        <w:trPr>
          <w:tblHeader/>
        </w:trPr>
        <w:tc>
          <w:tcPr>
            <w:tcW w:w="2410" w:type="dxa"/>
            <w:gridSpan w:val="2"/>
            <w:tcBorders>
              <w:top w:val="nil"/>
              <w:left w:val="nil"/>
              <w:bottom w:val="nil"/>
              <w:right w:val="nil"/>
            </w:tcBorders>
            <w:tcMar>
              <w:top w:w="0" w:type="dxa"/>
              <w:left w:w="62" w:type="dxa"/>
              <w:bottom w:w="0" w:type="dxa"/>
              <w:right w:w="62" w:type="dxa"/>
            </w:tcMar>
          </w:tcPr>
          <w:p w:rsidR="00000000" w:rsidRPr="00DD2FD0" w:rsidP="00DD2FD0">
            <w:pPr>
              <w:pStyle w:val="BodyText"/>
            </w:pPr>
            <w:r w:rsidRPr="00DD2FD0">
              <w:rPr>
                <w:rStyle w:val="SpecialBold"/>
              </w:rPr>
              <w:t>ELEMENT</w:t>
            </w:r>
          </w:p>
        </w:tc>
        <w:tc>
          <w:tcPr>
            <w:tcW w:w="6239" w:type="dxa"/>
            <w:gridSpan w:val="2"/>
            <w:tcBorders>
              <w:top w:val="nil"/>
              <w:left w:val="nil"/>
              <w:bottom w:val="nil"/>
              <w:right w:val="nil"/>
            </w:tcBorders>
            <w:tcMar>
              <w:top w:w="0" w:type="dxa"/>
              <w:left w:w="62" w:type="dxa"/>
              <w:bottom w:w="0" w:type="dxa"/>
              <w:right w:w="62" w:type="dxa"/>
            </w:tcMar>
          </w:tcPr>
          <w:p w:rsidR="00000000" w:rsidP="00DD2FD0">
            <w:pPr>
              <w:pStyle w:val="BodyText"/>
              <w:rPr>
                <w:lang w:val="en-NZ"/>
              </w:rPr>
            </w:pPr>
            <w:r w:rsidRPr="00DD2FD0">
              <w:rPr>
                <w:rStyle w:val="SpecialBold"/>
              </w:rPr>
              <w:t>PERFORMANCE CRITERIA</w:t>
            </w:r>
          </w:p>
        </w:tc>
      </w:tr>
      <w:tr w:rsidTr="00DC158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D2FD0">
            <w:pPr>
              <w:pStyle w:val="BodyText"/>
              <w:rPr>
                <w:lang w:val="en-NZ"/>
              </w:rPr>
            </w:pPr>
            <w:r w:rsidRPr="00DD2FD0">
              <w:t>1</w:t>
            </w:r>
          </w:p>
        </w:tc>
        <w:tc>
          <w:tcPr>
            <w:tcW w:w="2006" w:type="dxa"/>
            <w:vMerge w:val="restart"/>
            <w:tcBorders>
              <w:top w:val="nil"/>
              <w:left w:val="nil"/>
              <w:bottom w:val="nil"/>
              <w:right w:val="nil"/>
            </w:tcBorders>
            <w:tcMar>
              <w:top w:w="0" w:type="dxa"/>
              <w:left w:w="62" w:type="dxa"/>
              <w:bottom w:w="0" w:type="dxa"/>
              <w:right w:w="62" w:type="dxa"/>
            </w:tcMar>
          </w:tcPr>
          <w:p w:rsidR="00000000" w:rsidP="00DD2FD0">
            <w:pPr>
              <w:pStyle w:val="BodyText"/>
              <w:rPr>
                <w:lang w:val="en-NZ"/>
              </w:rPr>
            </w:pPr>
            <w:r w:rsidRPr="00DD2FD0">
              <w:t xml:space="preserve">Prepare to determine the basic operating conditions of air conditioning systems </w:t>
            </w:r>
          </w:p>
        </w:tc>
        <w:tc>
          <w:tcPr>
            <w:tcW w:w="900" w:type="dxa"/>
            <w:tcBorders>
              <w:top w:val="nil"/>
              <w:left w:val="nil"/>
              <w:bottom w:val="nil"/>
              <w:right w:val="nil"/>
            </w:tcBorders>
            <w:tcMar>
              <w:top w:w="0" w:type="dxa"/>
              <w:left w:w="62" w:type="dxa"/>
              <w:bottom w:w="0" w:type="dxa"/>
              <w:right w:w="62" w:type="dxa"/>
            </w:tcMar>
          </w:tcPr>
          <w:p w:rsidR="00000000" w:rsidP="00DD2FD0">
            <w:pPr>
              <w:pStyle w:val="BodyText"/>
              <w:rPr>
                <w:lang w:val="en-NZ"/>
              </w:rPr>
            </w:pPr>
            <w:r w:rsidRPr="00DD2FD0">
              <w:t>1.1</w:t>
            </w:r>
          </w:p>
        </w:tc>
        <w:tc>
          <w:tcPr>
            <w:tcW w:w="5339" w:type="dxa"/>
            <w:tcBorders>
              <w:top w:val="nil"/>
              <w:left w:val="nil"/>
              <w:bottom w:val="nil"/>
              <w:right w:val="nil"/>
            </w:tcBorders>
            <w:tcMar>
              <w:top w:w="0" w:type="dxa"/>
              <w:left w:w="62" w:type="dxa"/>
              <w:bottom w:w="0" w:type="dxa"/>
              <w:right w:w="62" w:type="dxa"/>
            </w:tcMar>
          </w:tcPr>
          <w:p w:rsidR="00000000" w:rsidP="00DD2FD0">
            <w:pPr>
              <w:pStyle w:val="BodyText"/>
              <w:rPr>
                <w:lang w:val="en-NZ"/>
              </w:rPr>
            </w:pPr>
            <w:r w:rsidRPr="00DD2FD0">
              <w:t>OHS procedures for a given work area are identified, obtained and understood  through established routines and procedures</w:t>
            </w:r>
          </w:p>
        </w:tc>
      </w:tr>
      <w:tr w:rsidTr="00DC158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0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D2FD0">
            <w:pPr>
              <w:pStyle w:val="BodyText"/>
              <w:rPr>
                <w:lang w:val="en-NZ"/>
              </w:rPr>
            </w:pPr>
            <w:r w:rsidRPr="00DD2FD0">
              <w:t>1.2</w:t>
            </w:r>
          </w:p>
        </w:tc>
        <w:tc>
          <w:tcPr>
            <w:tcW w:w="5339" w:type="dxa"/>
            <w:tcBorders>
              <w:top w:val="nil"/>
              <w:left w:val="nil"/>
              <w:bottom w:val="nil"/>
              <w:right w:val="nil"/>
            </w:tcBorders>
            <w:tcMar>
              <w:top w:w="0" w:type="dxa"/>
              <w:left w:w="62" w:type="dxa"/>
              <w:bottom w:w="0" w:type="dxa"/>
              <w:right w:w="62" w:type="dxa"/>
            </w:tcMar>
          </w:tcPr>
          <w:p w:rsidR="00000000" w:rsidP="00DD2FD0">
            <w:pPr>
              <w:pStyle w:val="BodyText"/>
              <w:rPr>
                <w:lang w:val="en-NZ"/>
              </w:rPr>
            </w:pPr>
            <w:r w:rsidRPr="00DD2FD0">
              <w:t>Established OHS risk control measures and procedures in preparation for the work are followed</w:t>
            </w:r>
          </w:p>
        </w:tc>
      </w:tr>
      <w:tr w:rsidTr="00DC158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D2FD0">
            <w:pPr>
              <w:pStyle w:val="BodyText"/>
              <w:rPr>
                <w:lang w:val="en-NZ"/>
              </w:rPr>
            </w:pPr>
            <w:r w:rsidRPr="00DD2FD0">
              <w:t>1.3</w:t>
            </w:r>
          </w:p>
        </w:tc>
        <w:tc>
          <w:tcPr>
            <w:tcW w:w="5339" w:type="dxa"/>
            <w:tcBorders>
              <w:top w:val="nil"/>
              <w:left w:val="nil"/>
              <w:bottom w:val="nil"/>
              <w:right w:val="nil"/>
            </w:tcBorders>
            <w:tcMar>
              <w:top w:w="0" w:type="dxa"/>
              <w:left w:w="62" w:type="dxa"/>
              <w:bottom w:w="0" w:type="dxa"/>
              <w:right w:w="62" w:type="dxa"/>
            </w:tcMar>
          </w:tcPr>
          <w:p w:rsidR="00000000" w:rsidP="00DD2FD0">
            <w:pPr>
              <w:pStyle w:val="BodyText"/>
              <w:rPr>
                <w:lang w:val="en-NZ"/>
              </w:rPr>
            </w:pPr>
            <w:r w:rsidRPr="00DD2FD0">
              <w:t>Safety hazards which have not previously been identified are reported and advice on risk control measures is sought from the work supervisor</w:t>
            </w:r>
          </w:p>
        </w:tc>
      </w:tr>
      <w:tr w:rsidTr="00DC158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D2FD0">
            <w:pPr>
              <w:pStyle w:val="BodyText"/>
              <w:rPr>
                <w:lang w:val="en-NZ"/>
              </w:rPr>
            </w:pPr>
            <w:r w:rsidRPr="00DD2FD0">
              <w:t>1.4</w:t>
            </w:r>
          </w:p>
        </w:tc>
        <w:tc>
          <w:tcPr>
            <w:tcW w:w="5339" w:type="dxa"/>
            <w:tcBorders>
              <w:top w:val="nil"/>
              <w:left w:val="nil"/>
              <w:bottom w:val="nil"/>
              <w:right w:val="nil"/>
            </w:tcBorders>
            <w:tcMar>
              <w:top w:w="0" w:type="dxa"/>
              <w:left w:w="62" w:type="dxa"/>
              <w:bottom w:w="0" w:type="dxa"/>
              <w:right w:w="62" w:type="dxa"/>
            </w:tcMar>
          </w:tcPr>
          <w:p w:rsidR="00000000" w:rsidP="00DD2FD0">
            <w:pPr>
              <w:pStyle w:val="BodyText"/>
              <w:rPr>
                <w:lang w:val="en-NZ"/>
              </w:rPr>
            </w:pPr>
            <w:r w:rsidRPr="00DD2FD0">
              <w:t>Expected operating conditions are obtained from documentation or from work supervisor to establish the scope of work to be undertaken</w:t>
            </w:r>
          </w:p>
        </w:tc>
      </w:tr>
      <w:tr w:rsidTr="00DC158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D2FD0">
            <w:pPr>
              <w:pStyle w:val="BodyText"/>
              <w:rPr>
                <w:lang w:val="en-NZ"/>
              </w:rPr>
            </w:pPr>
            <w:r w:rsidRPr="00DD2FD0">
              <w:t>1.5</w:t>
            </w:r>
          </w:p>
        </w:tc>
        <w:tc>
          <w:tcPr>
            <w:tcW w:w="5339" w:type="dxa"/>
            <w:tcBorders>
              <w:top w:val="nil"/>
              <w:left w:val="nil"/>
              <w:bottom w:val="nil"/>
              <w:right w:val="nil"/>
            </w:tcBorders>
            <w:tcMar>
              <w:top w:w="0" w:type="dxa"/>
              <w:left w:w="62" w:type="dxa"/>
              <w:bottom w:w="0" w:type="dxa"/>
              <w:right w:w="62" w:type="dxa"/>
            </w:tcMar>
          </w:tcPr>
          <w:p w:rsidR="00000000" w:rsidP="00DD2FD0">
            <w:pPr>
              <w:pStyle w:val="BodyText"/>
              <w:rPr>
                <w:lang w:val="en-NZ"/>
              </w:rPr>
            </w:pPr>
            <w:r w:rsidRPr="00DD2FD0">
              <w:t xml:space="preserve">Advice is sought from the work supervisor to ensure the work is coordinated effectively with others </w:t>
            </w:r>
          </w:p>
        </w:tc>
      </w:tr>
      <w:tr w:rsidTr="00DC158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D2FD0">
            <w:pPr>
              <w:pStyle w:val="BodyText"/>
              <w:rPr>
                <w:lang w:val="en-NZ"/>
              </w:rPr>
            </w:pPr>
            <w:r w:rsidRPr="00DD2FD0">
              <w:t>1.6</w:t>
            </w:r>
          </w:p>
        </w:tc>
        <w:tc>
          <w:tcPr>
            <w:tcW w:w="5339" w:type="dxa"/>
            <w:tcBorders>
              <w:top w:val="nil"/>
              <w:left w:val="nil"/>
              <w:bottom w:val="nil"/>
              <w:right w:val="nil"/>
            </w:tcBorders>
            <w:tcMar>
              <w:top w:w="0" w:type="dxa"/>
              <w:left w:w="62" w:type="dxa"/>
              <w:bottom w:w="0" w:type="dxa"/>
              <w:right w:w="62" w:type="dxa"/>
            </w:tcMar>
          </w:tcPr>
          <w:p w:rsidR="00000000" w:rsidP="00DD2FD0">
            <w:pPr>
              <w:pStyle w:val="BodyText"/>
              <w:rPr>
                <w:lang w:val="en-NZ"/>
              </w:rPr>
            </w:pPr>
            <w:r w:rsidRPr="00DD2FD0">
              <w:t>Sources</w:t>
            </w:r>
            <w:r w:rsidRPr="00DD2FD0">
              <w:t xml:space="preserve"> of materials that may be required for the work are accessed in accordance with established routines and procedures</w:t>
            </w:r>
          </w:p>
        </w:tc>
      </w:tr>
      <w:tr w:rsidTr="00DC158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D2FD0">
            <w:pPr>
              <w:pStyle w:val="BodyText"/>
              <w:rPr>
                <w:lang w:val="en-NZ"/>
              </w:rPr>
            </w:pPr>
            <w:r w:rsidRPr="00DD2FD0">
              <w:t>1.7</w:t>
            </w:r>
          </w:p>
        </w:tc>
        <w:tc>
          <w:tcPr>
            <w:tcW w:w="5339" w:type="dxa"/>
            <w:tcBorders>
              <w:top w:val="nil"/>
              <w:left w:val="nil"/>
              <w:bottom w:val="nil"/>
              <w:right w:val="nil"/>
            </w:tcBorders>
            <w:tcMar>
              <w:top w:w="0" w:type="dxa"/>
              <w:left w:w="62" w:type="dxa"/>
              <w:bottom w:w="0" w:type="dxa"/>
              <w:right w:w="62" w:type="dxa"/>
            </w:tcMar>
          </w:tcPr>
          <w:p w:rsidR="00000000" w:rsidP="00DD2FD0">
            <w:pPr>
              <w:pStyle w:val="BodyText"/>
              <w:rPr>
                <w:lang w:val="en-NZ"/>
              </w:rPr>
            </w:pPr>
            <w:r w:rsidRPr="00DD2FD0">
              <w:t>Tools, equipment and testing devices needed to determine the basic operating conditions are obtained and checked for correct operatio</w:t>
            </w:r>
            <w:r w:rsidRPr="00DD2FD0">
              <w:t>n and safety</w:t>
            </w:r>
          </w:p>
        </w:tc>
      </w:tr>
      <w:tr w:rsidTr="00DC158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D2FD0">
            <w:pPr>
              <w:pStyle w:val="BodyText"/>
              <w:rPr>
                <w:lang w:val="en-NZ"/>
              </w:rPr>
            </w:pPr>
            <w:r w:rsidRPr="00DD2FD0">
              <w:t>2</w:t>
            </w:r>
          </w:p>
        </w:tc>
        <w:tc>
          <w:tcPr>
            <w:tcW w:w="2006" w:type="dxa"/>
            <w:vMerge w:val="restart"/>
            <w:tcBorders>
              <w:top w:val="nil"/>
              <w:left w:val="nil"/>
              <w:bottom w:val="nil"/>
              <w:right w:val="nil"/>
            </w:tcBorders>
            <w:tcMar>
              <w:top w:w="0" w:type="dxa"/>
              <w:left w:w="62" w:type="dxa"/>
              <w:bottom w:w="0" w:type="dxa"/>
              <w:right w:w="62" w:type="dxa"/>
            </w:tcMar>
          </w:tcPr>
          <w:p w:rsidR="00000000" w:rsidP="00DD2FD0">
            <w:pPr>
              <w:pStyle w:val="BodyText"/>
              <w:rPr>
                <w:lang w:val="en-NZ"/>
              </w:rPr>
            </w:pPr>
            <w:r w:rsidRPr="00DD2FD0">
              <w:t>Determine the basic operating conditions of air conditioning systems</w:t>
            </w:r>
          </w:p>
        </w:tc>
        <w:tc>
          <w:tcPr>
            <w:tcW w:w="900" w:type="dxa"/>
            <w:tcBorders>
              <w:top w:val="nil"/>
              <w:left w:val="nil"/>
              <w:bottom w:val="nil"/>
              <w:right w:val="nil"/>
            </w:tcBorders>
            <w:tcMar>
              <w:top w:w="0" w:type="dxa"/>
              <w:left w:w="62" w:type="dxa"/>
              <w:bottom w:w="0" w:type="dxa"/>
              <w:right w:w="62" w:type="dxa"/>
            </w:tcMar>
          </w:tcPr>
          <w:p w:rsidR="00000000" w:rsidP="00DD2FD0">
            <w:pPr>
              <w:pStyle w:val="BodyText"/>
              <w:rPr>
                <w:lang w:val="en-NZ"/>
              </w:rPr>
            </w:pPr>
            <w:r w:rsidRPr="00DD2FD0">
              <w:t>2.1</w:t>
            </w:r>
          </w:p>
        </w:tc>
        <w:tc>
          <w:tcPr>
            <w:tcW w:w="5339" w:type="dxa"/>
            <w:tcBorders>
              <w:top w:val="nil"/>
              <w:left w:val="nil"/>
              <w:bottom w:val="nil"/>
              <w:right w:val="nil"/>
            </w:tcBorders>
            <w:tcMar>
              <w:top w:w="0" w:type="dxa"/>
              <w:left w:w="62" w:type="dxa"/>
              <w:bottom w:w="0" w:type="dxa"/>
              <w:right w:w="62" w:type="dxa"/>
            </w:tcMar>
          </w:tcPr>
          <w:p w:rsidR="00000000" w:rsidP="00DD2FD0">
            <w:pPr>
              <w:pStyle w:val="BodyText"/>
              <w:rPr>
                <w:lang w:val="en-NZ"/>
              </w:rPr>
            </w:pPr>
            <w:r w:rsidRPr="00DD2FD0">
              <w:t>Established OHS risk control measures and procedures for carrying out the work are followed</w:t>
            </w:r>
          </w:p>
        </w:tc>
      </w:tr>
      <w:tr w:rsidTr="00DC158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0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D2FD0">
            <w:pPr>
              <w:pStyle w:val="BodyText"/>
              <w:rPr>
                <w:lang w:val="en-NZ"/>
              </w:rPr>
            </w:pPr>
            <w:r w:rsidRPr="00DD2FD0">
              <w:t>2.2</w:t>
            </w:r>
          </w:p>
        </w:tc>
        <w:tc>
          <w:tcPr>
            <w:tcW w:w="5339" w:type="dxa"/>
            <w:tcBorders>
              <w:top w:val="nil"/>
              <w:left w:val="nil"/>
              <w:bottom w:val="nil"/>
              <w:right w:val="nil"/>
            </w:tcBorders>
            <w:tcMar>
              <w:top w:w="0" w:type="dxa"/>
              <w:left w:w="62" w:type="dxa"/>
              <w:bottom w:w="0" w:type="dxa"/>
              <w:right w:w="62" w:type="dxa"/>
            </w:tcMar>
          </w:tcPr>
          <w:p w:rsidR="00000000" w:rsidP="00DD2FD0">
            <w:pPr>
              <w:pStyle w:val="BodyText"/>
              <w:rPr>
                <w:lang w:val="en-NZ"/>
              </w:rPr>
            </w:pPr>
            <w:r w:rsidRPr="00DD2FD0">
              <w:t>Measuring system operating parameters is conducted in strict accordance with OHS requirements and established safety procedures</w:t>
            </w:r>
          </w:p>
        </w:tc>
      </w:tr>
      <w:tr w:rsidTr="00DC158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D2FD0">
            <w:pPr>
              <w:pStyle w:val="BodyText"/>
              <w:rPr>
                <w:lang w:val="en-NZ"/>
              </w:rPr>
            </w:pPr>
            <w:r w:rsidRPr="00DD2FD0">
              <w:t>2.3</w:t>
            </w:r>
          </w:p>
        </w:tc>
        <w:tc>
          <w:tcPr>
            <w:tcW w:w="5339" w:type="dxa"/>
            <w:tcBorders>
              <w:top w:val="nil"/>
              <w:left w:val="nil"/>
              <w:bottom w:val="nil"/>
              <w:right w:val="nil"/>
            </w:tcBorders>
            <w:tcMar>
              <w:top w:w="0" w:type="dxa"/>
              <w:left w:w="62" w:type="dxa"/>
              <w:bottom w:w="0" w:type="dxa"/>
              <w:right w:w="62" w:type="dxa"/>
            </w:tcMar>
          </w:tcPr>
          <w:p w:rsidR="00000000" w:rsidP="00DD2FD0">
            <w:pPr>
              <w:pStyle w:val="BodyText"/>
              <w:rPr>
                <w:lang w:val="en-NZ"/>
              </w:rPr>
            </w:pPr>
            <w:r w:rsidRPr="00DD2FD0">
              <w:t>System is checked and isolated where necessary, in strict accordance OHS requirements and procedures</w:t>
            </w:r>
          </w:p>
        </w:tc>
      </w:tr>
      <w:tr w:rsidTr="00DC158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D2FD0">
            <w:pPr>
              <w:pStyle w:val="BodyText"/>
              <w:rPr>
                <w:lang w:val="en-NZ"/>
              </w:rPr>
            </w:pPr>
            <w:r w:rsidRPr="00DD2FD0">
              <w:t>2.4</w:t>
            </w:r>
          </w:p>
        </w:tc>
        <w:tc>
          <w:tcPr>
            <w:tcW w:w="5339" w:type="dxa"/>
            <w:tcBorders>
              <w:top w:val="nil"/>
              <w:left w:val="nil"/>
              <w:bottom w:val="nil"/>
              <w:right w:val="nil"/>
            </w:tcBorders>
            <w:tcMar>
              <w:top w:w="0" w:type="dxa"/>
              <w:left w:w="62" w:type="dxa"/>
              <w:bottom w:w="0" w:type="dxa"/>
              <w:right w:w="62" w:type="dxa"/>
            </w:tcMar>
          </w:tcPr>
          <w:p w:rsidR="00000000" w:rsidP="00DD2FD0">
            <w:pPr>
              <w:pStyle w:val="BodyText"/>
              <w:rPr>
                <w:lang w:val="en-NZ"/>
              </w:rPr>
            </w:pPr>
            <w:r w:rsidRPr="00DD2FD0">
              <w:t>Established procedures are used to determine actual and specified range of operating conditions from measured and calculated values as they apply to particular air conditioning systems</w:t>
            </w:r>
          </w:p>
        </w:tc>
      </w:tr>
      <w:tr w:rsidTr="00DC158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D2FD0">
            <w:pPr>
              <w:pStyle w:val="BodyText"/>
              <w:rPr>
                <w:lang w:val="en-NZ"/>
              </w:rPr>
            </w:pPr>
            <w:r w:rsidRPr="00DD2FD0">
              <w:t>2.5</w:t>
            </w:r>
          </w:p>
        </w:tc>
        <w:tc>
          <w:tcPr>
            <w:tcW w:w="5339" w:type="dxa"/>
            <w:tcBorders>
              <w:top w:val="nil"/>
              <w:left w:val="nil"/>
              <w:bottom w:val="nil"/>
              <w:right w:val="nil"/>
            </w:tcBorders>
            <w:tcMar>
              <w:top w:w="0" w:type="dxa"/>
              <w:left w:w="62" w:type="dxa"/>
              <w:bottom w:w="0" w:type="dxa"/>
              <w:right w:w="62" w:type="dxa"/>
            </w:tcMar>
          </w:tcPr>
          <w:p w:rsidR="00000000" w:rsidP="00DD2FD0">
            <w:pPr>
              <w:pStyle w:val="BodyText"/>
              <w:rPr>
                <w:lang w:val="en-NZ"/>
              </w:rPr>
            </w:pPr>
            <w:r w:rsidRPr="00DD2FD0">
              <w:t>Established methods for dealing with unexpected situations are d</w:t>
            </w:r>
            <w:r w:rsidRPr="00DD2FD0">
              <w:t>iscussed with appropriate person or persons and documented</w:t>
            </w:r>
          </w:p>
        </w:tc>
      </w:tr>
      <w:tr w:rsidTr="00DC158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D2FD0">
            <w:pPr>
              <w:pStyle w:val="BodyText"/>
              <w:rPr>
                <w:lang w:val="en-NZ"/>
              </w:rPr>
            </w:pPr>
            <w:r w:rsidRPr="00DD2FD0">
              <w:t>2.6</w:t>
            </w:r>
          </w:p>
        </w:tc>
        <w:tc>
          <w:tcPr>
            <w:tcW w:w="5339" w:type="dxa"/>
            <w:tcBorders>
              <w:top w:val="nil"/>
              <w:left w:val="nil"/>
              <w:bottom w:val="nil"/>
              <w:right w:val="nil"/>
            </w:tcBorders>
            <w:tcMar>
              <w:top w:w="0" w:type="dxa"/>
              <w:left w:w="62" w:type="dxa"/>
              <w:bottom w:w="0" w:type="dxa"/>
              <w:right w:w="62" w:type="dxa"/>
            </w:tcMar>
          </w:tcPr>
          <w:p w:rsidR="00000000" w:rsidP="00DD2FD0">
            <w:pPr>
              <w:pStyle w:val="BodyText"/>
              <w:rPr>
                <w:lang w:val="en-NZ"/>
              </w:rPr>
            </w:pPr>
            <w:r w:rsidRPr="00DD2FD0">
              <w:t>Unexpected situations are dealt with safely and with the approval of an authorised person</w:t>
            </w:r>
          </w:p>
        </w:tc>
      </w:tr>
      <w:tr w:rsidTr="00DC158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D2FD0">
            <w:pPr>
              <w:pStyle w:val="BodyText"/>
              <w:rPr>
                <w:lang w:val="en-NZ"/>
              </w:rPr>
            </w:pPr>
            <w:r w:rsidRPr="00DD2FD0">
              <w:t>2.7</w:t>
            </w:r>
          </w:p>
        </w:tc>
        <w:tc>
          <w:tcPr>
            <w:tcW w:w="5339" w:type="dxa"/>
            <w:tcBorders>
              <w:top w:val="nil"/>
              <w:left w:val="nil"/>
              <w:bottom w:val="nil"/>
              <w:right w:val="nil"/>
            </w:tcBorders>
            <w:tcMar>
              <w:top w:w="0" w:type="dxa"/>
              <w:left w:w="62" w:type="dxa"/>
              <w:bottom w:w="0" w:type="dxa"/>
              <w:right w:w="62" w:type="dxa"/>
            </w:tcMar>
          </w:tcPr>
          <w:p w:rsidR="00000000" w:rsidP="00DD2FD0">
            <w:pPr>
              <w:pStyle w:val="BodyText"/>
              <w:rPr>
                <w:lang w:val="en-NZ"/>
              </w:rPr>
            </w:pPr>
            <w:r w:rsidRPr="00DD2FD0">
              <w:t>Operating conditions are determined without damage to apparatus, circuits, the surrounding en</w:t>
            </w:r>
            <w:r w:rsidRPr="00DD2FD0">
              <w:t>vironment or services and using sustainable energy practices</w:t>
            </w:r>
          </w:p>
        </w:tc>
      </w:tr>
      <w:tr w:rsidTr="00DC158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D2FD0">
            <w:pPr>
              <w:pStyle w:val="BodyText"/>
              <w:rPr>
                <w:lang w:val="en-NZ"/>
              </w:rPr>
            </w:pPr>
            <w:r w:rsidRPr="00DD2FD0">
              <w:t>3</w:t>
            </w:r>
          </w:p>
        </w:tc>
        <w:tc>
          <w:tcPr>
            <w:tcW w:w="2006" w:type="dxa"/>
            <w:vMerge w:val="restart"/>
            <w:tcBorders>
              <w:top w:val="nil"/>
              <w:left w:val="nil"/>
              <w:bottom w:val="nil"/>
              <w:right w:val="nil"/>
            </w:tcBorders>
            <w:tcMar>
              <w:top w:w="0" w:type="dxa"/>
              <w:left w:w="62" w:type="dxa"/>
              <w:bottom w:w="0" w:type="dxa"/>
              <w:right w:w="62" w:type="dxa"/>
            </w:tcMar>
          </w:tcPr>
          <w:p w:rsidR="00000000" w:rsidP="00DD2FD0">
            <w:pPr>
              <w:pStyle w:val="BodyText"/>
              <w:rPr>
                <w:lang w:val="en-NZ"/>
              </w:rPr>
            </w:pPr>
            <w:r w:rsidRPr="00DD2FD0">
              <w:t>Complete work and report</w:t>
            </w:r>
          </w:p>
        </w:tc>
        <w:tc>
          <w:tcPr>
            <w:tcW w:w="900" w:type="dxa"/>
            <w:tcBorders>
              <w:top w:val="nil"/>
              <w:left w:val="nil"/>
              <w:bottom w:val="nil"/>
              <w:right w:val="nil"/>
            </w:tcBorders>
            <w:tcMar>
              <w:top w:w="0" w:type="dxa"/>
              <w:left w:w="62" w:type="dxa"/>
              <w:bottom w:w="0" w:type="dxa"/>
              <w:right w:w="62" w:type="dxa"/>
            </w:tcMar>
          </w:tcPr>
          <w:p w:rsidR="00000000" w:rsidP="00DD2FD0">
            <w:pPr>
              <w:pStyle w:val="BodyText"/>
              <w:rPr>
                <w:lang w:val="en-NZ"/>
              </w:rPr>
            </w:pPr>
            <w:r w:rsidRPr="00DD2FD0">
              <w:t>3.1</w:t>
            </w:r>
          </w:p>
        </w:tc>
        <w:tc>
          <w:tcPr>
            <w:tcW w:w="5339" w:type="dxa"/>
            <w:tcBorders>
              <w:top w:val="nil"/>
              <w:left w:val="nil"/>
              <w:bottom w:val="nil"/>
              <w:right w:val="nil"/>
            </w:tcBorders>
            <w:tcMar>
              <w:top w:w="0" w:type="dxa"/>
              <w:left w:w="62" w:type="dxa"/>
              <w:bottom w:w="0" w:type="dxa"/>
              <w:right w:w="62" w:type="dxa"/>
            </w:tcMar>
          </w:tcPr>
          <w:p w:rsidR="00000000" w:rsidP="00DD2FD0">
            <w:pPr>
              <w:pStyle w:val="BodyText"/>
              <w:rPr>
                <w:lang w:val="en-NZ"/>
              </w:rPr>
            </w:pPr>
            <w:r w:rsidRPr="00DD2FD0">
              <w:t>OHS work completion risk control measures and procedures are followed</w:t>
            </w:r>
          </w:p>
        </w:tc>
      </w:tr>
      <w:tr w:rsidTr="00DC158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0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D2FD0">
            <w:pPr>
              <w:pStyle w:val="BodyText"/>
              <w:rPr>
                <w:lang w:val="en-NZ"/>
              </w:rPr>
            </w:pPr>
            <w:r w:rsidRPr="00DD2FD0">
              <w:t>3.2</w:t>
            </w:r>
          </w:p>
        </w:tc>
        <w:tc>
          <w:tcPr>
            <w:tcW w:w="5339" w:type="dxa"/>
            <w:tcBorders>
              <w:top w:val="nil"/>
              <w:left w:val="nil"/>
              <w:bottom w:val="nil"/>
              <w:right w:val="nil"/>
            </w:tcBorders>
            <w:tcMar>
              <w:top w:w="0" w:type="dxa"/>
              <w:left w:w="62" w:type="dxa"/>
              <w:bottom w:w="0" w:type="dxa"/>
              <w:right w:w="62" w:type="dxa"/>
            </w:tcMar>
          </w:tcPr>
          <w:p w:rsidR="00000000" w:rsidP="00DD2FD0">
            <w:pPr>
              <w:pStyle w:val="BodyText"/>
              <w:rPr>
                <w:lang w:val="en-NZ"/>
              </w:rPr>
            </w:pPr>
            <w:r w:rsidRPr="00DD2FD0">
              <w:t xml:space="preserve">Work site and equipment is cleaned and made safe in accordance with established procedures </w:t>
            </w:r>
          </w:p>
        </w:tc>
      </w:tr>
      <w:tr w:rsidTr="00DC158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0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D2FD0">
            <w:pPr>
              <w:pStyle w:val="BodyText"/>
              <w:rPr>
                <w:lang w:val="en-NZ"/>
              </w:rPr>
            </w:pPr>
            <w:r w:rsidRPr="00DD2FD0">
              <w:t>3.3</w:t>
            </w:r>
          </w:p>
        </w:tc>
        <w:tc>
          <w:tcPr>
            <w:tcW w:w="5339" w:type="dxa"/>
            <w:tcBorders>
              <w:top w:val="nil"/>
              <w:left w:val="nil"/>
              <w:bottom w:val="nil"/>
              <w:right w:val="nil"/>
            </w:tcBorders>
            <w:tcMar>
              <w:top w:w="0" w:type="dxa"/>
              <w:left w:w="62" w:type="dxa"/>
              <w:bottom w:w="0" w:type="dxa"/>
              <w:right w:w="62" w:type="dxa"/>
            </w:tcMar>
          </w:tcPr>
          <w:p w:rsidR="00000000" w:rsidP="00DD2FD0">
            <w:pPr>
              <w:pStyle w:val="BodyText"/>
              <w:rPr>
                <w:lang w:val="en-NZ"/>
              </w:rPr>
            </w:pPr>
            <w:r w:rsidRPr="00DD2FD0">
              <w:t>Operation conditions are documented, including identification of any parameter that is not within the specified range for the system</w:t>
            </w:r>
          </w:p>
        </w:tc>
      </w:tr>
      <w:tr w:rsidTr="00DC158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D2FD0">
            <w:pPr>
              <w:pStyle w:val="BodyText"/>
              <w:rPr>
                <w:lang w:val="en-NZ"/>
              </w:rPr>
            </w:pPr>
            <w:r w:rsidRPr="00DD2FD0">
              <w:t>3.4</w:t>
            </w:r>
          </w:p>
        </w:tc>
        <w:tc>
          <w:tcPr>
            <w:tcW w:w="5339" w:type="dxa"/>
            <w:tcBorders>
              <w:top w:val="nil"/>
              <w:left w:val="nil"/>
              <w:bottom w:val="nil"/>
              <w:right w:val="nil"/>
            </w:tcBorders>
            <w:tcMar>
              <w:top w:w="0" w:type="dxa"/>
              <w:left w:w="62" w:type="dxa"/>
              <w:bottom w:w="0" w:type="dxa"/>
              <w:right w:w="62" w:type="dxa"/>
            </w:tcMar>
          </w:tcPr>
          <w:p w:rsidR="00000000" w:rsidRPr="00DD2FD0" w:rsidP="00DD2FD0">
            <w:pPr>
              <w:pStyle w:val="BodyText"/>
            </w:pPr>
            <w:r w:rsidRPr="00DD2FD0">
              <w:t>Work supervisor is notified of the completion of the work in accordance with established procedures</w:t>
            </w:r>
          </w:p>
        </w:tc>
      </w:tr>
    </w:tbl>
    <w:p w:rsidR="00DC158B" w:rsidP="00DD2FD0">
      <w:pPr>
        <w:pStyle w:val="BodyText"/>
      </w:pPr>
    </w:p>
    <w:p w:rsidR="00DC158B" w:rsidP="00DD2FD0">
      <w:pPr>
        <w:pStyle w:val="BodyText"/>
      </w:pPr>
    </w:p>
    <w:p w:rsidR="00000000" w:rsidRPr="00DD2FD0" w:rsidP="00DD2FD0">
      <w:pPr>
        <w:pStyle w:val="Heading1"/>
      </w:pPr>
      <w:bookmarkStart w:id="9" w:name="O_589349"/>
      <w:bookmarkEnd w:id="9"/>
      <w:r w:rsidRPr="00DD2FD0">
        <w:t>Required Skills and Knowledge</w:t>
      </w:r>
    </w:p>
    <w:tbl>
      <w:tblPr>
        <w:tblW w:w="0" w:type="auto"/>
        <w:tblLayout w:type="fixed"/>
        <w:tblCellMar>
          <w:left w:w="62" w:type="dxa"/>
          <w:right w:w="62" w:type="dxa"/>
        </w:tblCellMar>
        <w:tblLook w:val="0000"/>
      </w:tblPr>
      <w:tblGrid>
        <w:gridCol w:w="8649"/>
      </w:tblGrid>
      <w:tr w:rsidTr="00DC158B">
        <w:tblPrEx>
          <w:tblW w:w="0" w:type="auto"/>
          <w:tblLayout w:type="fixed"/>
          <w:tblCellMar>
            <w:left w:w="62" w:type="dxa"/>
            <w:right w:w="62" w:type="dxa"/>
          </w:tblCellMar>
          <w:tblLook w:val="0000"/>
        </w:tblPrEx>
        <w:trPr>
          <w:tblHeader/>
        </w:trPr>
        <w:tc>
          <w:tcPr>
            <w:tcW w:w="8649" w:type="dxa"/>
            <w:tcBorders>
              <w:top w:val="nil"/>
              <w:left w:val="nil"/>
              <w:bottom w:val="nil"/>
              <w:right w:val="nil"/>
            </w:tcBorders>
            <w:tcMar>
              <w:top w:w="0" w:type="dxa"/>
              <w:left w:w="62" w:type="dxa"/>
              <w:bottom w:w="0" w:type="dxa"/>
              <w:right w:w="62" w:type="dxa"/>
            </w:tcMar>
          </w:tcPr>
          <w:p w:rsidR="00000000" w:rsidP="00DD2FD0">
            <w:pPr>
              <w:pStyle w:val="BodyText"/>
              <w:rPr>
                <w:lang w:val="en-NZ"/>
              </w:rPr>
            </w:pPr>
            <w:r w:rsidRPr="00DD2FD0">
              <w:rPr>
                <w:rStyle w:val="SpecialBold"/>
              </w:rPr>
              <w:t>REQUIRED SKILLS AND KNOWLEDGE</w:t>
            </w:r>
          </w:p>
        </w:tc>
      </w:tr>
      <w:tr w:rsidTr="00DC158B">
        <w:tblPrEx>
          <w:tblW w:w="0" w:type="auto"/>
          <w:tblLayout w:type="fixed"/>
          <w:tblCellMar>
            <w:left w:w="62" w:type="dxa"/>
            <w:right w:w="62" w:type="dxa"/>
          </w:tblCellMar>
          <w:tblLook w:val="0000"/>
        </w:tblPrEx>
        <w:tc>
          <w:tcPr>
            <w:tcW w:w="8649" w:type="dxa"/>
            <w:tcBorders>
              <w:top w:val="nil"/>
              <w:left w:val="nil"/>
              <w:bottom w:val="nil"/>
              <w:right w:val="nil"/>
            </w:tcBorders>
            <w:tcMar>
              <w:top w:w="0" w:type="dxa"/>
              <w:left w:w="62" w:type="dxa"/>
              <w:bottom w:w="0" w:type="dxa"/>
              <w:right w:w="62" w:type="dxa"/>
            </w:tcMar>
          </w:tcPr>
          <w:p w:rsidR="00000000" w:rsidP="00DD2FD0">
            <w:pPr>
              <w:pStyle w:val="BodyText"/>
              <w:rPr>
                <w:lang w:val="en-NZ"/>
              </w:rPr>
            </w:pPr>
            <w:r w:rsidRPr="00DD2FD0">
              <w:rPr>
                <w:rStyle w:val="SpecialBold"/>
              </w:rPr>
              <w:t>7)</w:t>
            </w:r>
            <w:r w:rsidRPr="00DD2FD0">
              <w:t xml:space="preserve"> This describes the essential skills and knowledge and their level, requi</w:t>
            </w:r>
            <w:r w:rsidRPr="00DD2FD0">
              <w:t>red for this unit.</w:t>
            </w:r>
          </w:p>
        </w:tc>
      </w:tr>
      <w:tr w:rsidTr="00DC158B">
        <w:tblPrEx>
          <w:tblW w:w="0" w:type="auto"/>
          <w:tblLayout w:type="fixed"/>
          <w:tblCellMar>
            <w:left w:w="62" w:type="dxa"/>
            <w:right w:w="62" w:type="dxa"/>
          </w:tblCellMar>
          <w:tblLook w:val="0000"/>
        </w:tblPrEx>
        <w:tc>
          <w:tcPr>
            <w:tcW w:w="8649" w:type="dxa"/>
            <w:tcBorders>
              <w:top w:val="nil"/>
              <w:left w:val="nil"/>
              <w:bottom w:val="nil"/>
              <w:right w:val="nil"/>
            </w:tcBorders>
            <w:tcMar>
              <w:top w:w="0" w:type="dxa"/>
              <w:left w:w="62" w:type="dxa"/>
              <w:bottom w:w="0" w:type="dxa"/>
              <w:right w:w="62" w:type="dxa"/>
            </w:tcMar>
          </w:tcPr>
          <w:p w:rsidR="00000000" w:rsidRPr="00DD2FD0" w:rsidP="00DD2FD0">
            <w:pPr>
              <w:pStyle w:val="BodyText"/>
            </w:pPr>
            <w:r w:rsidRPr="00DD2FD0">
              <w:t>Evidence shall show that knowledge has been acquired of safe working practices and determining the basic operating conditions of air conditioning systems.</w:t>
            </w:r>
          </w:p>
          <w:p w:rsidR="00000000" w:rsidRPr="00DD2FD0" w:rsidP="00DD2FD0">
            <w:pPr>
              <w:pStyle w:val="BodyText"/>
            </w:pPr>
            <w:r w:rsidRPr="00DD2FD0">
              <w:t>All knowledge and skills detailed in this unit should be contextualised to current industry practices and technologies.</w:t>
            </w:r>
          </w:p>
          <w:p w:rsidR="00000000" w:rsidRPr="00DD2FD0" w:rsidP="00DD2FD0">
            <w:pPr>
              <w:pStyle w:val="BodyText"/>
            </w:pPr>
            <w:r w:rsidRPr="00DD2FD0">
              <w:rPr>
                <w:rStyle w:val="SpecialBold"/>
              </w:rPr>
              <w:t>KS01-EJ104A</w:t>
            </w:r>
            <w:r w:rsidRPr="00DD2FD0">
              <w:rPr>
                <w:rStyle w:val="SpecialBold"/>
              </w:rPr>
              <w:tab/>
              <w:t xml:space="preserve">               Basic air conditioning operating conditions </w:t>
            </w:r>
          </w:p>
          <w:p w:rsidR="00000000" w:rsidRPr="00DD2FD0" w:rsidP="00DD2FD0">
            <w:pPr>
              <w:pStyle w:val="BodyText"/>
            </w:pPr>
            <w:r w:rsidRPr="00DD2FD0">
              <w:t>Evidence shall show an understanding of basic air conditioning o</w:t>
            </w:r>
            <w:r w:rsidRPr="00DD2FD0">
              <w:t>perating conditions, applying safe working practices and relevant Standards, Codes and Regulations to an extent indicated by the following aspects:</w:t>
            </w:r>
          </w:p>
          <w:p w:rsidR="00000000" w:rsidRPr="00DD2FD0" w:rsidP="00DD2FD0">
            <w:pPr>
              <w:pStyle w:val="BodyText"/>
            </w:pPr>
            <w:r w:rsidRPr="00DD2FD0">
              <w:t>T1</w:t>
            </w:r>
            <w:r w:rsidRPr="00DD2FD0">
              <w:tab/>
              <w:t>The Air Conditioning Industry</w:t>
            </w:r>
          </w:p>
          <w:p w:rsidR="00000000" w:rsidRPr="00DD2FD0" w:rsidP="00DD2FD0">
            <w:pPr>
              <w:pStyle w:val="ListBullet"/>
            </w:pPr>
            <w:r w:rsidRPr="00DD2FD0">
              <w:t>Industry classifications (Domestic, Commercial, Industrial and Transport)</w:t>
            </w:r>
          </w:p>
          <w:p w:rsidR="00000000" w:rsidRPr="00DD2FD0" w:rsidP="00DD2FD0">
            <w:pPr>
              <w:pStyle w:val="ListBullet"/>
            </w:pPr>
            <w:r w:rsidRPr="00DD2FD0">
              <w:t>Applications (shopping centres, housing, offices) and typical equipment used in each classification (split systems, central plant, chemical production etc)</w:t>
            </w:r>
          </w:p>
          <w:p w:rsidR="00000000" w:rsidRPr="00DD2FD0" w:rsidP="00DD2FD0">
            <w:pPr>
              <w:pStyle w:val="ListBullet"/>
            </w:pPr>
            <w:r w:rsidRPr="00DD2FD0">
              <w:t xml:space="preserve">Types of systems commonly used such as self-contained units (RAC’s), split systems, ducted systems, </w:t>
            </w:r>
            <w:r w:rsidRPr="00DD2FD0">
              <w:t xml:space="preserve">package units and central plant systems. </w:t>
            </w:r>
          </w:p>
          <w:p w:rsidR="00000000" w:rsidRPr="00DD2FD0" w:rsidP="00DD2FD0">
            <w:pPr>
              <w:pStyle w:val="BodyText"/>
            </w:pPr>
            <w:r w:rsidRPr="00DD2FD0">
              <w:t>T2</w:t>
            </w:r>
            <w:r w:rsidRPr="00DD2FD0">
              <w:tab/>
              <w:t>Working safely with air conditioning systems</w:t>
            </w:r>
          </w:p>
          <w:p w:rsidR="00000000" w:rsidRPr="00DD2FD0" w:rsidP="00DD2FD0">
            <w:pPr>
              <w:pStyle w:val="ListBullet"/>
            </w:pPr>
            <w:r w:rsidRPr="00DD2FD0">
              <w:t>Risk management principles and processes</w:t>
            </w:r>
          </w:p>
          <w:p w:rsidR="00000000" w:rsidRPr="00DD2FD0" w:rsidP="00DD2FD0">
            <w:pPr>
              <w:pStyle w:val="ListBullet"/>
            </w:pPr>
            <w:r w:rsidRPr="00DD2FD0">
              <w:t>Hazards and risk control measures associated with:</w:t>
            </w:r>
          </w:p>
          <w:p w:rsidR="00000000" w:rsidRPr="00DD2FD0" w:rsidP="00DD2FD0">
            <w:pPr>
              <w:pStyle w:val="ListBullet2"/>
            </w:pPr>
            <w:r w:rsidRPr="00DD2FD0">
              <w:t>air conditioning systems and components</w:t>
            </w:r>
          </w:p>
          <w:p w:rsidR="00000000" w:rsidRPr="00DD2FD0" w:rsidP="00DD2FD0">
            <w:pPr>
              <w:pStyle w:val="ListBullet2"/>
            </w:pPr>
            <w:r w:rsidRPr="00DD2FD0">
              <w:t>measuring and testing equipment</w:t>
            </w:r>
          </w:p>
          <w:p w:rsidR="00000000" w:rsidRPr="00DD2FD0" w:rsidP="00DD2FD0">
            <w:pPr>
              <w:pStyle w:val="BodyText"/>
            </w:pPr>
            <w:r w:rsidRPr="00DD2FD0">
              <w:t>T3</w:t>
            </w:r>
            <w:r w:rsidRPr="00DD2FD0">
              <w:tab/>
              <w:t>Temperature &amp; relative humidity measuring devices</w:t>
            </w:r>
          </w:p>
          <w:p w:rsidR="00000000" w:rsidRPr="00DD2FD0" w:rsidP="00DD2FD0">
            <w:pPr>
              <w:pStyle w:val="ListBullet"/>
            </w:pPr>
            <w:r w:rsidRPr="00DD2FD0">
              <w:t>Thermometer types and applications (digital, stem, dial, max/min, non-contact, data loggers)</w:t>
            </w:r>
          </w:p>
          <w:p w:rsidR="00000000" w:rsidRPr="00DD2FD0" w:rsidP="00DD2FD0">
            <w:pPr>
              <w:pStyle w:val="ListBullet"/>
            </w:pPr>
            <w:r w:rsidRPr="00DD2FD0">
              <w:t>Relative Humidity measurement devices and applications (dry bulb/wet bulb, sling, digital)</w:t>
            </w:r>
          </w:p>
          <w:p w:rsidR="00000000" w:rsidRPr="00DD2FD0" w:rsidP="00DD2FD0">
            <w:pPr>
              <w:pStyle w:val="ListBullet"/>
            </w:pPr>
            <w:r w:rsidRPr="00DD2FD0">
              <w:t>Hazards and relate</w:t>
            </w:r>
            <w:r w:rsidRPr="00DD2FD0">
              <w:t>d safe working practices (working near rotating machinery - fans, pulleys, belts etc)</w:t>
            </w:r>
          </w:p>
          <w:p w:rsidR="00000000" w:rsidRPr="00DD2FD0" w:rsidP="00DD2FD0">
            <w:pPr>
              <w:pStyle w:val="ListBullet"/>
            </w:pPr>
            <w:r w:rsidRPr="00DD2FD0">
              <w:t>Care and maintenance (bending stems, overheating, removing batteries after use, uncoiling capillary line)</w:t>
            </w:r>
          </w:p>
          <w:p w:rsidR="00000000" w:rsidRPr="00DD2FD0" w:rsidP="00DD2FD0">
            <w:pPr>
              <w:pStyle w:val="ListBullet"/>
            </w:pPr>
            <w:r w:rsidRPr="00DD2FD0">
              <w:t>Calibration (boiling water, iced water, send to a specialist etc</w:t>
            </w:r>
            <w:r w:rsidRPr="00DD2FD0">
              <w:t>)</w:t>
            </w:r>
          </w:p>
          <w:p w:rsidR="00000000" w:rsidRPr="00DD2FD0" w:rsidP="00DD2FD0">
            <w:pPr>
              <w:pStyle w:val="ListBullet"/>
            </w:pPr>
            <w:r w:rsidRPr="00DD2FD0">
              <w:t>Typical locations where values are commonly obtained (temp, RH %)</w:t>
            </w:r>
          </w:p>
          <w:p w:rsidR="00000000" w:rsidRPr="00DD2FD0" w:rsidP="00DD2FD0">
            <w:pPr>
              <w:pStyle w:val="ListBullet"/>
            </w:pPr>
            <w:r w:rsidRPr="00DD2FD0">
              <w:t>Obtaining temperature and relative humidity readings</w:t>
            </w:r>
          </w:p>
          <w:p w:rsidR="00000000" w:rsidRPr="00DD2FD0" w:rsidP="00DD2FD0">
            <w:pPr>
              <w:pStyle w:val="ListBullet"/>
            </w:pPr>
            <w:r w:rsidRPr="00DD2FD0">
              <w:t xml:space="preserve">Recording temperature and relative humidity readings (using DB/WB method and/or </w:t>
            </w:r>
            <w:r w:rsidRPr="00DD2FD0">
              <w:t>electronic)</w:t>
            </w:r>
          </w:p>
          <w:p w:rsidR="00000000" w:rsidRPr="00DD2FD0" w:rsidP="00DD2FD0">
            <w:pPr>
              <w:pStyle w:val="BodyText"/>
            </w:pPr>
            <w:r w:rsidRPr="00DD2FD0">
              <w:t>T4</w:t>
            </w:r>
            <w:r w:rsidRPr="00DD2FD0">
              <w:tab/>
              <w:t>Air velocity measuring devices (Anemomet</w:t>
            </w:r>
            <w:r w:rsidRPr="00DD2FD0">
              <w:t>ers only)</w:t>
            </w:r>
          </w:p>
          <w:p w:rsidR="00000000" w:rsidRPr="00DD2FD0" w:rsidP="00DD2FD0">
            <w:pPr>
              <w:pStyle w:val="ListBullet"/>
            </w:pPr>
            <w:r w:rsidRPr="00DD2FD0">
              <w:t>Anemometer types (digital vane, hot wire)</w:t>
            </w:r>
          </w:p>
          <w:p w:rsidR="00000000" w:rsidRPr="00DD2FD0" w:rsidP="00DD2FD0">
            <w:pPr>
              <w:pStyle w:val="ListBullet"/>
            </w:pPr>
            <w:r w:rsidRPr="00DD2FD0">
              <w:t>Typical applications for each</w:t>
            </w:r>
          </w:p>
          <w:p w:rsidR="00000000" w:rsidRPr="00DD2FD0" w:rsidP="00DD2FD0">
            <w:pPr>
              <w:pStyle w:val="ListBullet"/>
            </w:pPr>
            <w:r w:rsidRPr="00DD2FD0">
              <w:t>Air speed (velocity and its units of measurement)</w:t>
            </w:r>
          </w:p>
          <w:p w:rsidR="00000000" w:rsidRPr="00DD2FD0" w:rsidP="00DD2FD0">
            <w:pPr>
              <w:pStyle w:val="ListBullet"/>
            </w:pPr>
            <w:r w:rsidRPr="00DD2FD0">
              <w:t>Air flow rate (volume flow rate and its units of measurement)</w:t>
            </w:r>
          </w:p>
          <w:p w:rsidR="00000000" w:rsidRPr="00DD2FD0" w:rsidP="00DD2FD0">
            <w:pPr>
              <w:pStyle w:val="ListBullet"/>
            </w:pPr>
            <w:r w:rsidRPr="00DD2FD0">
              <w:t>Methods for setting up and using anemometers (hood, patch, sweep)</w:t>
            </w:r>
          </w:p>
          <w:p w:rsidR="00000000" w:rsidRPr="00DD2FD0" w:rsidP="00DD2FD0">
            <w:pPr>
              <w:pStyle w:val="ListBullet"/>
            </w:pPr>
            <w:r w:rsidRPr="00DD2FD0">
              <w:t>Hazards &amp; safe working practices (working near rotating machinery - fans, pulleys, belts / working at height)</w:t>
            </w:r>
          </w:p>
          <w:p w:rsidR="00000000" w:rsidRPr="00DD2FD0" w:rsidP="00DD2FD0">
            <w:pPr>
              <w:pStyle w:val="ListBullet"/>
            </w:pPr>
            <w:r w:rsidRPr="00DD2FD0">
              <w:t>Care and maintenance (maintaining vane balance (bent blades), removing batteries</w:t>
            </w:r>
            <w:r w:rsidRPr="00DD2FD0">
              <w:t xml:space="preserve"> after use etc)</w:t>
            </w:r>
          </w:p>
          <w:p w:rsidR="00000000" w:rsidRPr="00DD2FD0" w:rsidP="00DD2FD0">
            <w:pPr>
              <w:pStyle w:val="ListBullet"/>
            </w:pPr>
            <w:r w:rsidRPr="00DD2FD0">
              <w:t>Calibration requirements (by specialists)</w:t>
            </w:r>
          </w:p>
          <w:p w:rsidR="00000000" w:rsidRPr="00DD2FD0" w:rsidP="00DD2FD0">
            <w:pPr>
              <w:pStyle w:val="ListBullet"/>
            </w:pPr>
            <w:r w:rsidRPr="00DD2FD0">
              <w:t>Typical locations where air velocity measurements values are commonly obtained (grilles and outlets etc)</w:t>
            </w:r>
          </w:p>
          <w:p w:rsidR="00000000" w:rsidRPr="00DD2FD0" w:rsidP="00DD2FD0">
            <w:pPr>
              <w:pStyle w:val="ListBullet"/>
            </w:pPr>
            <w:r w:rsidRPr="00DD2FD0">
              <w:t>Obtaining and recording air velocity readings (using the patch method and/or sweep method)</w:t>
            </w:r>
          </w:p>
          <w:p w:rsidR="00000000" w:rsidRPr="00DD2FD0" w:rsidP="00DD2FD0">
            <w:pPr>
              <w:pStyle w:val="ListBullet"/>
            </w:pPr>
            <w:r w:rsidRPr="00DD2FD0">
              <w:t>Ca</w:t>
            </w:r>
            <w:r w:rsidRPr="00DD2FD0">
              <w:t>lculating volume flow rate from an outlet/grille</w:t>
            </w:r>
          </w:p>
          <w:p w:rsidR="00000000" w:rsidRPr="00DD2FD0" w:rsidP="00DD2FD0">
            <w:pPr>
              <w:pStyle w:val="BodyText"/>
            </w:pPr>
            <w:r w:rsidRPr="00DD2FD0">
              <w:t>T5</w:t>
            </w:r>
            <w:r w:rsidRPr="00DD2FD0">
              <w:tab/>
              <w:t>Psychrometrics</w:t>
            </w:r>
          </w:p>
          <w:p w:rsidR="00000000" w:rsidRPr="00DD2FD0" w:rsidP="00DD2FD0">
            <w:pPr>
              <w:pStyle w:val="ListBullet"/>
            </w:pPr>
            <w:r w:rsidRPr="00DD2FD0">
              <w:t>Composition of air</w:t>
            </w:r>
          </w:p>
          <w:p w:rsidR="00000000" w:rsidRPr="00DD2FD0" w:rsidP="00DD2FD0">
            <w:pPr>
              <w:pStyle w:val="ListBullet"/>
            </w:pPr>
            <w:r w:rsidRPr="00DD2FD0">
              <w:t xml:space="preserve">Psychrometric chart </w:t>
            </w:r>
          </w:p>
          <w:p w:rsidR="00000000" w:rsidRPr="00DD2FD0" w:rsidP="00DD2FD0">
            <w:pPr>
              <w:pStyle w:val="ListBullet"/>
            </w:pPr>
            <w:r w:rsidRPr="00DD2FD0">
              <w:t>Terms used in the study of air (and their units of measurement) (DB, WB, RH%, dew point, enthalpy, moisture content)</w:t>
            </w:r>
          </w:p>
          <w:p w:rsidR="00000000" w:rsidRPr="00DD2FD0" w:rsidP="00DD2FD0">
            <w:pPr>
              <w:pStyle w:val="ListBullet"/>
            </w:pPr>
            <w:r w:rsidRPr="00DD2FD0">
              <w:t xml:space="preserve">Sensible heat, latent heat and </w:t>
            </w:r>
            <w:r w:rsidRPr="00DD2FD0">
              <w:t>total heat</w:t>
            </w:r>
          </w:p>
          <w:p w:rsidR="00000000" w:rsidRPr="00DD2FD0" w:rsidP="00DD2FD0">
            <w:pPr>
              <w:pStyle w:val="ListBullet"/>
            </w:pPr>
            <w:r w:rsidRPr="00DD2FD0">
              <w:t>Sensible heat ratio</w:t>
            </w:r>
          </w:p>
          <w:p w:rsidR="00000000" w:rsidRPr="00DD2FD0" w:rsidP="00DD2FD0">
            <w:pPr>
              <w:pStyle w:val="ListBullet"/>
            </w:pPr>
            <w:r w:rsidRPr="00DD2FD0">
              <w:t>Plotting basic points on a chart (supply air, return air)</w:t>
            </w:r>
          </w:p>
          <w:p w:rsidR="00000000" w:rsidRPr="00DD2FD0" w:rsidP="00DD2FD0">
            <w:pPr>
              <w:pStyle w:val="ListBullet"/>
            </w:pPr>
            <w:r w:rsidRPr="00DD2FD0">
              <w:t>Reading additional information (dew point, moisture content, RH%, specific heat capacity, enthalpy)</w:t>
            </w:r>
          </w:p>
          <w:p w:rsidR="00000000" w:rsidRPr="00DD2FD0" w:rsidP="00DD2FD0">
            <w:pPr>
              <w:pStyle w:val="ListBullet"/>
            </w:pPr>
            <w:r w:rsidRPr="00DD2FD0">
              <w:t xml:space="preserve">Values relevant to a plotted process and plotting a simple process </w:t>
            </w:r>
            <w:r w:rsidRPr="00DD2FD0">
              <w:t>on a psychrometric chart</w:t>
            </w:r>
          </w:p>
          <w:p w:rsidR="00000000" w:rsidRPr="00DD2FD0" w:rsidP="00DD2FD0">
            <w:pPr>
              <w:pStyle w:val="BodyText"/>
            </w:pPr>
            <w:r w:rsidRPr="00DD2FD0">
              <w:t>T6</w:t>
            </w:r>
            <w:r w:rsidRPr="00DD2FD0">
              <w:tab/>
              <w:t>Basic air conditioning processes</w:t>
            </w:r>
          </w:p>
          <w:p w:rsidR="00000000" w:rsidRPr="00DD2FD0" w:rsidP="00DD2FD0">
            <w:pPr>
              <w:pStyle w:val="ListBullet"/>
            </w:pPr>
            <w:r w:rsidRPr="00DD2FD0">
              <w:t>Factors effecting human comfort (temp, RH%, air velocity, noise, cleanliness, fresh air)</w:t>
            </w:r>
          </w:p>
          <w:p w:rsidR="00000000" w:rsidRPr="00DD2FD0" w:rsidP="00DD2FD0">
            <w:pPr>
              <w:pStyle w:val="ListBullet"/>
            </w:pPr>
            <w:r w:rsidRPr="00DD2FD0">
              <w:t>Industry recognised human comfort conditions</w:t>
            </w:r>
          </w:p>
          <w:p w:rsidR="00000000" w:rsidRPr="00DD2FD0" w:rsidP="00DD2FD0">
            <w:pPr>
              <w:pStyle w:val="ListBullet"/>
            </w:pPr>
            <w:r w:rsidRPr="00DD2FD0">
              <w:t>The comfort zone</w:t>
            </w:r>
          </w:p>
          <w:p w:rsidR="00000000" w:rsidRPr="00DD2FD0" w:rsidP="00DD2FD0">
            <w:pPr>
              <w:pStyle w:val="ListBullet"/>
            </w:pPr>
            <w:r w:rsidRPr="00DD2FD0">
              <w:t>Basic processes used to obtain comfort conditions (sensible cooling, dehumidifying, humidifying etc)</w:t>
            </w:r>
          </w:p>
          <w:p w:rsidR="00000000" w:rsidRPr="00DD2FD0" w:rsidP="00DD2FD0">
            <w:pPr>
              <w:pStyle w:val="BodyText"/>
            </w:pPr>
            <w:r w:rsidRPr="00DD2FD0">
              <w:t>T7</w:t>
            </w:r>
            <w:r w:rsidRPr="00DD2FD0">
              <w:tab/>
              <w:t>Ventilation</w:t>
            </w:r>
          </w:p>
          <w:p w:rsidR="00000000" w:rsidRPr="00DD2FD0" w:rsidP="00DD2FD0">
            <w:pPr>
              <w:pStyle w:val="ListBullet"/>
            </w:pPr>
            <w:r w:rsidRPr="00DD2FD0">
              <w:t>Basic needs for ventilation (removal of stale air, removal of toxic gases e.g. car parks, welding bays etc)</w:t>
            </w:r>
          </w:p>
          <w:p w:rsidR="00000000" w:rsidRPr="00DD2FD0" w:rsidP="00DD2FD0">
            <w:pPr>
              <w:pStyle w:val="ListBullet"/>
            </w:pPr>
            <w:r w:rsidRPr="00DD2FD0">
              <w:t>Methods used to ventilate an ar</w:t>
            </w:r>
            <w:r w:rsidRPr="00DD2FD0">
              <w:t>ea (natural, supply, exhaust)</w:t>
            </w:r>
          </w:p>
          <w:p w:rsidR="00000000" w:rsidRPr="00DD2FD0" w:rsidP="00DD2FD0">
            <w:pPr>
              <w:pStyle w:val="ListBullet"/>
            </w:pPr>
            <w:r w:rsidRPr="00DD2FD0">
              <w:t>Typical applications for ventilation systems (car parks, kitchens, toilets etc)</w:t>
            </w:r>
          </w:p>
          <w:p w:rsidR="00000000" w:rsidRPr="00DD2FD0" w:rsidP="00DD2FD0">
            <w:pPr>
              <w:pStyle w:val="BodyText"/>
            </w:pPr>
            <w:r w:rsidRPr="00DD2FD0">
              <w:t>T8</w:t>
            </w:r>
            <w:r w:rsidRPr="00DD2FD0">
              <w:tab/>
              <w:t>Regulations</w:t>
            </w:r>
          </w:p>
          <w:p w:rsidR="00000000" w:rsidRPr="00DD2FD0" w:rsidP="00DD2FD0">
            <w:pPr>
              <w:pStyle w:val="ListBullet"/>
            </w:pPr>
            <w:r w:rsidRPr="00DD2FD0">
              <w:t>Covering ventilation (AS1668 parts 1 &amp; 2)</w:t>
            </w:r>
          </w:p>
          <w:p w:rsidR="00000000" w:rsidRPr="00DD2FD0" w:rsidP="00DD2FD0">
            <w:pPr>
              <w:pStyle w:val="ListBullet"/>
            </w:pPr>
            <w:r w:rsidRPr="00DD2FD0">
              <w:t>Common council requirements/regulations (no DA required, noise levels not exceeding 5dBA</w:t>
            </w:r>
            <w:r w:rsidRPr="00DD2FD0">
              <w:t xml:space="preserve"> above background, fresh air in residential situations etc)</w:t>
            </w:r>
          </w:p>
          <w:p w:rsidR="00000000" w:rsidRPr="00DD2FD0" w:rsidP="00DD2FD0">
            <w:pPr>
              <w:pStyle w:val="ListBullet"/>
            </w:pPr>
            <w:r w:rsidRPr="00DD2FD0">
              <w:t>Fresh air requirements for typical situations (calculate using floor area method and air change method)</w:t>
            </w:r>
          </w:p>
          <w:p w:rsidR="00000000" w:rsidRPr="00DD2FD0" w:rsidP="00DD2FD0">
            <w:pPr>
              <w:pStyle w:val="BodyText"/>
            </w:pPr>
            <w:r w:rsidRPr="00DD2FD0">
              <w:t>T9</w:t>
            </w:r>
            <w:r w:rsidRPr="00DD2FD0">
              <w:tab/>
              <w:t>Heat loads</w:t>
            </w:r>
          </w:p>
          <w:p w:rsidR="00000000" w:rsidRPr="00DD2FD0" w:rsidP="00DD2FD0">
            <w:pPr>
              <w:pStyle w:val="ListBullet"/>
            </w:pPr>
            <w:r w:rsidRPr="00DD2FD0">
              <w:t>Sources of sensible heat in an air conditioned space</w:t>
            </w:r>
          </w:p>
          <w:p w:rsidR="00000000" w:rsidRPr="00DD2FD0" w:rsidP="00DD2FD0">
            <w:pPr>
              <w:pStyle w:val="ListBullet"/>
            </w:pPr>
            <w:r w:rsidRPr="00DD2FD0">
              <w:t>Sources of latent heat i</w:t>
            </w:r>
            <w:r w:rsidRPr="00DD2FD0">
              <w:t>n an air conditioned space</w:t>
            </w:r>
          </w:p>
          <w:p w:rsidR="00000000" w:rsidRPr="00DD2FD0" w:rsidP="00DD2FD0">
            <w:pPr>
              <w:pStyle w:val="ListBullet"/>
            </w:pPr>
            <w:r w:rsidRPr="00DD2FD0">
              <w:t>Changes in sensible/latent ratios and their effect on operating system capacity</w:t>
            </w:r>
          </w:p>
          <w:p w:rsidR="00000000" w:rsidRPr="00DD2FD0" w:rsidP="00DD2FD0">
            <w:pPr>
              <w:pStyle w:val="ListBullet"/>
            </w:pPr>
            <w:r w:rsidRPr="00DD2FD0">
              <w:t>Industry check figures</w:t>
            </w:r>
          </w:p>
          <w:p w:rsidR="00000000" w:rsidRPr="00DD2FD0" w:rsidP="00DD2FD0">
            <w:pPr>
              <w:pStyle w:val="ListBullet"/>
            </w:pPr>
            <w:r w:rsidRPr="00DD2FD0">
              <w:t>Basic room heat load calculation using check figures</w:t>
            </w:r>
          </w:p>
          <w:p w:rsidR="00000000" w:rsidRPr="00DD2FD0" w:rsidP="00DD2FD0">
            <w:pPr>
              <w:pStyle w:val="ListBullet"/>
            </w:pPr>
            <w:r w:rsidRPr="00DD2FD0">
              <w:t>Basic RAC/split system unit selection</w:t>
            </w:r>
          </w:p>
        </w:tc>
      </w:tr>
    </w:tbl>
    <w:p w:rsidR="00DC158B" w:rsidP="00DD2FD0">
      <w:pPr>
        <w:pStyle w:val="BodyText"/>
      </w:pPr>
    </w:p>
    <w:p w:rsidR="00DC158B" w:rsidP="00DD2FD0">
      <w:pPr>
        <w:pStyle w:val="BodyText"/>
      </w:pPr>
    </w:p>
    <w:p w:rsidR="00000000" w:rsidRPr="00DD2FD0" w:rsidP="00DD2FD0">
      <w:pPr>
        <w:pStyle w:val="Heading1"/>
      </w:pPr>
      <w:bookmarkStart w:id="10" w:name="O_589348"/>
      <w:bookmarkEnd w:id="10"/>
      <w:r w:rsidRPr="00DD2FD0">
        <w:t>Evidence Guide</w:t>
      </w:r>
    </w:p>
    <w:tbl>
      <w:tblPr>
        <w:tblW w:w="0" w:type="auto"/>
        <w:tblLayout w:type="fixed"/>
        <w:tblCellMar>
          <w:left w:w="62" w:type="dxa"/>
          <w:right w:w="62" w:type="dxa"/>
        </w:tblCellMar>
        <w:tblLook w:val="0000"/>
      </w:tblPr>
      <w:tblGrid>
        <w:gridCol w:w="2160"/>
        <w:gridCol w:w="430"/>
        <w:gridCol w:w="540"/>
        <w:gridCol w:w="5519"/>
      </w:tblGrid>
      <w:tr w:rsidTr="00DC158B">
        <w:tblPrEx>
          <w:tblW w:w="0" w:type="auto"/>
          <w:tblLayout w:type="fixed"/>
          <w:tblCellMar>
            <w:left w:w="62" w:type="dxa"/>
            <w:right w:w="62" w:type="dxa"/>
          </w:tblCellMar>
          <w:tblLook w:val="0000"/>
        </w:tblPrEx>
        <w:trPr>
          <w:tblHeader/>
        </w:trPr>
        <w:tc>
          <w:tcPr>
            <w:tcW w:w="8649" w:type="dxa"/>
            <w:gridSpan w:val="4"/>
            <w:tcBorders>
              <w:top w:val="nil"/>
              <w:left w:val="nil"/>
              <w:bottom w:val="nil"/>
              <w:right w:val="nil"/>
            </w:tcBorders>
            <w:tcMar>
              <w:top w:w="0" w:type="dxa"/>
              <w:left w:w="62" w:type="dxa"/>
              <w:bottom w:w="0" w:type="dxa"/>
              <w:right w:w="62" w:type="dxa"/>
            </w:tcMar>
          </w:tcPr>
          <w:p w:rsidR="00000000" w:rsidP="00DD2FD0">
            <w:pPr>
              <w:pStyle w:val="BodyText"/>
              <w:rPr>
                <w:lang w:val="en-NZ"/>
              </w:rPr>
            </w:pPr>
            <w:r w:rsidRPr="00DD2FD0">
              <w:rPr>
                <w:rStyle w:val="SpecialBold"/>
              </w:rPr>
              <w:t>EVIDENCE GUIDE</w:t>
            </w:r>
          </w:p>
        </w:tc>
      </w:tr>
      <w:tr w:rsidTr="00DC158B">
        <w:tblPrEx>
          <w:tblW w:w="0" w:type="auto"/>
          <w:tblLayout w:type="fixed"/>
          <w:tblCellMar>
            <w:left w:w="62" w:type="dxa"/>
            <w:right w:w="62" w:type="dxa"/>
          </w:tblCellMar>
          <w:tblLook w:val="0000"/>
        </w:tblPrEx>
        <w:tc>
          <w:tcPr>
            <w:tcW w:w="8649" w:type="dxa"/>
            <w:gridSpan w:val="4"/>
            <w:tcBorders>
              <w:top w:val="nil"/>
              <w:left w:val="nil"/>
              <w:bottom w:val="nil"/>
              <w:right w:val="nil"/>
            </w:tcBorders>
            <w:tcMar>
              <w:top w:w="0" w:type="dxa"/>
              <w:left w:w="62" w:type="dxa"/>
              <w:bottom w:w="0" w:type="dxa"/>
              <w:right w:w="62" w:type="dxa"/>
            </w:tcMar>
          </w:tcPr>
          <w:p w:rsidR="00000000" w:rsidRPr="00DD2FD0" w:rsidP="00DD2FD0">
            <w:pPr>
              <w:pStyle w:val="BodyText"/>
            </w:pPr>
            <w:r w:rsidRPr="00DD2FD0">
              <w:rPr>
                <w:rStyle w:val="SpecialBold"/>
              </w:rPr>
              <w:t>9</w:t>
            </w:r>
            <w:r w:rsidRPr="00DD2FD0">
              <w:t>) The evidence guide provides advice on assessment and must be read in conjunction with the Performance Criteria, Required Skills and Knowledge, the Range Statement and the Assessment Guidelines for this Training Package. .</w:t>
            </w:r>
          </w:p>
          <w:p w:rsidR="00000000" w:rsidP="00DD2FD0">
            <w:pPr>
              <w:pStyle w:val="BodyText"/>
              <w:rPr>
                <w:lang w:val="en-NZ"/>
              </w:rPr>
            </w:pPr>
            <w:r w:rsidRPr="00DD2FD0">
              <w:t>The Evidence</w:t>
            </w:r>
            <w:r w:rsidRPr="00DD2FD0">
              <w:t xml:space="preserve"> Guide forms an integral part of this Unit. It must be used in conjunction with all parts of this unit and performed in accordance with the Assessment Guidelines of this Training Package.</w:t>
            </w:r>
          </w:p>
        </w:tc>
      </w:tr>
      <w:tr w:rsidTr="00DC158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DD2FD0" w:rsidP="00DD2FD0">
            <w:pPr>
              <w:pStyle w:val="BodyText"/>
            </w:pPr>
            <w:r w:rsidRPr="00DD2FD0">
              <w:rPr>
                <w:rStyle w:val="SpecialBold"/>
              </w:rPr>
              <w:t>Overview of Assessment</w:t>
            </w:r>
          </w:p>
        </w:tc>
        <w:tc>
          <w:tcPr>
            <w:tcW w:w="6489" w:type="dxa"/>
            <w:gridSpan w:val="3"/>
            <w:tcBorders>
              <w:top w:val="nil"/>
              <w:left w:val="nil"/>
              <w:bottom w:val="nil"/>
              <w:right w:val="nil"/>
            </w:tcBorders>
            <w:tcMar>
              <w:top w:w="0" w:type="dxa"/>
              <w:left w:w="62" w:type="dxa"/>
              <w:bottom w:w="0" w:type="dxa"/>
              <w:right w:w="62" w:type="dxa"/>
            </w:tcMar>
          </w:tcPr>
          <w:p w:rsidR="00000000" w:rsidRPr="00DD2FD0" w:rsidP="00DD2FD0">
            <w:pPr>
              <w:pStyle w:val="BodyText"/>
            </w:pPr>
            <w:r w:rsidRPr="00DD2FD0">
              <w:rPr>
                <w:rStyle w:val="SpecialBold"/>
              </w:rPr>
              <w:t>9</w:t>
            </w:r>
            <w:r w:rsidRPr="00DD2FD0">
              <w:t>.</w:t>
            </w:r>
            <w:r w:rsidRPr="00DD2FD0">
              <w:rPr>
                <w:rStyle w:val="SpecialBold"/>
              </w:rPr>
              <w:t>1</w:t>
            </w:r>
            <w:r w:rsidRPr="00DD2FD0">
              <w:t xml:space="preserve">) </w:t>
            </w:r>
          </w:p>
          <w:p w:rsidR="00000000" w:rsidRPr="00DD2FD0" w:rsidP="00DD2FD0">
            <w:pPr>
              <w:pStyle w:val="BodyText"/>
            </w:pPr>
            <w:r w:rsidRPr="00DD2FD0">
              <w:t>Longitudinal competency development approaches to assessment, such as Profiling, require data to be reliably gathered in a form that can be consistently interpreted over time. This approach is best utilised in Apprenticeship programs and reduces assessment</w:t>
            </w:r>
            <w:r w:rsidRPr="00DD2FD0">
              <w:t xml:space="preserve"> intervention. It is the industry-preferred model for apprenticeships. However, where summative (or final) assessment is used it is to include the application of the competency in the normal work environment or, at a minimum, the application of the compete</w:t>
            </w:r>
            <w:r w:rsidRPr="00DD2FD0">
              <w:t>ncy in a realistically simulated work environment. In some circumstances, assessment in part or full can occur outside the workplace. However, it must be in accordance with industry and regulatory policy.</w:t>
            </w:r>
          </w:p>
          <w:p w:rsidR="00000000" w:rsidRPr="00DD2FD0" w:rsidP="00DD2FD0">
            <w:pPr>
              <w:pStyle w:val="BodyText"/>
            </w:pPr>
            <w:r w:rsidRPr="00DD2FD0">
              <w:t xml:space="preserve">Methods chosen for a particular assessment will be </w:t>
            </w:r>
            <w:r w:rsidRPr="00DD2FD0">
              <w:t xml:space="preserve">influenced by </w:t>
            </w:r>
            <w:r w:rsidRPr="00DD2FD0">
              <w:t>various factors. These include the extent of the assessment, the most effective locations for the assessment activities to take place, access to physical resources, additional safety measures that may be required and the critical nature of th</w:t>
            </w:r>
            <w:r w:rsidRPr="00DD2FD0">
              <w:t>e competencies being assessed.</w:t>
            </w:r>
          </w:p>
          <w:p w:rsidR="00000000" w:rsidRPr="00DD2FD0" w:rsidP="00DD2FD0">
            <w:pPr>
              <w:pStyle w:val="BodyText"/>
            </w:pPr>
            <w:r w:rsidRPr="00DD2FD0">
              <w:t>The critical safety nature of working with electricity, electrical equipment, gas or any other hazardous substance/material carries risk in deeming a person competent. Sources of evidence need to be 'rich' in nature to minimi</w:t>
            </w:r>
            <w:r w:rsidRPr="00DD2FD0">
              <w:t>se error in judgment.</w:t>
            </w:r>
          </w:p>
          <w:p w:rsidR="00000000" w:rsidP="00DD2FD0">
            <w:pPr>
              <w:pStyle w:val="BodyText"/>
              <w:rPr>
                <w:lang w:val="en-NZ"/>
              </w:rPr>
            </w:pPr>
            <w:r w:rsidRPr="00DD2FD0">
              <w:t>Activities associated with normal everyday work influence decisions about how/how much the data gathered will contribute to its 'richness'. Some skills are more critical to safety and operational requirements while the same skills may</w:t>
            </w:r>
            <w:r w:rsidRPr="00DD2FD0">
              <w:t xml:space="preserve"> be more or less frequently practised. These points are raised for the assessors to consider when choosing an assessment method and developing assessment instruments. Sample assessment instruments are included for Assessors in the Assessment Guidelines of </w:t>
            </w:r>
            <w:r w:rsidRPr="00DD2FD0">
              <w:t>this Training Package.</w:t>
            </w:r>
          </w:p>
        </w:tc>
      </w:tr>
      <w:tr w:rsidTr="00DC158B">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DD2FD0" w:rsidP="00DD2FD0">
            <w:pPr>
              <w:pStyle w:val="BodyText"/>
            </w:pPr>
            <w:r w:rsidRPr="00DD2FD0">
              <w:rPr>
                <w:rStyle w:val="SpecialBold"/>
              </w:rPr>
              <w:t>Critical aspects of evidence required to demonstrate competency in this unit</w:t>
            </w:r>
          </w:p>
        </w:tc>
        <w:tc>
          <w:tcPr>
            <w:tcW w:w="6489" w:type="dxa"/>
            <w:gridSpan w:val="3"/>
            <w:tcBorders>
              <w:top w:val="nil"/>
              <w:left w:val="nil"/>
              <w:bottom w:val="nil"/>
              <w:right w:val="nil"/>
            </w:tcBorders>
            <w:tcMar>
              <w:top w:w="0" w:type="dxa"/>
              <w:left w:w="62" w:type="dxa"/>
              <w:bottom w:w="0" w:type="dxa"/>
              <w:right w:w="62" w:type="dxa"/>
            </w:tcMar>
          </w:tcPr>
          <w:p w:rsidR="00000000" w:rsidRPr="00DD2FD0" w:rsidP="00DD2FD0">
            <w:pPr>
              <w:pStyle w:val="BodyText"/>
            </w:pPr>
            <w:r w:rsidRPr="00DD2FD0">
              <w:rPr>
                <w:rStyle w:val="SpecialBold"/>
              </w:rPr>
              <w:t>9</w:t>
            </w:r>
            <w:r w:rsidRPr="00DD2FD0">
              <w:t>.</w:t>
            </w:r>
            <w:r w:rsidRPr="00DD2FD0">
              <w:rPr>
                <w:rStyle w:val="SpecialBold"/>
              </w:rPr>
              <w:t>2</w:t>
            </w:r>
            <w:r w:rsidRPr="00DD2FD0">
              <w:t xml:space="preserve">) </w:t>
            </w:r>
          </w:p>
          <w:p w:rsidR="00000000" w:rsidP="00DD2FD0">
            <w:pPr>
              <w:pStyle w:val="BodyText"/>
              <w:rPr>
                <w:lang w:val="en-NZ"/>
              </w:rPr>
            </w:pPr>
            <w:r w:rsidRPr="00DD2FD0">
              <w:t>Before the critical aspects of evidence are considered all prerequisites must be met.</w:t>
            </w:r>
          </w:p>
        </w:tc>
      </w:tr>
      <w:tr w:rsidTr="00DC158B">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9" w:type="dxa"/>
            <w:gridSpan w:val="3"/>
            <w:tcBorders>
              <w:top w:val="nil"/>
              <w:left w:val="nil"/>
              <w:bottom w:val="nil"/>
              <w:right w:val="nil"/>
            </w:tcBorders>
            <w:tcMar>
              <w:top w:w="0" w:type="dxa"/>
              <w:left w:w="62" w:type="dxa"/>
              <w:bottom w:w="0" w:type="dxa"/>
              <w:right w:w="62" w:type="dxa"/>
            </w:tcMar>
          </w:tcPr>
          <w:p w:rsidR="00000000" w:rsidRPr="00DD2FD0" w:rsidP="00DD2FD0">
            <w:pPr>
              <w:pStyle w:val="BodyText"/>
            </w:pPr>
            <w:r w:rsidRPr="00DD2FD0">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DD2FD0">
            <w:pPr>
              <w:pStyle w:val="ListBullet"/>
              <w:rPr>
                <w:lang w:val="en-NZ"/>
              </w:rPr>
            </w:pPr>
            <w:r w:rsidRPr="00DD2FD0">
              <w:t>A representative body of work performance demonstrated within the timeframes typically expected of the discipline, work function and industrial environment. In particular this shall incorporate evidence that shows a candidate is able to:</w:t>
            </w:r>
          </w:p>
        </w:tc>
      </w:tr>
      <w:tr w:rsidTr="00DC158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DD2FD0">
            <w:pPr>
              <w:pStyle w:val="BodyText"/>
              <w:rPr>
                <w:lang w:val="en-NZ"/>
              </w:rPr>
            </w:pPr>
          </w:p>
        </w:tc>
        <w:tc>
          <w:tcPr>
            <w:tcW w:w="6489" w:type="dxa"/>
            <w:gridSpan w:val="3"/>
            <w:tcBorders>
              <w:top w:val="nil"/>
              <w:left w:val="nil"/>
              <w:bottom w:val="nil"/>
              <w:right w:val="nil"/>
            </w:tcBorders>
            <w:tcMar>
              <w:top w:w="0" w:type="dxa"/>
              <w:left w:w="62" w:type="dxa"/>
              <w:bottom w:w="0" w:type="dxa"/>
              <w:right w:w="62" w:type="dxa"/>
            </w:tcMar>
          </w:tcPr>
          <w:p w:rsidR="00000000" w:rsidRPr="00DD2FD0" w:rsidP="00DD2FD0">
            <w:pPr>
              <w:pStyle w:val="ListBullet2"/>
            </w:pPr>
            <w:r w:rsidRPr="00DD2FD0">
              <w:t>Implement Occupational Health and Safety workplace procedures and practices including the use of risk control measures as specified in the performance criteria and range statement</w:t>
            </w:r>
          </w:p>
          <w:p w:rsidR="00000000" w:rsidRPr="00DD2FD0" w:rsidP="00DD2FD0">
            <w:pPr>
              <w:pStyle w:val="ListBullet2"/>
            </w:pPr>
            <w:r w:rsidRPr="00DD2FD0">
              <w:t>Apply sustainable energy principles and practices as specified in the perfor</w:t>
            </w:r>
            <w:r w:rsidRPr="00DD2FD0">
              <w:t>mance criteria and range statement</w:t>
            </w:r>
          </w:p>
          <w:p w:rsidR="00000000" w:rsidRPr="00DD2FD0" w:rsidP="00DD2FD0">
            <w:pPr>
              <w:pStyle w:val="ListBullet2"/>
            </w:pPr>
            <w:r w:rsidRPr="00DD2FD0">
              <w:t>Demonstrate an understanding of the essential knowledge and associated skills as described in this unit.  It may be required by some jurisdictions that RTOs provide a percentile graded result for the purpose of regulatory</w:t>
            </w:r>
            <w:r w:rsidRPr="00DD2FD0">
              <w:t xml:space="preserve"> or licensing requirements.</w:t>
            </w:r>
          </w:p>
          <w:p w:rsidR="00000000" w:rsidRPr="00DD2FD0" w:rsidP="00DD2FD0">
            <w:pPr>
              <w:pStyle w:val="ListBullet2"/>
            </w:pPr>
            <w:r w:rsidRPr="00DD2FD0">
              <w:t>Demonstrate an appropriate level of skills enabling employment</w:t>
            </w:r>
          </w:p>
          <w:p w:rsidR="00000000" w:rsidP="00DD2FD0">
            <w:pPr>
              <w:pStyle w:val="ListBullet2"/>
              <w:rPr>
                <w:lang w:val="en-NZ"/>
              </w:rPr>
            </w:pPr>
            <w:r w:rsidRPr="00DD2FD0">
              <w:t>Conduct work observing the relevant Anti Discrimination legislation, regulations, polices and workplace procedures</w:t>
            </w:r>
          </w:p>
        </w:tc>
      </w:tr>
      <w:tr w:rsidTr="00DC158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DD2FD0">
            <w:pPr>
              <w:pStyle w:val="BodyText"/>
              <w:rPr>
                <w:lang w:val="en-NZ"/>
              </w:rPr>
            </w:pPr>
          </w:p>
        </w:tc>
        <w:tc>
          <w:tcPr>
            <w:tcW w:w="6489" w:type="dxa"/>
            <w:gridSpan w:val="3"/>
            <w:tcBorders>
              <w:top w:val="nil"/>
              <w:left w:val="nil"/>
              <w:bottom w:val="nil"/>
              <w:right w:val="nil"/>
            </w:tcBorders>
            <w:tcMar>
              <w:top w:w="0" w:type="dxa"/>
              <w:left w:w="62" w:type="dxa"/>
              <w:bottom w:w="0" w:type="dxa"/>
              <w:right w:w="62" w:type="dxa"/>
            </w:tcMar>
          </w:tcPr>
          <w:p w:rsidR="00000000" w:rsidP="00DD2FD0">
            <w:pPr>
              <w:pStyle w:val="ListBullet"/>
              <w:rPr>
                <w:lang w:val="en-NZ"/>
              </w:rPr>
            </w:pPr>
            <w:r w:rsidRPr="00DD2FD0">
              <w:t xml:space="preserve">Demonstrated consistent performance across a </w:t>
            </w:r>
            <w:r w:rsidRPr="00DD2FD0">
              <w:t>representative range of contexts from the prescribed items below:</w:t>
            </w:r>
          </w:p>
        </w:tc>
      </w:tr>
      <w:tr w:rsidTr="00DC158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DD2FD0">
            <w:pPr>
              <w:pStyle w:val="BodyText"/>
              <w:rPr>
                <w:lang w:val="en-NZ"/>
              </w:rPr>
            </w:pPr>
          </w:p>
        </w:tc>
        <w:tc>
          <w:tcPr>
            <w:tcW w:w="6489" w:type="dxa"/>
            <w:gridSpan w:val="3"/>
            <w:tcBorders>
              <w:top w:val="nil"/>
              <w:left w:val="nil"/>
              <w:bottom w:val="nil"/>
              <w:right w:val="nil"/>
            </w:tcBorders>
            <w:tcMar>
              <w:top w:w="0" w:type="dxa"/>
              <w:left w:w="62" w:type="dxa"/>
              <w:bottom w:w="0" w:type="dxa"/>
              <w:right w:w="62" w:type="dxa"/>
            </w:tcMar>
          </w:tcPr>
          <w:p w:rsidR="00000000" w:rsidP="00DD2FD0">
            <w:pPr>
              <w:pStyle w:val="ListBullet2"/>
              <w:rPr>
                <w:lang w:val="en-NZ"/>
              </w:rPr>
            </w:pPr>
            <w:r w:rsidRPr="00DD2FD0">
              <w:t>Determine the basic operating conditions of air conditioning systems as described in 8) and including:</w:t>
            </w:r>
          </w:p>
        </w:tc>
      </w:tr>
      <w:tr w:rsidTr="00DC158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D2FD0">
            <w:pPr>
              <w:pStyle w:val="BodyText"/>
              <w:rPr>
                <w:lang w:val="en-NZ"/>
              </w:rPr>
            </w:pPr>
            <w:r w:rsidRPr="00DD2FD0">
              <w:t>A</w:t>
            </w:r>
          </w:p>
        </w:tc>
        <w:tc>
          <w:tcPr>
            <w:tcW w:w="5519" w:type="dxa"/>
            <w:tcBorders>
              <w:top w:val="nil"/>
              <w:left w:val="nil"/>
              <w:bottom w:val="nil"/>
              <w:right w:val="nil"/>
            </w:tcBorders>
            <w:tcMar>
              <w:top w:w="0" w:type="dxa"/>
              <w:left w:w="62" w:type="dxa"/>
              <w:bottom w:w="0" w:type="dxa"/>
              <w:right w:w="62" w:type="dxa"/>
            </w:tcMar>
          </w:tcPr>
          <w:p w:rsidR="00000000" w:rsidP="00DD2FD0">
            <w:pPr>
              <w:pStyle w:val="BodyText"/>
              <w:rPr>
                <w:lang w:val="en-NZ"/>
              </w:rPr>
            </w:pPr>
            <w:r w:rsidRPr="00DD2FD0">
              <w:t>Selecting and using appropriate measuring devices correctly</w:t>
            </w:r>
          </w:p>
        </w:tc>
      </w:tr>
      <w:tr w:rsidTr="00DC158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D2FD0">
            <w:pPr>
              <w:pStyle w:val="BodyText"/>
              <w:rPr>
                <w:lang w:val="en-NZ"/>
              </w:rPr>
            </w:pPr>
            <w:r w:rsidRPr="00DD2FD0">
              <w:t>B</w:t>
            </w:r>
          </w:p>
        </w:tc>
        <w:tc>
          <w:tcPr>
            <w:tcW w:w="5519" w:type="dxa"/>
            <w:tcBorders>
              <w:top w:val="nil"/>
              <w:left w:val="nil"/>
              <w:bottom w:val="nil"/>
              <w:right w:val="nil"/>
            </w:tcBorders>
            <w:tcMar>
              <w:top w:w="0" w:type="dxa"/>
              <w:left w:w="62" w:type="dxa"/>
              <w:bottom w:w="0" w:type="dxa"/>
              <w:right w:w="62" w:type="dxa"/>
            </w:tcMar>
          </w:tcPr>
          <w:p w:rsidR="00000000" w:rsidP="00DD2FD0">
            <w:pPr>
              <w:pStyle w:val="BodyText"/>
              <w:rPr>
                <w:lang w:val="en-NZ"/>
              </w:rPr>
            </w:pPr>
            <w:r w:rsidRPr="00DD2FD0">
              <w:t>Interpreting measurements</w:t>
            </w:r>
          </w:p>
        </w:tc>
      </w:tr>
      <w:tr w:rsidTr="00DC158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D2FD0">
            <w:pPr>
              <w:pStyle w:val="BodyText"/>
              <w:rPr>
                <w:lang w:val="en-NZ"/>
              </w:rPr>
            </w:pPr>
            <w:r w:rsidRPr="00DD2FD0">
              <w:t>C</w:t>
            </w:r>
          </w:p>
        </w:tc>
        <w:tc>
          <w:tcPr>
            <w:tcW w:w="5519" w:type="dxa"/>
            <w:tcBorders>
              <w:top w:val="nil"/>
              <w:left w:val="nil"/>
              <w:bottom w:val="nil"/>
              <w:right w:val="nil"/>
            </w:tcBorders>
            <w:tcMar>
              <w:top w:w="0" w:type="dxa"/>
              <w:left w:w="62" w:type="dxa"/>
              <w:bottom w:w="0" w:type="dxa"/>
              <w:right w:w="62" w:type="dxa"/>
            </w:tcMar>
          </w:tcPr>
          <w:p w:rsidR="00000000" w:rsidP="00DD2FD0">
            <w:pPr>
              <w:pStyle w:val="BodyText"/>
              <w:rPr>
                <w:lang w:val="en-NZ"/>
              </w:rPr>
            </w:pPr>
            <w:r w:rsidRPr="00DD2FD0">
              <w:t>Using calculation methods accurately</w:t>
            </w:r>
          </w:p>
        </w:tc>
      </w:tr>
      <w:tr w:rsidTr="00DC158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D2FD0">
            <w:pPr>
              <w:pStyle w:val="BodyText"/>
              <w:rPr>
                <w:lang w:val="en-NZ"/>
              </w:rPr>
            </w:pPr>
            <w:r w:rsidRPr="00DD2FD0">
              <w:t>D</w:t>
            </w:r>
          </w:p>
        </w:tc>
        <w:tc>
          <w:tcPr>
            <w:tcW w:w="5519" w:type="dxa"/>
            <w:tcBorders>
              <w:top w:val="nil"/>
              <w:left w:val="nil"/>
              <w:bottom w:val="nil"/>
              <w:right w:val="nil"/>
            </w:tcBorders>
            <w:tcMar>
              <w:top w:w="0" w:type="dxa"/>
              <w:left w:w="62" w:type="dxa"/>
              <w:bottom w:w="0" w:type="dxa"/>
              <w:right w:w="62" w:type="dxa"/>
            </w:tcMar>
          </w:tcPr>
          <w:p w:rsidR="00000000" w:rsidP="00DD2FD0">
            <w:pPr>
              <w:pStyle w:val="BodyText"/>
              <w:rPr>
                <w:lang w:val="en-NZ"/>
              </w:rPr>
            </w:pPr>
            <w:r w:rsidRPr="00DD2FD0">
              <w:t>Identifying parameters not within the specified range</w:t>
            </w:r>
          </w:p>
        </w:tc>
      </w:tr>
      <w:tr w:rsidTr="00DC158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D2FD0">
            <w:pPr>
              <w:pStyle w:val="BodyText"/>
              <w:rPr>
                <w:lang w:val="en-NZ"/>
              </w:rPr>
            </w:pPr>
            <w:r w:rsidRPr="00DD2FD0">
              <w:t>E</w:t>
            </w:r>
          </w:p>
        </w:tc>
        <w:tc>
          <w:tcPr>
            <w:tcW w:w="5519" w:type="dxa"/>
            <w:tcBorders>
              <w:top w:val="nil"/>
              <w:left w:val="nil"/>
              <w:bottom w:val="nil"/>
              <w:right w:val="nil"/>
            </w:tcBorders>
            <w:tcMar>
              <w:top w:w="0" w:type="dxa"/>
              <w:left w:w="62" w:type="dxa"/>
              <w:bottom w:w="0" w:type="dxa"/>
              <w:right w:w="62" w:type="dxa"/>
            </w:tcMar>
          </w:tcPr>
          <w:p w:rsidR="00000000" w:rsidP="00DD2FD0">
            <w:pPr>
              <w:pStyle w:val="BodyText"/>
              <w:rPr>
                <w:lang w:val="en-NZ"/>
              </w:rPr>
            </w:pPr>
            <w:r w:rsidRPr="00DD2FD0">
              <w:t>Documenting operating conditions correctly</w:t>
            </w:r>
          </w:p>
        </w:tc>
      </w:tr>
      <w:tr w:rsidTr="00DC158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D2FD0">
            <w:pPr>
              <w:pStyle w:val="BodyText"/>
              <w:rPr>
                <w:lang w:val="en-NZ"/>
              </w:rPr>
            </w:pPr>
            <w:r w:rsidRPr="00DD2FD0">
              <w:t>F</w:t>
            </w:r>
          </w:p>
        </w:tc>
        <w:tc>
          <w:tcPr>
            <w:tcW w:w="5519" w:type="dxa"/>
            <w:tcBorders>
              <w:top w:val="nil"/>
              <w:left w:val="nil"/>
              <w:bottom w:val="nil"/>
              <w:right w:val="nil"/>
            </w:tcBorders>
            <w:tcMar>
              <w:top w:w="0" w:type="dxa"/>
              <w:left w:w="62" w:type="dxa"/>
              <w:bottom w:w="0" w:type="dxa"/>
              <w:right w:w="62" w:type="dxa"/>
            </w:tcMar>
          </w:tcPr>
          <w:p w:rsidR="00000000" w:rsidP="00DD2FD0">
            <w:pPr>
              <w:pStyle w:val="BodyText"/>
              <w:rPr>
                <w:lang w:val="en-NZ"/>
              </w:rPr>
            </w:pPr>
            <w:r w:rsidRPr="00DD2FD0">
              <w:t>Dealing with unplanned events by drawing on essential knowledge and skills to provide appropriate solutions incorporated in the holistic assessment with the above listed items</w:t>
            </w:r>
          </w:p>
        </w:tc>
      </w:tr>
      <w:tr w:rsidTr="00DC158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DD2FD0" w:rsidP="00DD2FD0">
            <w:pPr>
              <w:pStyle w:val="BodyText"/>
            </w:pPr>
            <w:r w:rsidRPr="00DD2FD0">
              <w:rPr>
                <w:rStyle w:val="SpecialBold"/>
              </w:rPr>
              <w:t>Context of and specific resources for assessment</w:t>
            </w:r>
          </w:p>
        </w:tc>
        <w:tc>
          <w:tcPr>
            <w:tcW w:w="6489" w:type="dxa"/>
            <w:gridSpan w:val="3"/>
            <w:tcBorders>
              <w:top w:val="nil"/>
              <w:left w:val="nil"/>
              <w:bottom w:val="nil"/>
              <w:right w:val="nil"/>
            </w:tcBorders>
            <w:tcMar>
              <w:top w:w="0" w:type="dxa"/>
              <w:left w:w="62" w:type="dxa"/>
              <w:bottom w:w="0" w:type="dxa"/>
              <w:right w:w="62" w:type="dxa"/>
            </w:tcMar>
          </w:tcPr>
          <w:p w:rsidR="00000000" w:rsidRPr="00DD2FD0" w:rsidP="00DD2FD0">
            <w:pPr>
              <w:pStyle w:val="BodyText"/>
            </w:pPr>
            <w:r w:rsidRPr="00DD2FD0">
              <w:rPr>
                <w:rStyle w:val="SpecialBold"/>
              </w:rPr>
              <w:t>9</w:t>
            </w:r>
            <w:r w:rsidRPr="00DD2FD0">
              <w:t>.</w:t>
            </w:r>
            <w:r w:rsidRPr="00DD2FD0">
              <w:rPr>
                <w:rStyle w:val="SpecialBold"/>
              </w:rPr>
              <w:t>3</w:t>
            </w:r>
            <w:r w:rsidRPr="00DD2FD0">
              <w:t xml:space="preserve">) </w:t>
            </w:r>
          </w:p>
          <w:p w:rsidR="00000000" w:rsidRPr="00DD2FD0" w:rsidP="00DD2FD0">
            <w:pPr>
              <w:pStyle w:val="BodyText"/>
            </w:pPr>
            <w:r w:rsidRPr="00DD2FD0">
              <w:t>This unit should be asse</w:t>
            </w:r>
            <w:r w:rsidRPr="00DD2FD0">
              <w:t>ssed as it relates to normal work practice using procedures, information and resources typical of a workplace. This should include:</w:t>
            </w:r>
          </w:p>
          <w:p w:rsidR="00000000" w:rsidRPr="00DD2FD0" w:rsidP="00DD2FD0">
            <w:pPr>
              <w:pStyle w:val="ListBullet"/>
            </w:pPr>
            <w:r w:rsidRPr="00DD2FD0">
              <w:t>OHS policy and work procedures and instructions.</w:t>
            </w:r>
          </w:p>
          <w:p w:rsidR="00000000" w:rsidRPr="00DD2FD0" w:rsidP="00DD2FD0">
            <w:pPr>
              <w:pStyle w:val="ListBullet"/>
            </w:pPr>
            <w:r w:rsidRPr="00DD2FD0">
              <w:t>Suitable work environment, facilities, equipment and materials to undertak</w:t>
            </w:r>
            <w:r w:rsidRPr="00DD2FD0">
              <w:t>e actual work as prescribed by this unit.</w:t>
            </w:r>
          </w:p>
          <w:p w:rsidR="00000000" w:rsidRPr="00DD2FD0" w:rsidP="00DD2FD0">
            <w:pPr>
              <w:pStyle w:val="BodyText"/>
            </w:pPr>
            <w:r w:rsidRPr="00DD2FD0">
              <w:t>These should be part of the formal learning/assessment environment.</w:t>
            </w:r>
          </w:p>
          <w:p w:rsidR="00000000" w:rsidRPr="00DD2FD0" w:rsidP="00DD2FD0">
            <w:pPr>
              <w:pStyle w:val="BodyText"/>
            </w:pPr>
            <w:r w:rsidRPr="00DD2FD0">
              <w:t>Note:</w:t>
            </w:r>
          </w:p>
          <w:p w:rsidR="00000000" w:rsidP="00DD2FD0">
            <w:pPr>
              <w:pStyle w:val="BodyText"/>
              <w:rPr>
                <w:lang w:val="en-NZ"/>
              </w:rPr>
            </w:pPr>
            <w:r w:rsidRPr="00DD2FD0">
              <w:t>Where simulation is considered a suitable strategy for assessment, conditions must be authentic and as far as possible reproduce and replica</w:t>
            </w:r>
            <w:r w:rsidRPr="00DD2FD0">
              <w:t>te the workplace and be consistent with the approved industry simulation policy.</w:t>
            </w:r>
          </w:p>
        </w:tc>
      </w:tr>
      <w:tr w:rsidTr="00DC158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9" w:type="dxa"/>
            <w:gridSpan w:val="3"/>
            <w:tcBorders>
              <w:top w:val="nil"/>
              <w:left w:val="nil"/>
              <w:bottom w:val="nil"/>
              <w:right w:val="nil"/>
            </w:tcBorders>
            <w:tcMar>
              <w:top w:w="0" w:type="dxa"/>
              <w:left w:w="62" w:type="dxa"/>
              <w:bottom w:w="0" w:type="dxa"/>
              <w:right w:w="62" w:type="dxa"/>
            </w:tcMar>
          </w:tcPr>
          <w:p w:rsidR="00000000" w:rsidP="00DD2FD0">
            <w:pPr>
              <w:pStyle w:val="BodyText"/>
              <w:rPr>
                <w:lang w:val="en-NZ"/>
              </w:rPr>
            </w:pPr>
            <w:r w:rsidRPr="00DD2FD0">
              <w:t>Evidence should show demonstrated competency in determining the basic operating conditions of air conditioning systems.</w:t>
            </w:r>
          </w:p>
        </w:tc>
      </w:tr>
      <w:tr w:rsidTr="00DC158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DD2FD0" w:rsidP="00DD2FD0">
            <w:pPr>
              <w:pStyle w:val="BodyText"/>
            </w:pPr>
            <w:r w:rsidRPr="00DD2FD0">
              <w:rPr>
                <w:rStyle w:val="SpecialBold"/>
              </w:rPr>
              <w:t>Method of assessment</w:t>
            </w:r>
          </w:p>
        </w:tc>
        <w:tc>
          <w:tcPr>
            <w:tcW w:w="6489" w:type="dxa"/>
            <w:gridSpan w:val="3"/>
            <w:tcBorders>
              <w:top w:val="nil"/>
              <w:left w:val="nil"/>
              <w:bottom w:val="nil"/>
              <w:right w:val="nil"/>
            </w:tcBorders>
            <w:tcMar>
              <w:top w:w="0" w:type="dxa"/>
              <w:left w:w="62" w:type="dxa"/>
              <w:bottom w:w="0" w:type="dxa"/>
              <w:right w:w="62" w:type="dxa"/>
            </w:tcMar>
          </w:tcPr>
          <w:p w:rsidR="00000000" w:rsidRPr="00DD2FD0" w:rsidP="00DD2FD0">
            <w:pPr>
              <w:pStyle w:val="BodyText"/>
            </w:pPr>
            <w:r w:rsidRPr="00DD2FD0">
              <w:rPr>
                <w:rStyle w:val="SpecialBold"/>
              </w:rPr>
              <w:t>9</w:t>
            </w:r>
            <w:r w:rsidRPr="00DD2FD0">
              <w:t>.</w:t>
            </w:r>
            <w:r w:rsidRPr="00DD2FD0">
              <w:rPr>
                <w:rStyle w:val="SpecialBold"/>
              </w:rPr>
              <w:t>4</w:t>
            </w:r>
            <w:r w:rsidRPr="00DD2FD0">
              <w:t xml:space="preserve">) </w:t>
            </w:r>
          </w:p>
          <w:p w:rsidR="00000000" w:rsidRPr="00DD2FD0" w:rsidP="00DD2FD0">
            <w:pPr>
              <w:pStyle w:val="BodyText"/>
            </w:pPr>
            <w:r w:rsidRPr="00DD2FD0">
              <w:t>This unit shall be assessed by methods given in Volume 1, Part 3 'Assessment Guidelines'.</w:t>
            </w:r>
          </w:p>
          <w:p w:rsidR="00000000" w:rsidRPr="00DD2FD0" w:rsidP="00DD2FD0">
            <w:pPr>
              <w:pStyle w:val="BodyText"/>
            </w:pPr>
            <w:r w:rsidRPr="00DD2FD0">
              <w:t xml:space="preserve">Note: </w:t>
            </w:r>
          </w:p>
          <w:p w:rsidR="00000000" w:rsidP="00DD2FD0">
            <w:pPr>
              <w:pStyle w:val="BodyText"/>
              <w:rPr>
                <w:lang w:val="en-NZ"/>
              </w:rPr>
            </w:pPr>
            <w:r w:rsidRPr="00DD2FD0">
              <w:t>Competent performance with inherent safe working practices is expected in the Industry to which this unit applies. This requires assessment in a structured env</w:t>
            </w:r>
            <w:r w:rsidRPr="00DD2FD0">
              <w:t>ironment which is intended primarily for learning/assessment and incorporates all necessary equipment and facilities for learners to develop and demonstrate the essential knowledge and skills described in this unit.</w:t>
            </w:r>
          </w:p>
        </w:tc>
      </w:tr>
      <w:tr w:rsidTr="00DC158B">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DD2FD0" w:rsidP="00DD2FD0">
            <w:pPr>
              <w:pStyle w:val="BodyText"/>
            </w:pPr>
            <w:r w:rsidRPr="00DD2FD0">
              <w:rPr>
                <w:rStyle w:val="SpecialBold"/>
              </w:rPr>
              <w:t>Concurrent assessment and relationshi</w:t>
            </w:r>
            <w:r w:rsidRPr="00DD2FD0">
              <w:rPr>
                <w:rStyle w:val="SpecialBold"/>
              </w:rPr>
              <w:t>p with other units</w:t>
            </w:r>
          </w:p>
        </w:tc>
        <w:tc>
          <w:tcPr>
            <w:tcW w:w="6489" w:type="dxa"/>
            <w:gridSpan w:val="3"/>
            <w:tcBorders>
              <w:top w:val="nil"/>
              <w:left w:val="nil"/>
              <w:bottom w:val="nil"/>
              <w:right w:val="nil"/>
            </w:tcBorders>
            <w:tcMar>
              <w:top w:w="0" w:type="dxa"/>
              <w:left w:w="62" w:type="dxa"/>
              <w:bottom w:w="0" w:type="dxa"/>
              <w:right w:w="62" w:type="dxa"/>
            </w:tcMar>
          </w:tcPr>
          <w:p w:rsidR="00000000" w:rsidP="00DD2FD0">
            <w:pPr>
              <w:pStyle w:val="BodyText"/>
              <w:rPr>
                <w:lang w:val="en-NZ"/>
              </w:rPr>
            </w:pPr>
            <w:r w:rsidRPr="00DD2FD0">
              <w:rPr>
                <w:rStyle w:val="SpecialBold"/>
              </w:rPr>
              <w:t>9</w:t>
            </w:r>
            <w:r w:rsidRPr="00DD2FD0">
              <w:t>.</w:t>
            </w:r>
            <w:r w:rsidRPr="00DD2FD0">
              <w:rPr>
                <w:rStyle w:val="SpecialBold"/>
              </w:rPr>
              <w:t>5</w:t>
            </w:r>
            <w:r w:rsidRPr="00DD2FD0">
              <w:t>)</w:t>
            </w:r>
          </w:p>
        </w:tc>
      </w:tr>
      <w:tr w:rsidTr="00DC158B">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9" w:type="dxa"/>
            <w:gridSpan w:val="3"/>
            <w:tcBorders>
              <w:top w:val="nil"/>
              <w:left w:val="nil"/>
              <w:bottom w:val="nil"/>
              <w:right w:val="nil"/>
            </w:tcBorders>
            <w:tcMar>
              <w:top w:w="0" w:type="dxa"/>
              <w:left w:w="62" w:type="dxa"/>
              <w:bottom w:w="0" w:type="dxa"/>
              <w:right w:w="62" w:type="dxa"/>
            </w:tcMar>
          </w:tcPr>
          <w:p w:rsidR="00000000" w:rsidRPr="00DD2FD0" w:rsidP="00DD2FD0">
            <w:pPr>
              <w:pStyle w:val="BodyText"/>
            </w:pPr>
            <w:r w:rsidRPr="00DD2FD0">
              <w:t>There are no concurrent assessment recommendations for this unit.</w:t>
            </w:r>
          </w:p>
        </w:tc>
      </w:tr>
    </w:tbl>
    <w:p w:rsidR="00DC158B" w:rsidP="00DD2FD0">
      <w:pPr>
        <w:pStyle w:val="BodyText"/>
      </w:pPr>
    </w:p>
    <w:p w:rsidR="00DC158B" w:rsidP="00DD2FD0">
      <w:pPr>
        <w:pStyle w:val="BodyText"/>
      </w:pPr>
    </w:p>
    <w:p w:rsidR="00000000" w:rsidRPr="00DD2FD0" w:rsidP="00DD2FD0">
      <w:pPr>
        <w:pStyle w:val="Heading1"/>
      </w:pPr>
      <w:bookmarkStart w:id="11" w:name="O_589347"/>
      <w:bookmarkEnd w:id="11"/>
      <w:r w:rsidRPr="00DD2FD0">
        <w:t>Range Statement</w:t>
      </w:r>
    </w:p>
    <w:tbl>
      <w:tblPr>
        <w:tblW w:w="0" w:type="auto"/>
        <w:tblLayout w:type="fixed"/>
        <w:tblCellMar>
          <w:left w:w="62" w:type="dxa"/>
          <w:right w:w="62" w:type="dxa"/>
        </w:tblCellMar>
        <w:tblLook w:val="0000"/>
      </w:tblPr>
      <w:tblGrid>
        <w:gridCol w:w="8649"/>
      </w:tblGrid>
      <w:tr w:rsidTr="00DC158B">
        <w:tblPrEx>
          <w:tblW w:w="0" w:type="auto"/>
          <w:tblLayout w:type="fixed"/>
          <w:tblCellMar>
            <w:left w:w="62" w:type="dxa"/>
            <w:right w:w="62" w:type="dxa"/>
          </w:tblCellMar>
          <w:tblLook w:val="0000"/>
        </w:tblPrEx>
        <w:trPr>
          <w:tblHeader/>
        </w:trPr>
        <w:tc>
          <w:tcPr>
            <w:tcW w:w="8649" w:type="dxa"/>
            <w:tcBorders>
              <w:top w:val="nil"/>
              <w:left w:val="nil"/>
              <w:bottom w:val="nil"/>
              <w:right w:val="nil"/>
            </w:tcBorders>
            <w:tcMar>
              <w:top w:w="0" w:type="dxa"/>
              <w:left w:w="62" w:type="dxa"/>
              <w:bottom w:w="0" w:type="dxa"/>
              <w:right w:w="62" w:type="dxa"/>
            </w:tcMar>
          </w:tcPr>
          <w:p w:rsidR="00000000" w:rsidP="00DD2FD0">
            <w:pPr>
              <w:pStyle w:val="BodyText"/>
              <w:rPr>
                <w:lang w:val="en-NZ"/>
              </w:rPr>
            </w:pPr>
            <w:r w:rsidRPr="00DD2FD0">
              <w:rPr>
                <w:rStyle w:val="SpecialBold"/>
              </w:rPr>
              <w:t>RANGE STATEMENT</w:t>
            </w:r>
          </w:p>
        </w:tc>
      </w:tr>
      <w:tr w:rsidTr="00DC158B">
        <w:tblPrEx>
          <w:tblW w:w="0" w:type="auto"/>
          <w:tblLayout w:type="fixed"/>
          <w:tblCellMar>
            <w:left w:w="62" w:type="dxa"/>
            <w:right w:w="62" w:type="dxa"/>
          </w:tblCellMar>
          <w:tblLook w:val="0000"/>
        </w:tblPrEx>
        <w:tc>
          <w:tcPr>
            <w:tcW w:w="8649" w:type="dxa"/>
            <w:tcBorders>
              <w:top w:val="nil"/>
              <w:left w:val="nil"/>
              <w:bottom w:val="nil"/>
              <w:right w:val="nil"/>
            </w:tcBorders>
            <w:tcMar>
              <w:top w:w="0" w:type="dxa"/>
              <w:left w:w="62" w:type="dxa"/>
              <w:bottom w:w="0" w:type="dxa"/>
              <w:right w:w="62" w:type="dxa"/>
            </w:tcMar>
          </w:tcPr>
          <w:p w:rsidR="00000000" w:rsidP="00DD2FD0">
            <w:pPr>
              <w:pStyle w:val="BodyText"/>
              <w:rPr>
                <w:lang w:val="en-NZ"/>
              </w:rPr>
            </w:pPr>
            <w:r w:rsidRPr="00DD2FD0">
              <w:rPr>
                <w:rStyle w:val="SpecialBold"/>
              </w:rPr>
              <w:t>8</w:t>
            </w:r>
            <w:r w:rsidRPr="00DD2FD0">
              <w:t>) This relates to the unit as a whole providing the range of contexts and conditions to which the performance criteria apply. It allows for different work environments and situations that will affect performance.</w:t>
            </w:r>
          </w:p>
        </w:tc>
      </w:tr>
      <w:tr w:rsidTr="00DC158B">
        <w:tblPrEx>
          <w:tblW w:w="0" w:type="auto"/>
          <w:tblLayout w:type="fixed"/>
          <w:tblCellMar>
            <w:left w:w="62" w:type="dxa"/>
            <w:right w:w="62" w:type="dxa"/>
          </w:tblCellMar>
          <w:tblLook w:val="0000"/>
        </w:tblPrEx>
        <w:tc>
          <w:tcPr>
            <w:tcW w:w="8649" w:type="dxa"/>
            <w:tcBorders>
              <w:top w:val="nil"/>
              <w:left w:val="nil"/>
              <w:bottom w:val="nil"/>
              <w:right w:val="nil"/>
            </w:tcBorders>
            <w:tcMar>
              <w:top w:w="0" w:type="dxa"/>
              <w:left w:w="62" w:type="dxa"/>
              <w:bottom w:w="0" w:type="dxa"/>
              <w:right w:w="62" w:type="dxa"/>
            </w:tcMar>
          </w:tcPr>
          <w:p w:rsidR="00000000" w:rsidP="00DD2FD0">
            <w:pPr>
              <w:pStyle w:val="BodyText"/>
              <w:rPr>
                <w:lang w:val="en-NZ"/>
              </w:rPr>
            </w:pPr>
            <w:r w:rsidRPr="00DD2FD0">
              <w:t>This unit must be demonstrated in relation</w:t>
            </w:r>
            <w:r w:rsidRPr="00DD2FD0">
              <w:t xml:space="preserve"> to determining the basic operating conditions using measurement and basic calculation methods of air side components of air conditioning systems. These conditions include air dry and wet bulb temperatures, relative humidity, air velocity and volume flow r</w:t>
            </w:r>
            <w:r w:rsidRPr="00DD2FD0">
              <w:t>ates across a grille/register.</w:t>
            </w:r>
          </w:p>
        </w:tc>
      </w:tr>
      <w:tr w:rsidTr="00DC158B">
        <w:tblPrEx>
          <w:tblW w:w="0" w:type="auto"/>
          <w:tblLayout w:type="fixed"/>
          <w:tblCellMar>
            <w:left w:w="62" w:type="dxa"/>
            <w:right w:w="62" w:type="dxa"/>
          </w:tblCellMar>
          <w:tblLook w:val="0000"/>
        </w:tblPrEx>
        <w:tc>
          <w:tcPr>
            <w:tcW w:w="8649" w:type="dxa"/>
            <w:tcBorders>
              <w:top w:val="nil"/>
              <w:left w:val="nil"/>
              <w:bottom w:val="nil"/>
              <w:right w:val="nil"/>
            </w:tcBorders>
            <w:tcMar>
              <w:top w:w="0" w:type="dxa"/>
              <w:left w:w="62" w:type="dxa"/>
              <w:bottom w:w="0" w:type="dxa"/>
              <w:right w:w="62" w:type="dxa"/>
            </w:tcMar>
          </w:tcPr>
          <w:p w:rsidR="00000000" w:rsidRPr="00DD2FD0" w:rsidP="00DD2FD0">
            <w:pPr>
              <w:pStyle w:val="BodyText"/>
            </w:pPr>
            <w:r w:rsidRPr="00DD2FD0">
              <w:t>Generic terms used throughout this Vocational Standard shall be regarded as part of the Range Statement in which competency is demonstrated. The definition of these and other terms that apply are given in Volume 2, Part 2.1.</w:t>
            </w:r>
          </w:p>
          <w:p w:rsidR="00000000" w:rsidRPr="00DD2FD0" w:rsidP="00DD2FD0">
            <w:pPr>
              <w:pStyle w:val="BodyText"/>
            </w:pPr>
          </w:p>
        </w:tc>
      </w:tr>
    </w:tbl>
    <w:p w:rsidR="00DC158B" w:rsidP="00DD2FD0">
      <w:pPr>
        <w:pStyle w:val="BodyText"/>
      </w:pPr>
    </w:p>
    <w:p w:rsidR="00DC158B" w:rsidP="00DD2FD0">
      <w:pPr>
        <w:pStyle w:val="BodyText"/>
      </w:pPr>
    </w:p>
    <w:p w:rsidR="00000000" w:rsidRPr="00DD2FD0" w:rsidP="00DD2FD0">
      <w:pPr>
        <w:pStyle w:val="Heading1"/>
      </w:pPr>
      <w:bookmarkStart w:id="12" w:name="O_589346"/>
      <w:bookmarkEnd w:id="12"/>
      <w:r w:rsidRPr="00DD2FD0">
        <w:t>Unit Sector(s)</w:t>
      </w:r>
    </w:p>
    <w:p w:rsidR="00000000" w:rsidRPr="00DD2FD0" w:rsidP="00DD2FD0">
      <w:pPr>
        <w:pStyle w:val="BodyText"/>
      </w:pPr>
      <w:r w:rsidRPr="00DD2FD0">
        <w:t>Not Applicable</w:t>
      </w:r>
    </w:p>
    <w:p w:rsidR="00000000" w:rsidRPr="00DD2FD0" w:rsidP="00DD2FD0">
      <w:pPr>
        <w:pStyle w:val="AllowPageBreak"/>
      </w:pPr>
    </w:p>
    <w:p w:rsidR="00000000" w:rsidRPr="00DD2FD0" w:rsidP="00DD2FD0">
      <w:pPr>
        <w:pStyle w:val="Heading1"/>
      </w:pPr>
      <w:bookmarkStart w:id="13" w:name="O_589345"/>
      <w:bookmarkEnd w:id="13"/>
      <w:r w:rsidRPr="00DD2FD0">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DC158B">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DD2FD0" w:rsidP="00DD2FD0">
            <w:pPr>
              <w:pStyle w:val="BodyText"/>
            </w:pPr>
            <w:r w:rsidRPr="00DD2FD0">
              <w:rPr>
                <w:rStyle w:val="SpecialBold"/>
              </w:rPr>
              <w:t>2</w:t>
            </w:r>
            <w:r w:rsidRPr="00DD2FD0">
              <w:t>.</w:t>
            </w:r>
            <w:r w:rsidRPr="00DD2FD0">
              <w:rPr>
                <w:rStyle w:val="SpecialBold"/>
              </w:rPr>
              <w:t>2</w:t>
            </w:r>
            <w:r w:rsidRPr="00DD2FD0">
              <w:t xml:space="preserve">) </w:t>
            </w:r>
            <w:r w:rsidRPr="00DD2FD0">
              <w:rPr>
                <w:rStyle w:val="SpecialBold"/>
              </w:rPr>
              <w:t>Literacy and numeracy skills</w:t>
            </w:r>
          </w:p>
          <w:p w:rsidR="00000000" w:rsidP="00DD2FD0">
            <w:pPr>
              <w:pStyle w:val="BodyText"/>
              <w:rPr>
                <w:lang w:val="en-NZ"/>
              </w:rPr>
            </w:pPr>
            <w:r w:rsidRPr="00DD2FD0">
              <w:t>Participants are best equipped to achieve competency in this unit if they have reading, writing and numeracy skills indicated by the fol</w:t>
            </w:r>
            <w:r w:rsidRPr="00DD2FD0">
              <w:t>lowing scales. Description of each scale is given in Volume 2, Part 3 'Literacy and Numeracy'</w:t>
            </w:r>
          </w:p>
        </w:tc>
      </w:tr>
      <w:tr w:rsidTr="00DC158B">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DD2FD0">
            <w:pPr>
              <w:pStyle w:val="BodyText"/>
              <w:rPr>
                <w:lang w:val="en-NZ"/>
              </w:rPr>
            </w:pPr>
            <w:r w:rsidRPr="00DD2FD0">
              <w:t>Reading</w:t>
            </w:r>
          </w:p>
        </w:tc>
        <w:tc>
          <w:tcPr>
            <w:tcW w:w="1182" w:type="dxa"/>
            <w:tcBorders>
              <w:top w:val="nil"/>
              <w:left w:val="nil"/>
              <w:bottom w:val="nil"/>
              <w:right w:val="nil"/>
            </w:tcBorders>
            <w:tcMar>
              <w:top w:w="0" w:type="dxa"/>
              <w:left w:w="62" w:type="dxa"/>
              <w:bottom w:w="0" w:type="dxa"/>
              <w:right w:w="62" w:type="dxa"/>
            </w:tcMar>
          </w:tcPr>
          <w:p w:rsidR="00000000" w:rsidP="00DD2FD0">
            <w:pPr>
              <w:pStyle w:val="BodyText"/>
              <w:rPr>
                <w:lang w:val="en-NZ"/>
              </w:rPr>
            </w:pPr>
            <w:r w:rsidRPr="00DD2FD0">
              <w:t>3</w:t>
            </w:r>
          </w:p>
        </w:tc>
        <w:tc>
          <w:tcPr>
            <w:tcW w:w="1739" w:type="dxa"/>
            <w:tcBorders>
              <w:top w:val="nil"/>
              <w:left w:val="nil"/>
              <w:bottom w:val="nil"/>
              <w:right w:val="nil"/>
            </w:tcBorders>
            <w:tcMar>
              <w:top w:w="0" w:type="dxa"/>
              <w:left w:w="62" w:type="dxa"/>
              <w:bottom w:w="0" w:type="dxa"/>
              <w:right w:w="62" w:type="dxa"/>
            </w:tcMar>
          </w:tcPr>
          <w:p w:rsidR="00000000" w:rsidP="00DD2FD0">
            <w:pPr>
              <w:pStyle w:val="BodyText"/>
              <w:rPr>
                <w:lang w:val="en-NZ"/>
              </w:rPr>
            </w:pPr>
            <w:r w:rsidRPr="00DD2FD0">
              <w:t>Writing</w:t>
            </w:r>
          </w:p>
        </w:tc>
        <w:tc>
          <w:tcPr>
            <w:tcW w:w="1182" w:type="dxa"/>
            <w:tcBorders>
              <w:top w:val="nil"/>
              <w:left w:val="nil"/>
              <w:bottom w:val="nil"/>
              <w:right w:val="nil"/>
            </w:tcBorders>
            <w:tcMar>
              <w:top w:w="0" w:type="dxa"/>
              <w:left w:w="62" w:type="dxa"/>
              <w:bottom w:w="0" w:type="dxa"/>
              <w:right w:w="62" w:type="dxa"/>
            </w:tcMar>
          </w:tcPr>
          <w:p w:rsidR="00000000" w:rsidP="00DD2FD0">
            <w:pPr>
              <w:pStyle w:val="BodyText"/>
              <w:rPr>
                <w:lang w:val="en-NZ"/>
              </w:rPr>
            </w:pPr>
            <w:r w:rsidRPr="00DD2FD0">
              <w:t>3</w:t>
            </w:r>
          </w:p>
        </w:tc>
        <w:tc>
          <w:tcPr>
            <w:tcW w:w="1721" w:type="dxa"/>
            <w:tcBorders>
              <w:top w:val="nil"/>
              <w:left w:val="nil"/>
              <w:bottom w:val="nil"/>
              <w:right w:val="nil"/>
            </w:tcBorders>
            <w:tcMar>
              <w:top w:w="0" w:type="dxa"/>
              <w:left w:w="62" w:type="dxa"/>
              <w:bottom w:w="0" w:type="dxa"/>
              <w:right w:w="62" w:type="dxa"/>
            </w:tcMar>
          </w:tcPr>
          <w:p w:rsidR="00000000" w:rsidP="00DD2FD0">
            <w:pPr>
              <w:pStyle w:val="BodyText"/>
              <w:rPr>
                <w:lang w:val="en-NZ"/>
              </w:rPr>
            </w:pPr>
            <w:r w:rsidRPr="00DD2FD0">
              <w:t>Numeracy</w:t>
            </w:r>
          </w:p>
        </w:tc>
        <w:tc>
          <w:tcPr>
            <w:tcW w:w="1182" w:type="dxa"/>
            <w:tcBorders>
              <w:top w:val="nil"/>
              <w:left w:val="nil"/>
              <w:bottom w:val="nil"/>
              <w:right w:val="nil"/>
            </w:tcBorders>
            <w:tcMar>
              <w:top w:w="0" w:type="dxa"/>
              <w:left w:w="62" w:type="dxa"/>
              <w:bottom w:w="0" w:type="dxa"/>
              <w:right w:w="62" w:type="dxa"/>
            </w:tcMar>
          </w:tcPr>
          <w:p w:rsidR="00000000" w:rsidRPr="00DD2FD0" w:rsidP="00DD2FD0">
            <w:pPr>
              <w:pStyle w:val="BodyText"/>
            </w:pPr>
            <w:r w:rsidRPr="00DD2FD0">
              <w:t>3</w:t>
            </w:r>
          </w:p>
        </w:tc>
      </w:tr>
    </w:tbl>
    <w:p w:rsidR="00DC158B" w:rsidP="00DD2FD0">
      <w:pPr>
        <w:pStyle w:val="BodyText"/>
      </w:pPr>
    </w:p>
    <w:p w:rsidR="00DC158B" w:rsidP="00DD2FD0">
      <w:pPr>
        <w:pStyle w:val="BodyText"/>
      </w:pPr>
    </w:p>
    <w:p w:rsidR="00000000" w:rsidRPr="00DD2FD0" w:rsidP="00DD2FD0">
      <w:pPr>
        <w:pStyle w:val="Heading1"/>
      </w:pPr>
      <w:bookmarkStart w:id="14" w:name="O_589344"/>
      <w:bookmarkEnd w:id="14"/>
      <w:r w:rsidRPr="00DD2FD0">
        <w:t>2.2) Literacy and numeracy skills</w:t>
      </w:r>
    </w:p>
    <w:tbl>
      <w:tblPr>
        <w:tblW w:w="0" w:type="auto"/>
        <w:tblLayout w:type="fixed"/>
        <w:tblCellMar>
          <w:left w:w="62" w:type="dxa"/>
          <w:right w:w="62" w:type="dxa"/>
        </w:tblCellMar>
        <w:tblLook w:val="0000"/>
      </w:tblPr>
      <w:tblGrid>
        <w:gridCol w:w="2700"/>
        <w:gridCol w:w="5760"/>
      </w:tblGrid>
      <w:tr w:rsidTr="00DC158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D2FD0" w:rsidP="00DD2FD0">
            <w:pPr>
              <w:pStyle w:val="BodyText"/>
            </w:pPr>
            <w:r w:rsidRPr="00DD2FD0">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DD2FD0">
            <w:pPr>
              <w:pStyle w:val="BodyText"/>
              <w:rPr>
                <w:lang w:val="en-NZ"/>
              </w:rPr>
            </w:pPr>
            <w:r w:rsidRPr="00DD2FD0">
              <w:rPr>
                <w:rStyle w:val="SpecialBold"/>
              </w:rPr>
              <w:t>5</w:t>
            </w:r>
            <w:r w:rsidRPr="00DD2FD0">
              <w:t>)</w:t>
            </w:r>
          </w:p>
        </w:tc>
      </w:tr>
      <w:tr w:rsidTr="00DC158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D2FD0" w:rsidP="00DD2FD0">
            <w:pPr>
              <w:pStyle w:val="BodyText"/>
            </w:pPr>
            <w:r w:rsidRPr="00DD2FD0">
              <w:t>Refrigeration and Air Conditioning</w:t>
            </w:r>
          </w:p>
        </w:tc>
      </w:tr>
    </w:tbl>
    <w:p w:rsidR="00DC158B" w:rsidP="00DD2FD0">
      <w:pPr>
        <w:pStyle w:val="BodyText"/>
      </w:pPr>
    </w:p>
    <w:p w:rsidR="00DC158B" w:rsidP="00DD2FD0">
      <w:pPr>
        <w:pStyle w:val="BodyText"/>
      </w:pPr>
    </w:p>
    <w:p w:rsidR="00000000" w:rsidRPr="00DD2FD0" w:rsidP="00DD2FD0"/>
    <w:sectPr w:rsidSect="00DD2FD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FD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FD0" w:rsidRPr="00DC158B" w:rsidP="00DC158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FD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158B" w:rsidP="00DD2FD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14</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DC158B" w:rsidP="00DD2FD0">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DC158B" w:rsidP="00DD2FD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FD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FD0" w:rsidRPr="00DC158B" w:rsidP="00DC158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FD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158B" w:rsidRPr="002D2AF8" w:rsidP="00DD2FD0">
    <w:pPr>
      <w:pStyle w:val="Header"/>
      <w:framePr w:wrap="around"/>
    </w:pPr>
    <w:r>
      <w:fldChar w:fldCharType="begin"/>
    </w:r>
    <w:r>
      <w:instrText xml:space="preserve"> TITLE   \* MERGEFORMAT </w:instrText>
    </w:r>
    <w:r>
      <w:fldChar w:fldCharType="separate"/>
    </w:r>
    <w:r>
      <w:t>UEENEEJ104A Establish the basic operating conditions of air conditioning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DC158B" w:rsidP="00DD2FD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AA8E7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E30C5C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2D4654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2FD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D2FD0"/>
    <w:pPr>
      <w:spacing w:before="360" w:after="60"/>
      <w:outlineLvl w:val="0"/>
    </w:pPr>
    <w:rPr>
      <w:sz w:val="32"/>
    </w:rPr>
  </w:style>
  <w:style w:type="paragraph" w:styleId="Heading2">
    <w:name w:val="heading 2"/>
    <w:basedOn w:val="HeadingBase"/>
    <w:next w:val="BodyText"/>
    <w:link w:val="Heading2Char"/>
    <w:qFormat/>
    <w:rsid w:val="00DD2FD0"/>
    <w:pPr>
      <w:keepLines/>
      <w:spacing w:before="240" w:after="120"/>
      <w:outlineLvl w:val="1"/>
    </w:pPr>
    <w:rPr>
      <w:sz w:val="28"/>
      <w:szCs w:val="40"/>
    </w:rPr>
  </w:style>
  <w:style w:type="paragraph" w:styleId="Heading3">
    <w:name w:val="heading 3"/>
    <w:basedOn w:val="HeadingBase"/>
    <w:next w:val="BodyText"/>
    <w:link w:val="Heading3Char"/>
    <w:qFormat/>
    <w:rsid w:val="00DD2FD0"/>
    <w:pPr>
      <w:spacing w:before="180" w:after="120"/>
      <w:outlineLvl w:val="2"/>
    </w:pPr>
    <w:rPr>
      <w:spacing w:val="-10"/>
      <w:kern w:val="32"/>
    </w:rPr>
  </w:style>
  <w:style w:type="paragraph" w:styleId="Heading4">
    <w:name w:val="heading 4"/>
    <w:basedOn w:val="HeadingBase"/>
    <w:next w:val="BodyText"/>
    <w:link w:val="Heading4Char"/>
    <w:qFormat/>
    <w:rsid w:val="00DD2FD0"/>
    <w:pPr>
      <w:spacing w:before="160" w:after="120"/>
      <w:outlineLvl w:val="3"/>
    </w:pPr>
    <w:rPr>
      <w:sz w:val="22"/>
    </w:rPr>
  </w:style>
  <w:style w:type="paragraph" w:styleId="Heading5">
    <w:name w:val="heading 5"/>
    <w:basedOn w:val="HeadingBase"/>
    <w:next w:val="Normal"/>
    <w:link w:val="Heading5Char"/>
    <w:qFormat/>
    <w:rsid w:val="00DD2FD0"/>
    <w:pPr>
      <w:spacing w:before="80"/>
      <w:outlineLvl w:val="4"/>
    </w:pPr>
    <w:rPr>
      <w:color w:val="918585"/>
      <w:sz w:val="20"/>
    </w:rPr>
  </w:style>
  <w:style w:type="paragraph" w:styleId="Heading6">
    <w:name w:val="heading 6"/>
    <w:basedOn w:val="HeadingBase"/>
    <w:next w:val="Normal"/>
    <w:link w:val="Heading6Char"/>
    <w:qFormat/>
    <w:rsid w:val="00DD2FD0"/>
    <w:pPr>
      <w:spacing w:before="60"/>
      <w:outlineLvl w:val="5"/>
    </w:pPr>
    <w:rPr>
      <w:color w:val="918585"/>
      <w:sz w:val="20"/>
    </w:rPr>
  </w:style>
  <w:style w:type="paragraph" w:styleId="Heading7">
    <w:name w:val="heading 7"/>
    <w:basedOn w:val="Normal"/>
    <w:next w:val="Normal"/>
    <w:link w:val="Heading7Char"/>
    <w:qFormat/>
    <w:rsid w:val="00DD2FD0"/>
    <w:pPr>
      <w:ind w:left="720"/>
      <w:outlineLvl w:val="6"/>
    </w:pPr>
    <w:rPr>
      <w:i/>
    </w:rPr>
  </w:style>
  <w:style w:type="paragraph" w:styleId="Heading8">
    <w:name w:val="heading 8"/>
    <w:basedOn w:val="Normal"/>
    <w:next w:val="Normal"/>
    <w:link w:val="Heading8Char"/>
    <w:qFormat/>
    <w:rsid w:val="00DD2FD0"/>
    <w:pPr>
      <w:ind w:left="720"/>
      <w:outlineLvl w:val="7"/>
    </w:pPr>
    <w:rPr>
      <w:i/>
    </w:rPr>
  </w:style>
  <w:style w:type="paragraph" w:styleId="Heading9">
    <w:name w:val="heading 9"/>
    <w:basedOn w:val="Normal"/>
    <w:next w:val="Normal"/>
    <w:link w:val="Heading9Char"/>
    <w:qFormat/>
    <w:rsid w:val="00DD2FD0"/>
    <w:pPr>
      <w:ind w:left="720"/>
      <w:outlineLvl w:val="8"/>
    </w:pPr>
    <w:rPr>
      <w:i/>
    </w:rPr>
  </w:style>
  <w:style w:type="character" w:default="1" w:styleId="DefaultParagraphFont">
    <w:name w:val="Default Paragraph Font"/>
    <w:uiPriority w:val="1"/>
    <w:unhideWhenUsed/>
    <w:rsid w:val="00DD2FD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D2FD0"/>
  </w:style>
  <w:style w:type="character" w:customStyle="1" w:styleId="Heading1Char">
    <w:name w:val="Heading 1 Char"/>
    <w:basedOn w:val="DefaultParagraphFont"/>
    <w:link w:val="Heading1"/>
    <w:rsid w:val="00DD2FD0"/>
    <w:rPr>
      <w:rFonts w:ascii="Times New Roman" w:eastAsia="Times New Roman" w:hAnsi="Times New Roman" w:cs="Times New Roman"/>
      <w:b/>
      <w:sz w:val="32"/>
      <w:szCs w:val="20"/>
      <w:lang w:eastAsia="en-US"/>
    </w:rPr>
  </w:style>
  <w:style w:type="paragraph" w:styleId="BodyText">
    <w:name w:val="Body Text"/>
    <w:basedOn w:val="Normal"/>
    <w:link w:val="BodyTextChar"/>
    <w:rsid w:val="00DD2FD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D2FD0"/>
    <w:rPr>
      <w:rFonts w:ascii="Times New Roman" w:eastAsia="Times New Roman" w:hAnsi="Times New Roman" w:cs="Times New Roman"/>
      <w:sz w:val="24"/>
      <w:lang w:eastAsia="en-US"/>
    </w:rPr>
  </w:style>
  <w:style w:type="paragraph" w:styleId="ListBullet">
    <w:name w:val="List Bullet"/>
    <w:basedOn w:val="List"/>
    <w:rsid w:val="00DD2FD0"/>
    <w:pPr>
      <w:numPr>
        <w:numId w:val="13"/>
      </w:numPr>
      <w:tabs>
        <w:tab w:val="clear" w:pos="340"/>
      </w:tabs>
      <w:spacing w:before="40" w:after="40"/>
    </w:pPr>
  </w:style>
  <w:style w:type="character" w:customStyle="1" w:styleId="SpecialBold">
    <w:name w:val="Special Bold"/>
    <w:basedOn w:val="DefaultParagraphFont"/>
    <w:rsid w:val="00DD2FD0"/>
    <w:rPr>
      <w:b/>
      <w:spacing w:val="0"/>
    </w:rPr>
  </w:style>
  <w:style w:type="paragraph" w:styleId="ListBullet2">
    <w:name w:val="List Bullet 2"/>
    <w:basedOn w:val="List2"/>
    <w:rsid w:val="00DD2FD0"/>
    <w:pPr>
      <w:numPr>
        <w:numId w:val="14"/>
      </w:numPr>
      <w:tabs>
        <w:tab w:val="clear" w:pos="680"/>
      </w:tabs>
    </w:pPr>
  </w:style>
  <w:style w:type="paragraph" w:customStyle="1" w:styleId="SuperHeading">
    <w:name w:val="SuperHeading"/>
    <w:basedOn w:val="Normal"/>
    <w:rsid w:val="00DD2FD0"/>
    <w:pPr>
      <w:spacing w:before="240" w:after="120"/>
      <w:outlineLvl w:val="0"/>
    </w:pPr>
    <w:rPr>
      <w:rFonts w:ascii="Times New Roman" w:hAnsi="Times New Roman"/>
      <w:b/>
      <w:sz w:val="32"/>
    </w:rPr>
  </w:style>
  <w:style w:type="paragraph" w:customStyle="1" w:styleId="AllowPageBreak">
    <w:name w:val="AllowPageBreak"/>
    <w:rsid w:val="00DD2FD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D2FD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D2FD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D2FD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D2FD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D2FD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D2FD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D2FD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D2FD0"/>
    <w:rPr>
      <w:rFonts w:ascii="Courier New" w:eastAsia="Times New Roman" w:hAnsi="Courier New" w:cs="Times New Roman"/>
      <w:i/>
      <w:szCs w:val="20"/>
      <w:lang w:eastAsia="en-US"/>
    </w:rPr>
  </w:style>
  <w:style w:type="paragraph" w:customStyle="1" w:styleId="HeadingBase">
    <w:name w:val="Heading Base"/>
    <w:rsid w:val="00DD2FD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D2FD0"/>
    <w:pPr>
      <w:tabs>
        <w:tab w:val="right" w:leader="dot" w:pos="9072"/>
      </w:tabs>
      <w:ind w:left="567"/>
    </w:pPr>
    <w:rPr>
      <w:szCs w:val="22"/>
    </w:rPr>
  </w:style>
  <w:style w:type="paragraph" w:customStyle="1" w:styleId="TOCBase">
    <w:name w:val="TOC Base"/>
    <w:rsid w:val="00DD2FD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D2FD0"/>
    <w:pPr>
      <w:tabs>
        <w:tab w:val="right" w:leader="dot" w:pos="9072"/>
      </w:tabs>
      <w:spacing w:before="40" w:after="40"/>
      <w:ind w:left="284"/>
    </w:pPr>
    <w:rPr>
      <w:rFonts w:ascii="Times New Roman" w:hAnsi="Times New Roman"/>
    </w:rPr>
  </w:style>
  <w:style w:type="paragraph" w:styleId="TOC1">
    <w:name w:val="toc 1"/>
    <w:basedOn w:val="TOCBase"/>
    <w:next w:val="Normal"/>
    <w:rsid w:val="00DD2FD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D2FD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D2FD0"/>
    <w:rPr>
      <w:rFonts w:ascii="Times New Roman" w:eastAsia="Times New Roman" w:hAnsi="Times New Roman" w:cs="Times New Roman"/>
      <w:sz w:val="16"/>
      <w:lang w:eastAsia="en-US"/>
    </w:rPr>
  </w:style>
  <w:style w:type="paragraph" w:styleId="Title">
    <w:name w:val="Title"/>
    <w:basedOn w:val="HeadingBase"/>
    <w:link w:val="TitleChar"/>
    <w:qFormat/>
    <w:rsid w:val="00DD2FD0"/>
    <w:pPr>
      <w:spacing w:before="5040"/>
      <w:jc w:val="center"/>
    </w:pPr>
    <w:rPr>
      <w:sz w:val="48"/>
      <w:szCs w:val="72"/>
      <w:lang w:val="en-US"/>
    </w:rPr>
  </w:style>
  <w:style w:type="character" w:customStyle="1" w:styleId="TitleChar">
    <w:name w:val="Title Char"/>
    <w:basedOn w:val="DefaultParagraphFont"/>
    <w:link w:val="Title"/>
    <w:rsid w:val="00DD2FD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D2FD0"/>
    <w:pPr>
      <w:tabs>
        <w:tab w:val="left" w:pos="3600"/>
        <w:tab w:val="left" w:pos="3958"/>
      </w:tabs>
    </w:pPr>
  </w:style>
  <w:style w:type="paragraph" w:styleId="List">
    <w:name w:val="List"/>
    <w:basedOn w:val="BodyText"/>
    <w:next w:val="BodyText"/>
    <w:rsid w:val="00DD2FD0"/>
    <w:pPr>
      <w:tabs>
        <w:tab w:val="left" w:pos="340"/>
      </w:tabs>
      <w:spacing w:before="60" w:after="60"/>
      <w:ind w:left="340" w:hanging="340"/>
    </w:pPr>
  </w:style>
  <w:style w:type="paragraph" w:customStyle="1" w:styleId="Note">
    <w:name w:val="Note"/>
    <w:basedOn w:val="BodyText"/>
    <w:rsid w:val="00DD2FD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D2FD0"/>
    <w:pPr>
      <w:framePr w:wrap="auto" w:hAnchor="text" w:y="6049"/>
    </w:pPr>
    <w:rPr>
      <w:color w:val="000000"/>
      <w:sz w:val="40"/>
    </w:rPr>
  </w:style>
  <w:style w:type="paragraph" w:customStyle="1" w:styleId="TOCTitle">
    <w:name w:val="TOCTitle"/>
    <w:basedOn w:val="Heading1"/>
    <w:rsid w:val="00DD2FD0"/>
    <w:pPr>
      <w:spacing w:after="240"/>
      <w:jc w:val="center"/>
      <w:outlineLvl w:val="9"/>
    </w:pPr>
    <w:rPr>
      <w:caps/>
    </w:rPr>
  </w:style>
  <w:style w:type="paragraph" w:customStyle="1" w:styleId="Version">
    <w:name w:val="Version"/>
    <w:rsid w:val="00DD2FD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D2FD0"/>
    <w:pPr>
      <w:keepNext w:val="0"/>
      <w:tabs>
        <w:tab w:val="right" w:pos="4176"/>
      </w:tabs>
      <w:ind w:left="198" w:hanging="198"/>
    </w:pPr>
    <w:rPr>
      <w:rFonts w:ascii="Garamond" w:hAnsi="Garamond"/>
    </w:rPr>
  </w:style>
  <w:style w:type="paragraph" w:styleId="IndexHeading">
    <w:name w:val="index heading"/>
    <w:basedOn w:val="Normal"/>
    <w:next w:val="Index1"/>
    <w:semiHidden/>
    <w:rsid w:val="00DD2FD0"/>
    <w:pPr>
      <w:spacing w:before="120" w:after="120"/>
    </w:pPr>
    <w:rPr>
      <w:rFonts w:ascii="Arial" w:hAnsi="Arial"/>
      <w:b/>
      <w:color w:val="918585"/>
      <w:sz w:val="24"/>
    </w:rPr>
  </w:style>
  <w:style w:type="paragraph" w:styleId="Header">
    <w:name w:val="header"/>
    <w:basedOn w:val="Normal"/>
    <w:link w:val="HeaderChar"/>
    <w:rsid w:val="00DD2FD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D2FD0"/>
    <w:rPr>
      <w:rFonts w:ascii="Times New Roman" w:eastAsia="Times New Roman" w:hAnsi="Times New Roman" w:cs="Times New Roman"/>
      <w:sz w:val="16"/>
      <w:szCs w:val="20"/>
      <w:lang w:val="en-GB" w:eastAsia="en-US"/>
    </w:rPr>
  </w:style>
  <w:style w:type="paragraph" w:customStyle="1" w:styleId="Chapter">
    <w:name w:val="Chapter"/>
    <w:basedOn w:val="Normal"/>
    <w:rsid w:val="00DD2FD0"/>
    <w:pPr>
      <w:spacing w:before="240"/>
    </w:pPr>
    <w:rPr>
      <w:rFonts w:ascii="Times New Roman" w:hAnsi="Times New Roman"/>
      <w:smallCaps/>
      <w:spacing w:val="80"/>
      <w:sz w:val="28"/>
    </w:rPr>
  </w:style>
  <w:style w:type="paragraph" w:customStyle="1" w:styleId="InChapter">
    <w:name w:val="InChapter"/>
    <w:basedOn w:val="Heading3"/>
    <w:rsid w:val="00DD2FD0"/>
    <w:pPr>
      <w:spacing w:after="240"/>
      <w:outlineLvl w:val="9"/>
    </w:pPr>
    <w:rPr>
      <w:noProof/>
    </w:rPr>
  </w:style>
  <w:style w:type="paragraph" w:styleId="Index2">
    <w:name w:val="index 2"/>
    <w:basedOn w:val="Normal"/>
    <w:next w:val="Normal"/>
    <w:semiHidden/>
    <w:rsid w:val="00DD2FD0"/>
    <w:pPr>
      <w:tabs>
        <w:tab w:val="right" w:pos="4176"/>
      </w:tabs>
      <w:ind w:left="568" w:hanging="284"/>
    </w:pPr>
    <w:rPr>
      <w:rFonts w:ascii="Garamond" w:hAnsi="Garamond"/>
    </w:rPr>
  </w:style>
  <w:style w:type="paragraph" w:customStyle="1" w:styleId="Byline">
    <w:name w:val="Byline"/>
    <w:rsid w:val="00DD2FD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D2FD0"/>
    <w:pPr>
      <w:tabs>
        <w:tab w:val="clear" w:pos="3600"/>
        <w:tab w:val="clear" w:pos="3958"/>
      </w:tabs>
      <w:jc w:val="right"/>
    </w:pPr>
  </w:style>
  <w:style w:type="character" w:styleId="Emphasis">
    <w:name w:val="Emphasis"/>
    <w:basedOn w:val="DefaultParagraphFont"/>
    <w:qFormat/>
    <w:rsid w:val="00DD2FD0"/>
    <w:rPr>
      <w:i/>
    </w:rPr>
  </w:style>
  <w:style w:type="paragraph" w:styleId="Caption">
    <w:name w:val="caption"/>
    <w:basedOn w:val="BodyText"/>
    <w:next w:val="Normal"/>
    <w:qFormat/>
    <w:rsid w:val="00DD2FD0"/>
    <w:pPr>
      <w:framePr w:w="2268" w:hSpace="181" w:vSpace="181" w:wrap="around" w:vAnchor="text" w:hAnchor="page" w:x="1135" w:y="285" w:anchorLock="1"/>
    </w:pPr>
    <w:rPr>
      <w:i/>
    </w:rPr>
  </w:style>
  <w:style w:type="paragraph" w:customStyle="1" w:styleId="MiniTOCTitle">
    <w:name w:val="MiniTOCTitle"/>
    <w:basedOn w:val="Heading4"/>
    <w:rsid w:val="00DD2FD0"/>
    <w:pPr>
      <w:spacing w:before="240"/>
      <w:outlineLvl w:val="9"/>
    </w:pPr>
    <w:rPr>
      <w:noProof/>
      <w:sz w:val="24"/>
    </w:rPr>
  </w:style>
  <w:style w:type="paragraph" w:customStyle="1" w:styleId="MiniTOCItem">
    <w:name w:val="MiniTOCItem"/>
    <w:basedOn w:val="ListBullet"/>
    <w:rsid w:val="00DD2FD0"/>
    <w:pPr>
      <w:numPr>
        <w:numId w:val="0"/>
      </w:numPr>
      <w:tabs>
        <w:tab w:val="right" w:leader="dot" w:pos="6521"/>
      </w:tabs>
      <w:spacing w:before="0" w:after="0"/>
    </w:pPr>
  </w:style>
  <w:style w:type="paragraph" w:customStyle="1" w:styleId="TOFTitle">
    <w:name w:val="TOFTitle"/>
    <w:basedOn w:val="TOCTitle"/>
    <w:rsid w:val="00DD2FD0"/>
  </w:style>
  <w:style w:type="paragraph" w:styleId="TableofFigures">
    <w:name w:val="table of figures"/>
    <w:basedOn w:val="Normal"/>
    <w:next w:val="Normal"/>
    <w:semiHidden/>
    <w:rsid w:val="00DD2FD0"/>
    <w:pPr>
      <w:tabs>
        <w:tab w:val="right" w:leader="dot" w:pos="9072"/>
      </w:tabs>
      <w:ind w:left="970" w:hanging="403"/>
    </w:pPr>
    <w:rPr>
      <w:rFonts w:ascii="Times New Roman" w:hAnsi="Times New Roman"/>
      <w:b/>
    </w:rPr>
  </w:style>
  <w:style w:type="paragraph" w:styleId="ListNumber">
    <w:name w:val="List Number"/>
    <w:basedOn w:val="List"/>
    <w:rsid w:val="00DD2FD0"/>
    <w:pPr>
      <w:numPr>
        <w:numId w:val="11"/>
      </w:numPr>
    </w:pPr>
  </w:style>
  <w:style w:type="character" w:customStyle="1" w:styleId="WingdingSymbols">
    <w:name w:val="Wingding Symbols"/>
    <w:rsid w:val="00DD2FD0"/>
    <w:rPr>
      <w:rFonts w:ascii="Wingdings" w:hAnsi="Wingdings"/>
    </w:rPr>
  </w:style>
  <w:style w:type="paragraph" w:customStyle="1" w:styleId="TableHeading">
    <w:name w:val="Table Heading"/>
    <w:basedOn w:val="HeadingBase"/>
    <w:rsid w:val="00DD2FD0"/>
    <w:pPr>
      <w:keepLines/>
      <w:pBdr>
        <w:bottom w:val="single" w:sz="6" w:space="1" w:color="918585"/>
      </w:pBdr>
      <w:spacing w:before="240"/>
    </w:pPr>
  </w:style>
  <w:style w:type="character" w:customStyle="1" w:styleId="HotSpot">
    <w:name w:val="HotSpot"/>
    <w:rsid w:val="00DD2FD0"/>
    <w:rPr>
      <w:color w:val="0033CC"/>
      <w:u w:val="none"/>
    </w:rPr>
  </w:style>
  <w:style w:type="paragraph" w:customStyle="1" w:styleId="BodyTextRight">
    <w:name w:val="Body Text Right"/>
    <w:basedOn w:val="BodyText"/>
    <w:rsid w:val="00DD2FD0"/>
    <w:pPr>
      <w:spacing w:before="0" w:after="0"/>
      <w:jc w:val="right"/>
    </w:pPr>
  </w:style>
  <w:style w:type="paragraph" w:styleId="Index3">
    <w:name w:val="index 3"/>
    <w:basedOn w:val="ListNumber2"/>
    <w:next w:val="Normal"/>
    <w:semiHidden/>
    <w:rsid w:val="00DD2FD0"/>
    <w:pPr>
      <w:numPr>
        <w:numId w:val="0"/>
      </w:numPr>
      <w:tabs>
        <w:tab w:val="right" w:leader="dot" w:pos="4176"/>
      </w:tabs>
    </w:pPr>
  </w:style>
  <w:style w:type="paragraph" w:styleId="ListNumber2">
    <w:name w:val="List Number 2"/>
    <w:basedOn w:val="List2"/>
    <w:rsid w:val="00DD2FD0"/>
    <w:pPr>
      <w:numPr>
        <w:numId w:val="10"/>
      </w:numPr>
      <w:tabs>
        <w:tab w:val="clear" w:pos="1060"/>
      </w:tabs>
    </w:pPr>
  </w:style>
  <w:style w:type="paragraph" w:customStyle="1" w:styleId="MarginNote">
    <w:name w:val="Margin Note"/>
    <w:basedOn w:val="BodyText"/>
    <w:rsid w:val="00DD2FD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D2FD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D2FD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D2FD0"/>
    <w:rPr>
      <w:sz w:val="32"/>
    </w:rPr>
  </w:style>
  <w:style w:type="paragraph" w:customStyle="1" w:styleId="HeadingProcedure">
    <w:name w:val="Heading Procedure"/>
    <w:basedOn w:val="HeadingBase"/>
    <w:next w:val="Normal"/>
    <w:rsid w:val="00DD2FD0"/>
    <w:pPr>
      <w:tabs>
        <w:tab w:val="left" w:pos="0"/>
      </w:tabs>
      <w:spacing w:before="120" w:after="60"/>
    </w:pPr>
    <w:rPr>
      <w:i/>
      <w:color w:val="918585"/>
      <w:sz w:val="22"/>
    </w:rPr>
  </w:style>
  <w:style w:type="paragraph" w:customStyle="1" w:styleId="TableBodyText">
    <w:name w:val="Table Body Text"/>
    <w:basedOn w:val="BodyText"/>
    <w:rsid w:val="00DD2FD0"/>
    <w:pPr>
      <w:spacing w:before="60" w:after="60"/>
    </w:pPr>
  </w:style>
  <w:style w:type="paragraph" w:styleId="ListContinue">
    <w:name w:val="List Continue"/>
    <w:basedOn w:val="List"/>
    <w:rsid w:val="00DD2FD0"/>
    <w:pPr>
      <w:ind w:firstLine="0"/>
    </w:pPr>
  </w:style>
  <w:style w:type="paragraph" w:customStyle="1" w:styleId="ListNote">
    <w:name w:val="List Note"/>
    <w:basedOn w:val="List"/>
    <w:rsid w:val="00DD2FD0"/>
    <w:pPr>
      <w:pBdr>
        <w:top w:val="single" w:sz="6" w:space="2" w:color="918585"/>
        <w:bottom w:val="single" w:sz="6" w:space="2" w:color="918585"/>
      </w:pBdr>
      <w:tabs>
        <w:tab w:val="left" w:pos="1021"/>
      </w:tabs>
      <w:ind w:firstLine="0"/>
    </w:pPr>
  </w:style>
  <w:style w:type="paragraph" w:customStyle="1" w:styleId="Warning">
    <w:name w:val="Warning"/>
    <w:basedOn w:val="BodyText"/>
    <w:rsid w:val="00DD2FD0"/>
    <w:pPr>
      <w:shd w:val="clear" w:color="auto" w:fill="D9D9D9"/>
      <w:tabs>
        <w:tab w:val="left" w:pos="992"/>
      </w:tabs>
      <w:ind w:left="119" w:right="119"/>
    </w:pPr>
    <w:rPr>
      <w:sz w:val="20"/>
    </w:rPr>
  </w:style>
  <w:style w:type="paragraph" w:customStyle="1" w:styleId="MarginIcons">
    <w:name w:val="Margin Icons"/>
    <w:basedOn w:val="BodyText"/>
    <w:rsid w:val="00DD2FD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D2FD0"/>
    <w:rPr>
      <w:rFonts w:ascii="Courier New" w:hAnsi="Courier New"/>
    </w:rPr>
  </w:style>
  <w:style w:type="paragraph" w:customStyle="1" w:styleId="NoteBullet">
    <w:name w:val="Note Bullet"/>
    <w:basedOn w:val="Note"/>
    <w:rsid w:val="00DD2FD0"/>
    <w:pPr>
      <w:tabs>
        <w:tab w:val="clear" w:pos="680"/>
      </w:tabs>
      <w:spacing w:before="60" w:after="60"/>
    </w:pPr>
  </w:style>
  <w:style w:type="paragraph" w:customStyle="1" w:styleId="SubHeading2">
    <w:name w:val="SubHeading2"/>
    <w:basedOn w:val="HeadingBase"/>
    <w:rsid w:val="00DD2FD0"/>
    <w:pPr>
      <w:spacing w:before="240" w:after="60"/>
    </w:pPr>
    <w:rPr>
      <w:sz w:val="20"/>
    </w:rPr>
  </w:style>
  <w:style w:type="paragraph" w:customStyle="1" w:styleId="SubHeading1">
    <w:name w:val="SubHeading1"/>
    <w:basedOn w:val="HeadingBase"/>
    <w:rsid w:val="00DD2FD0"/>
    <w:pPr>
      <w:spacing w:before="240" w:after="60"/>
    </w:pPr>
    <w:rPr>
      <w:color w:val="918585"/>
      <w:sz w:val="22"/>
    </w:rPr>
  </w:style>
  <w:style w:type="paragraph" w:customStyle="1" w:styleId="SideHeading">
    <w:name w:val="Side Heading"/>
    <w:basedOn w:val="HeadingBase"/>
    <w:rsid w:val="00DD2FD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D2FD0"/>
    <w:pPr>
      <w:numPr>
        <w:numId w:val="12"/>
      </w:numPr>
    </w:pPr>
  </w:style>
  <w:style w:type="paragraph" w:styleId="PlainText">
    <w:name w:val="Plain Text"/>
    <w:basedOn w:val="Normal"/>
    <w:link w:val="PlainTextChar"/>
    <w:rsid w:val="00DD2FD0"/>
    <w:rPr>
      <w:sz w:val="20"/>
    </w:rPr>
  </w:style>
  <w:style w:type="character" w:customStyle="1" w:styleId="PlainTextChar">
    <w:name w:val="Plain Text Char"/>
    <w:basedOn w:val="DefaultParagraphFont"/>
    <w:link w:val="PlainText"/>
    <w:rsid w:val="00DD2FD0"/>
    <w:rPr>
      <w:rFonts w:ascii="Courier New" w:eastAsia="Times New Roman" w:hAnsi="Courier New" w:cs="Times New Roman"/>
      <w:sz w:val="20"/>
      <w:szCs w:val="20"/>
      <w:lang w:eastAsia="en-US"/>
    </w:rPr>
  </w:style>
  <w:style w:type="character" w:customStyle="1" w:styleId="MenuOption">
    <w:name w:val="Menu Option"/>
    <w:basedOn w:val="DefaultParagraphFont"/>
    <w:rsid w:val="00DD2FD0"/>
    <w:rPr>
      <w:b/>
      <w:smallCaps/>
    </w:rPr>
  </w:style>
  <w:style w:type="paragraph" w:customStyle="1" w:styleId="TableListNumber">
    <w:name w:val="Table List Number"/>
    <w:basedOn w:val="ListNumber"/>
    <w:rsid w:val="00DD2FD0"/>
    <w:pPr>
      <w:numPr>
        <w:numId w:val="0"/>
      </w:numPr>
    </w:pPr>
  </w:style>
  <w:style w:type="paragraph" w:styleId="TOC4">
    <w:name w:val="toc 4"/>
    <w:basedOn w:val="TOCBase"/>
    <w:next w:val="Normal"/>
    <w:semiHidden/>
    <w:rsid w:val="00DD2FD0"/>
    <w:pPr>
      <w:tabs>
        <w:tab w:val="right" w:leader="dot" w:pos="9071"/>
      </w:tabs>
      <w:ind w:left="1701"/>
    </w:pPr>
  </w:style>
  <w:style w:type="paragraph" w:customStyle="1" w:styleId="ListAlpha">
    <w:name w:val="List Alpha"/>
    <w:basedOn w:val="List"/>
    <w:rsid w:val="00DD2FD0"/>
    <w:pPr>
      <w:numPr>
        <w:numId w:val="9"/>
      </w:numPr>
    </w:pPr>
  </w:style>
  <w:style w:type="paragraph" w:customStyle="1" w:styleId="ListAlpha2">
    <w:name w:val="List Alpha 2"/>
    <w:basedOn w:val="List2"/>
    <w:rsid w:val="00DD2FD0"/>
    <w:pPr>
      <w:numPr>
        <w:numId w:val="8"/>
      </w:numPr>
    </w:pPr>
  </w:style>
  <w:style w:type="paragraph" w:styleId="List2">
    <w:name w:val="List 2"/>
    <w:basedOn w:val="BodyText"/>
    <w:rsid w:val="00DD2FD0"/>
    <w:pPr>
      <w:tabs>
        <w:tab w:val="left" w:pos="680"/>
      </w:tabs>
      <w:spacing w:before="60" w:after="60"/>
      <w:ind w:left="680" w:hanging="340"/>
    </w:pPr>
  </w:style>
  <w:style w:type="paragraph" w:styleId="List3">
    <w:name w:val="List 3"/>
    <w:basedOn w:val="BodyText"/>
    <w:rsid w:val="00DD2FD0"/>
    <w:pPr>
      <w:tabs>
        <w:tab w:val="left" w:pos="1021"/>
      </w:tabs>
      <w:spacing w:before="60" w:after="60"/>
      <w:ind w:left="1020" w:hanging="340"/>
    </w:pPr>
  </w:style>
  <w:style w:type="paragraph" w:styleId="List4">
    <w:name w:val="List 4"/>
    <w:basedOn w:val="BodyText"/>
    <w:rsid w:val="00DD2FD0"/>
    <w:pPr>
      <w:tabs>
        <w:tab w:val="left" w:pos="1361"/>
      </w:tabs>
      <w:spacing w:before="60" w:after="60"/>
      <w:ind w:left="1361" w:hanging="340"/>
    </w:pPr>
  </w:style>
  <w:style w:type="paragraph" w:styleId="List5">
    <w:name w:val="List 5"/>
    <w:basedOn w:val="BodyText"/>
    <w:rsid w:val="00DD2FD0"/>
    <w:pPr>
      <w:tabs>
        <w:tab w:val="left" w:pos="1701"/>
      </w:tabs>
      <w:spacing w:before="60" w:after="60"/>
      <w:ind w:left="1701" w:hanging="340"/>
    </w:pPr>
  </w:style>
  <w:style w:type="paragraph" w:styleId="ListBullet3">
    <w:name w:val="List Bullet 3"/>
    <w:basedOn w:val="List3"/>
    <w:rsid w:val="00DD2FD0"/>
    <w:pPr>
      <w:numPr>
        <w:numId w:val="15"/>
      </w:numPr>
      <w:tabs>
        <w:tab w:val="clear" w:pos="1021"/>
      </w:tabs>
      <w:ind w:left="1037" w:hanging="357"/>
    </w:pPr>
  </w:style>
  <w:style w:type="paragraph" w:styleId="ListBullet4">
    <w:name w:val="List Bullet 4"/>
    <w:basedOn w:val="List4"/>
    <w:rsid w:val="00DD2FD0"/>
    <w:pPr>
      <w:numPr>
        <w:numId w:val="3"/>
      </w:numPr>
    </w:pPr>
  </w:style>
  <w:style w:type="paragraph" w:styleId="ListBullet5">
    <w:name w:val="List Bullet 5"/>
    <w:basedOn w:val="List5"/>
    <w:rsid w:val="00DD2FD0"/>
    <w:pPr>
      <w:numPr>
        <w:numId w:val="4"/>
      </w:numPr>
    </w:pPr>
  </w:style>
  <w:style w:type="paragraph" w:styleId="ListContinue2">
    <w:name w:val="List Continue 2"/>
    <w:basedOn w:val="List2"/>
    <w:rsid w:val="00DD2FD0"/>
    <w:pPr>
      <w:ind w:firstLine="0"/>
    </w:pPr>
  </w:style>
  <w:style w:type="paragraph" w:styleId="ListContinue3">
    <w:name w:val="List Continue 3"/>
    <w:basedOn w:val="List3"/>
    <w:rsid w:val="00DD2FD0"/>
    <w:pPr>
      <w:ind w:left="1021" w:firstLine="0"/>
    </w:pPr>
  </w:style>
  <w:style w:type="paragraph" w:styleId="ListContinue4">
    <w:name w:val="List Continue 4"/>
    <w:basedOn w:val="List4"/>
    <w:rsid w:val="00DD2FD0"/>
    <w:pPr>
      <w:ind w:firstLine="0"/>
    </w:pPr>
  </w:style>
  <w:style w:type="paragraph" w:styleId="ListContinue5">
    <w:name w:val="List Continue 5"/>
    <w:basedOn w:val="List5"/>
    <w:rsid w:val="00DD2FD0"/>
    <w:pPr>
      <w:ind w:firstLine="0"/>
    </w:pPr>
  </w:style>
  <w:style w:type="paragraph" w:styleId="ListNumber3">
    <w:name w:val="List Number 3"/>
    <w:basedOn w:val="List3"/>
    <w:rsid w:val="00DD2FD0"/>
    <w:pPr>
      <w:numPr>
        <w:numId w:val="5"/>
      </w:numPr>
    </w:pPr>
  </w:style>
  <w:style w:type="paragraph" w:styleId="ListNumber4">
    <w:name w:val="List Number 4"/>
    <w:basedOn w:val="List4"/>
    <w:rsid w:val="00DD2FD0"/>
    <w:pPr>
      <w:numPr>
        <w:numId w:val="6"/>
      </w:numPr>
    </w:pPr>
  </w:style>
  <w:style w:type="paragraph" w:styleId="ListNumber5">
    <w:name w:val="List Number 5"/>
    <w:basedOn w:val="List5"/>
    <w:rsid w:val="00DD2FD0"/>
    <w:pPr>
      <w:numPr>
        <w:numId w:val="7"/>
      </w:numPr>
    </w:pPr>
  </w:style>
  <w:style w:type="paragraph" w:styleId="BlockText">
    <w:name w:val="Block Text"/>
    <w:basedOn w:val="Normal"/>
    <w:rsid w:val="00DD2FD0"/>
    <w:pPr>
      <w:spacing w:after="120"/>
      <w:ind w:left="1440" w:right="1440"/>
    </w:pPr>
  </w:style>
  <w:style w:type="character" w:customStyle="1" w:styleId="Subscript">
    <w:name w:val="Subscript"/>
    <w:basedOn w:val="DefaultParagraphFont"/>
    <w:rsid w:val="00DD2FD0"/>
    <w:rPr>
      <w:sz w:val="16"/>
      <w:vertAlign w:val="subscript"/>
    </w:rPr>
  </w:style>
  <w:style w:type="character" w:customStyle="1" w:styleId="Superscript">
    <w:name w:val="Superscript"/>
    <w:basedOn w:val="DefaultParagraphFont"/>
    <w:rsid w:val="00DD2FD0"/>
    <w:rPr>
      <w:sz w:val="16"/>
      <w:vertAlign w:val="superscript"/>
    </w:rPr>
  </w:style>
  <w:style w:type="character" w:customStyle="1" w:styleId="Symbols">
    <w:name w:val="Symbols"/>
    <w:basedOn w:val="DefaultParagraphFont"/>
    <w:rsid w:val="00DD2FD0"/>
    <w:rPr>
      <w:rFonts w:ascii="Symbol" w:hAnsi="Symbol"/>
    </w:rPr>
  </w:style>
  <w:style w:type="character" w:customStyle="1" w:styleId="MenuOptions">
    <w:name w:val="Menu Options"/>
    <w:basedOn w:val="DefaultParagraphFont"/>
    <w:rsid w:val="00DD2FD0"/>
    <w:rPr>
      <w:rFonts w:ascii="Arial Narrow" w:hAnsi="Arial Narrow"/>
      <w:smallCaps/>
    </w:rPr>
  </w:style>
  <w:style w:type="character" w:customStyle="1" w:styleId="Buttons">
    <w:name w:val="Buttons"/>
    <w:basedOn w:val="DefaultParagraphFont"/>
    <w:rsid w:val="00DD2FD0"/>
    <w:rPr>
      <w:b/>
    </w:rPr>
  </w:style>
  <w:style w:type="character" w:customStyle="1" w:styleId="Underlined">
    <w:name w:val="Underlined"/>
    <w:basedOn w:val="DefaultParagraphFont"/>
    <w:rsid w:val="00DD2FD0"/>
    <w:rPr>
      <w:u w:val="single"/>
    </w:rPr>
  </w:style>
  <w:style w:type="paragraph" w:customStyle="1" w:styleId="TableBodyTextRight">
    <w:name w:val="Table Body Text Right"/>
    <w:basedOn w:val="TableBodyText"/>
    <w:rsid w:val="00DD2FD0"/>
    <w:pPr>
      <w:widowControl w:val="0"/>
      <w:autoSpaceDE w:val="0"/>
      <w:autoSpaceDN w:val="0"/>
      <w:adjustRightInd w:val="0"/>
      <w:jc w:val="right"/>
    </w:pPr>
    <w:rPr>
      <w:rFonts w:cs="Arial"/>
      <w:szCs w:val="18"/>
    </w:rPr>
  </w:style>
  <w:style w:type="paragraph" w:customStyle="1" w:styleId="CopyrightText">
    <w:name w:val="Copyright Text"/>
    <w:basedOn w:val="BodyText"/>
    <w:rsid w:val="00DD2FD0"/>
    <w:rPr>
      <w:sz w:val="18"/>
    </w:rPr>
  </w:style>
  <w:style w:type="paragraph" w:customStyle="1" w:styleId="BodySmallRight">
    <w:name w:val="Body Small Right"/>
    <w:basedOn w:val="BodyTextRight"/>
    <w:rsid w:val="00DD2FD0"/>
    <w:rPr>
      <w:sz w:val="18"/>
      <w:szCs w:val="18"/>
    </w:rPr>
  </w:style>
  <w:style w:type="paragraph" w:customStyle="1" w:styleId="MarginEdition">
    <w:name w:val="Margin Edition"/>
    <w:basedOn w:val="MarginNote"/>
    <w:rsid w:val="00DD2FD0"/>
    <w:pPr>
      <w:spacing w:before="0" w:after="0"/>
    </w:pPr>
    <w:rPr>
      <w:rFonts w:ascii="Times New Roman" w:hAnsi="Times New Roman"/>
      <w:color w:val="999999"/>
    </w:rPr>
  </w:style>
  <w:style w:type="paragraph" w:customStyle="1" w:styleId="Spacer">
    <w:name w:val="Spacer"/>
    <w:basedOn w:val="Normal"/>
    <w:rsid w:val="00DD2FD0"/>
    <w:rPr>
      <w:sz w:val="2"/>
      <w:szCs w:val="2"/>
    </w:rPr>
  </w:style>
  <w:style w:type="character" w:customStyle="1" w:styleId="Small">
    <w:name w:val="Small"/>
    <w:basedOn w:val="DefaultParagraphFont"/>
    <w:rsid w:val="00DD2FD0"/>
    <w:rPr>
      <w:sz w:val="16"/>
    </w:rPr>
  </w:style>
  <w:style w:type="paragraph" w:customStyle="1" w:styleId="WideTable">
    <w:name w:val="Wide Table"/>
    <w:basedOn w:val="Normal"/>
    <w:rsid w:val="00DD2FD0"/>
    <w:pPr>
      <w:ind w:left="-1418"/>
    </w:pPr>
    <w:rPr>
      <w:sz w:val="2"/>
      <w:szCs w:val="2"/>
    </w:rPr>
  </w:style>
  <w:style w:type="character" w:styleId="PageNumber">
    <w:name w:val="page number"/>
    <w:basedOn w:val="DefaultParagraphFont"/>
    <w:rsid w:val="00DD2FD0"/>
  </w:style>
  <w:style w:type="paragraph" w:styleId="Quote">
    <w:name w:val="Quote"/>
    <w:basedOn w:val="Heading1"/>
    <w:link w:val="QuoteChar"/>
    <w:qFormat/>
    <w:rsid w:val="00DD2FD0"/>
    <w:rPr>
      <w:b w:val="0"/>
      <w:sz w:val="72"/>
      <w:szCs w:val="72"/>
      <w:lang w:val="en-NZ"/>
    </w:rPr>
  </w:style>
  <w:style w:type="character" w:customStyle="1" w:styleId="QuoteChar">
    <w:name w:val="Quote Char"/>
    <w:basedOn w:val="DefaultParagraphFont"/>
    <w:link w:val="Quote"/>
    <w:rsid w:val="00DD2FD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D2FD0"/>
    <w:pPr>
      <w:pageBreakBefore/>
    </w:pPr>
  </w:style>
  <w:style w:type="paragraph" w:customStyle="1" w:styleId="Border">
    <w:name w:val="Border"/>
    <w:basedOn w:val="Normal"/>
    <w:qFormat/>
    <w:rsid w:val="00DD2FD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D2FD0"/>
    <w:rPr>
      <w:b/>
      <w:bCs/>
      <w:i/>
      <w:iCs/>
      <w:color w:val="auto"/>
    </w:rPr>
  </w:style>
  <w:style w:type="paragraph" w:styleId="IntenseQuote">
    <w:name w:val="Intense Quote"/>
    <w:basedOn w:val="Normal"/>
    <w:next w:val="Normal"/>
    <w:link w:val="IntenseQuoteChar"/>
    <w:uiPriority w:val="30"/>
    <w:qFormat/>
    <w:rsid w:val="00DD2FD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D2FD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D2FD0"/>
    <w:rPr>
      <w:smallCaps/>
      <w:color w:val="auto"/>
      <w:u w:val="single"/>
    </w:rPr>
  </w:style>
  <w:style w:type="character" w:styleId="IntenseReference">
    <w:name w:val="Intense Reference"/>
    <w:basedOn w:val="DefaultParagraphFont"/>
    <w:uiPriority w:val="32"/>
    <w:qFormat/>
    <w:rsid w:val="00DD2FD0"/>
    <w:rPr>
      <w:b/>
      <w:bCs/>
      <w:smallCaps/>
      <w:color w:val="auto"/>
      <w:spacing w:val="5"/>
      <w:u w:val="single"/>
    </w:rPr>
  </w:style>
  <w:style w:type="paragraph" w:customStyle="1" w:styleId="2ColumnHeading">
    <w:name w:val="2Column Heading"/>
    <w:basedOn w:val="BodyText"/>
    <w:qFormat/>
    <w:rsid w:val="00DD2FD0"/>
    <w:pPr>
      <w:spacing w:after="60"/>
      <w:ind w:left="-2268"/>
    </w:pPr>
    <w:rPr>
      <w:b/>
    </w:rPr>
  </w:style>
  <w:style w:type="paragraph" w:customStyle="1" w:styleId="Heading1TOC">
    <w:name w:val="Heading1 TOC"/>
    <w:basedOn w:val="Normal"/>
    <w:qFormat/>
    <w:rsid w:val="00DD2FD0"/>
    <w:pPr>
      <w:spacing w:before="240" w:after="120"/>
    </w:pPr>
    <w:rPr>
      <w:rFonts w:ascii="Times New Roman" w:hAnsi="Times New Roman"/>
      <w:b/>
      <w:sz w:val="32"/>
    </w:rPr>
  </w:style>
  <w:style w:type="paragraph" w:customStyle="1" w:styleId="Heading2TOC">
    <w:name w:val="Heading2 TOC"/>
    <w:basedOn w:val="Normal"/>
    <w:qFormat/>
    <w:rsid w:val="00DD2FD0"/>
    <w:pPr>
      <w:spacing w:before="240" w:after="60"/>
    </w:pPr>
    <w:rPr>
      <w:rFonts w:ascii="Times New Roman" w:hAnsi="Times New Roman"/>
      <w:b/>
      <w:sz w:val="28"/>
    </w:rPr>
  </w:style>
  <w:style w:type="character" w:customStyle="1" w:styleId="Underline">
    <w:name w:val="Underline"/>
    <w:basedOn w:val="DefaultParagraphFont"/>
    <w:qFormat/>
    <w:rsid w:val="00DD2FD0"/>
    <w:rPr>
      <w:u w:val="single"/>
    </w:rPr>
  </w:style>
  <w:style w:type="character" w:customStyle="1" w:styleId="BoldandItalics">
    <w:name w:val="Bold and Italics"/>
    <w:qFormat/>
    <w:rsid w:val="00DD2FD0"/>
    <w:rPr>
      <w:b/>
      <w:i/>
      <w:u w:val="none"/>
    </w:rPr>
  </w:style>
  <w:style w:type="paragraph" w:styleId="BalloonText">
    <w:name w:val="Balloon Text"/>
    <w:basedOn w:val="Normal"/>
    <w:link w:val="BalloonTextChar"/>
    <w:rsid w:val="00DD2FD0"/>
    <w:rPr>
      <w:rFonts w:ascii="Tahoma" w:hAnsi="Tahoma" w:cs="Tahoma"/>
      <w:sz w:val="16"/>
      <w:szCs w:val="16"/>
    </w:rPr>
  </w:style>
  <w:style w:type="character" w:customStyle="1" w:styleId="BalloonTextChar">
    <w:name w:val="Balloon Text Char"/>
    <w:basedOn w:val="DefaultParagraphFont"/>
    <w:link w:val="BalloonText"/>
    <w:rsid w:val="00DD2FD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D2FD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D2FD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D2FD0"/>
    <w:rPr>
      <w:b/>
      <w:color w:val="660033"/>
      <w:spacing w:val="0"/>
    </w:rPr>
  </w:style>
  <w:style w:type="paragraph" w:customStyle="1" w:styleId="Nameditemlist">
    <w:name w:val="Named item list"/>
    <w:basedOn w:val="BodyText"/>
    <w:qFormat/>
    <w:rsid w:val="00DD2FD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2581</Words>
  <Characters>15738</Characters>
  <Application>Microsoft Office Word</Application>
  <DocSecurity>0</DocSecurity>
  <Lines>524</Lines>
  <Paragraphs>261</Paragraphs>
  <ScaleCrop>false</ScaleCrop>
  <Company>Author-it Software Corporation Ltd.</Company>
  <LinksUpToDate>false</LinksUpToDate>
  <CharactersWithSpaces>18058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UEENEEJ104A Establish the basic operating conditions of air conditioning systems</dc:title>
  <dc:subject>Approved</dc:subject>
  <dc:creator>E-OZ Training Standards</dc:creator>
  <cp:keywords>Release: 3</cp:keywords>
  <dc:description>Review Date: 12 April 2008</dc:description>
  <cp:lastModifiedBy>TPCMS</cp:lastModifiedBy>
  <cp:revision>3</cp:revision>
  <dcterms:created xsi:type="dcterms:W3CDTF">2013-08-14T06:57:00Z</dcterms:created>
  <dcterms:modified xsi:type="dcterms:W3CDTF">2013-08-14T06:57:00Z</dcterms:modified>
</cp:coreProperties>
</file>