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EC2" w:rsidP="00D14EC2">
      <w:pPr>
        <w:pStyle w:val="Title"/>
      </w:pPr>
      <w:r>
        <w:fldChar w:fldCharType="begin"/>
      </w:r>
      <w:r>
        <w:instrText xml:space="preserve"> TITLE   \* MERGEFORMAT </w:instrText>
      </w:r>
      <w:r>
        <w:fldChar w:fldCharType="separate"/>
      </w:r>
      <w:r>
        <w:t>UEENEEJ102A Prepare and connect refrigerant tubing and fittings</w:t>
      </w:r>
      <w:r>
        <w:fldChar w:fldCharType="end"/>
      </w:r>
    </w:p>
    <w:p w:rsidR="00D14EC2" w:rsidP="00D14EC2">
      <w:pPr>
        <w:pStyle w:val="Version"/>
        <w:sectPr w:rsidSect="00B53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53D0C" w:rsidP="00B53D0C">
      <w:pPr>
        <w:pStyle w:val="SuperHeading"/>
      </w:pPr>
      <w:r w:rsidRPr="00B53D0C">
        <w:t>UEENEEJ102A Prepare and connect refrigerant tubing and fittings</w:t>
      </w:r>
    </w:p>
    <w:p w:rsidR="00000000" w:rsidRPr="00B53D0C" w:rsidP="00B53D0C">
      <w:pPr>
        <w:pStyle w:val="Heading1"/>
      </w:pPr>
      <w:bookmarkStart w:id="1" w:name="O_589203"/>
      <w:bookmarkEnd w:id="1"/>
      <w:r w:rsidRPr="00B53D0C">
        <w:t>Modification History</w:t>
      </w:r>
    </w:p>
    <w:p w:rsidR="00000000" w:rsidRPr="00B53D0C" w:rsidP="00B53D0C">
      <w:pPr>
        <w:pStyle w:val="BodyText"/>
      </w:pPr>
      <w:r w:rsidRPr="00B53D0C">
        <w:t>Not Applicable</w:t>
      </w:r>
    </w:p>
    <w:p w:rsidR="00000000" w:rsidRPr="00B53D0C" w:rsidP="00B53D0C">
      <w:pPr>
        <w:pStyle w:val="AllowPageBreak"/>
      </w:pPr>
    </w:p>
    <w:p w:rsidR="00000000" w:rsidRPr="00B53D0C" w:rsidP="00B53D0C">
      <w:pPr>
        <w:pStyle w:val="Heading1"/>
      </w:pPr>
      <w:bookmarkStart w:id="2" w:name="O_589202"/>
      <w:bookmarkEnd w:id="2"/>
      <w:r w:rsidRPr="00B53D0C">
        <w:t>Unit Descriptor</w:t>
      </w:r>
    </w:p>
    <w:tbl>
      <w:tblPr>
        <w:tblW w:w="0" w:type="auto"/>
        <w:tblLayout w:type="fixed"/>
        <w:tblCellMar>
          <w:left w:w="62" w:type="dxa"/>
          <w:right w:w="62" w:type="dxa"/>
        </w:tblCellMar>
        <w:tblLook w:val="0000"/>
      </w:tblPr>
      <w:tblGrid>
        <w:gridCol w:w="2700"/>
        <w:gridCol w:w="5760"/>
      </w:tblGrid>
      <w:tr w:rsidTr="00D14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1</w:t>
            </w:r>
            <w:r w:rsidRPr="00B53D0C">
              <w:t xml:space="preserve">) </w:t>
            </w:r>
          </w:p>
          <w:p w:rsidR="00000000" w:rsidP="00B53D0C">
            <w:pPr>
              <w:pStyle w:val="BodyText"/>
              <w:rPr>
                <w:lang w:val="en-NZ"/>
              </w:rPr>
            </w:pPr>
            <w:r w:rsidRPr="00B53D0C">
              <w:rPr>
                <w:rStyle w:val="SpecialBold"/>
              </w:rPr>
              <w:t>1</w:t>
            </w:r>
            <w:r w:rsidRPr="00B53D0C">
              <w:t>.</w:t>
            </w:r>
            <w:r w:rsidRPr="00B53D0C">
              <w:rPr>
                <w:rStyle w:val="SpecialBold"/>
              </w:rPr>
              <w:t>1</w:t>
            </w:r>
            <w:r w:rsidRPr="00B53D0C">
              <w:t xml:space="preserve">) </w:t>
            </w:r>
            <w:r w:rsidRPr="00B53D0C">
              <w:rPr>
                <w:rStyle w:val="SpecialBold"/>
              </w:rPr>
              <w:t>Descriptor</w:t>
            </w:r>
          </w:p>
        </w:tc>
      </w:tr>
      <w:tr w:rsidTr="00D14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This unit covers the basic connection of refrigeration and air conditioning piping/tubing and fittings. It encompasses the safe use of hand, fixed and portable power tools for cutting, flaring, bending, swaging, silver brazing copper tube to copper tube, b</w:t>
            </w:r>
            <w:r w:rsidRPr="00B53D0C">
              <w:t>undy tube and brass and steel fittings, measurement and reading drawings and diagrams.</w:t>
            </w:r>
          </w:p>
        </w:tc>
      </w:tr>
    </w:tbl>
    <w:p w:rsidR="00D14EC2" w:rsidP="00B53D0C">
      <w:pPr>
        <w:pStyle w:val="BodyText"/>
      </w:pPr>
    </w:p>
    <w:p w:rsidR="00D14EC2" w:rsidP="00B53D0C">
      <w:pPr>
        <w:pStyle w:val="BodyText"/>
      </w:pPr>
    </w:p>
    <w:p w:rsidR="00000000" w:rsidRPr="00B53D0C" w:rsidP="00B53D0C">
      <w:pPr>
        <w:pStyle w:val="Heading1"/>
      </w:pPr>
      <w:bookmarkStart w:id="3" w:name="O_589201"/>
      <w:bookmarkEnd w:id="3"/>
      <w:r w:rsidRPr="00B53D0C">
        <w:t>Application of the Unit</w:t>
      </w:r>
    </w:p>
    <w:tbl>
      <w:tblPr>
        <w:tblW w:w="0" w:type="auto"/>
        <w:tblLayout w:type="fixed"/>
        <w:tblCellMar>
          <w:left w:w="62" w:type="dxa"/>
          <w:right w:w="62" w:type="dxa"/>
        </w:tblCellMar>
        <w:tblLook w:val="0000"/>
      </w:tblPr>
      <w:tblGrid>
        <w:gridCol w:w="2700"/>
        <w:gridCol w:w="5760"/>
      </w:tblGrid>
      <w:tr w:rsidTr="00D14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4</w:t>
            </w:r>
            <w:r w:rsidRPr="00B53D0C">
              <w:t>)</w:t>
            </w:r>
          </w:p>
        </w:tc>
      </w:tr>
      <w:tr w:rsidTr="00D14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This competency standard is suitable for employment-based programs under an approved contract of training at the AQF level of the qualification in which the unit is first packaged or higher.The unit may be selected as an elective from the relevant schedule</w:t>
            </w:r>
            <w:r w:rsidRPr="00B53D0C">
              <w:t xml:space="preserve"> (see qualification packaging rules) provided that all prerequisite units are undertaken or addressed through recognition processes.</w:t>
            </w:r>
          </w:p>
          <w:p w:rsidR="00000000" w:rsidRPr="00B53D0C" w:rsidP="00B53D0C">
            <w:pPr>
              <w:pStyle w:val="BodyText"/>
            </w:pPr>
            <w:r w:rsidRPr="00B53D0C">
              <w:t>This unit may be included in a skill set provided that it is listed in the schedule of electives (see Qualification Framewo</w:t>
            </w:r>
            <w:r w:rsidRPr="00B53D0C">
              <w:t>rk) and all prerequisite units are undertaken or addressed through recognition processes.</w:t>
            </w:r>
          </w:p>
          <w:p w:rsidR="00000000" w:rsidRPr="00B53D0C" w:rsidP="00B53D0C">
            <w:pPr>
              <w:pStyle w:val="BodyText"/>
            </w:pPr>
            <w:r w:rsidRPr="00B53D0C">
              <w:t>Delivery and assessment of this unit should be undertaken within regard to the requirements of License to Practice (1.2 above), Prerequisite Competencies and Literacy</w:t>
            </w:r>
            <w:r w:rsidRPr="00B53D0C">
              <w:t xml:space="preserve"> and Numeracy skills (2 above) and the  recommendations for concurrent assessment and relationship with other units (9.5 below).</w:t>
            </w:r>
          </w:p>
          <w:p w:rsidR="00000000" w:rsidRPr="00B53D0C" w:rsidP="00B53D0C">
            <w:pPr>
              <w:pStyle w:val="BodyText"/>
            </w:pPr>
            <w:r w:rsidRPr="00B53D0C">
              <w:t>Practice in the workplace and during training is also subject to regulations directly related to occupational health and safety</w:t>
            </w:r>
            <w:r w:rsidRPr="00B53D0C">
              <w:t xml:space="preserve"> and where applicable contracts of training such as apprenticeships.</w:t>
            </w:r>
          </w:p>
          <w:p w:rsidR="00000000" w:rsidRPr="00B53D0C" w:rsidP="00B53D0C">
            <w:pPr>
              <w:pStyle w:val="BodyText"/>
            </w:pPr>
            <w:r w:rsidRPr="00B53D0C">
              <w:t xml:space="preserve">Note: </w:t>
            </w:r>
          </w:p>
          <w:p w:rsidR="00000000" w:rsidRPr="00B53D0C" w:rsidP="00B53D0C">
            <w:pPr>
              <w:pStyle w:val="BodyText"/>
            </w:pPr>
            <w:r w:rsidRPr="00B53D0C">
              <w:t>1. Compliance with permits may be required in various jurisdictions and typically relates to the operation of plant, machinery and equipment such as elevating work platforms, powde</w:t>
            </w:r>
            <w:r w:rsidRPr="00B53D0C">
              <w:t>r operated fixing tools, power operated tools, vehicles, road signage and traffic control and lifting equipment. Permits may also be required for some work environments such as confined spaces, working aloft, near live electrical apparatus and site rehabil</w:t>
            </w:r>
            <w:r w:rsidRPr="00B53D0C">
              <w:t>itation.</w:t>
            </w:r>
          </w:p>
          <w:p w:rsidR="00000000" w:rsidRPr="00B53D0C" w:rsidP="00B53D0C">
            <w:pPr>
              <w:pStyle w:val="BodyText"/>
            </w:pPr>
            <w:r w:rsidRPr="00B53D0C">
              <w:t>2. Compliance may be required in various jurisdictions relating to currency in First Aid, confined space, lifting, risk safety measures etc.</w:t>
            </w:r>
          </w:p>
        </w:tc>
      </w:tr>
    </w:tbl>
    <w:p w:rsidR="00D14EC2" w:rsidP="00B53D0C">
      <w:pPr>
        <w:pStyle w:val="BodyText"/>
      </w:pPr>
    </w:p>
    <w:p w:rsidR="00D14EC2" w:rsidP="00B53D0C">
      <w:pPr>
        <w:pStyle w:val="BodyText"/>
      </w:pPr>
    </w:p>
    <w:p w:rsidR="00000000" w:rsidRPr="00B53D0C" w:rsidP="00B53D0C">
      <w:pPr>
        <w:pStyle w:val="Heading1"/>
      </w:pPr>
      <w:bookmarkStart w:id="4" w:name="O_589200"/>
      <w:bookmarkEnd w:id="4"/>
      <w:r w:rsidRPr="00B53D0C">
        <w:t>Licensing/Regulatory Information</w:t>
      </w:r>
    </w:p>
    <w:tbl>
      <w:tblPr>
        <w:tblW w:w="0" w:type="auto"/>
        <w:tblLayout w:type="fixed"/>
        <w:tblCellMar>
          <w:left w:w="62" w:type="dxa"/>
          <w:right w:w="62" w:type="dxa"/>
        </w:tblCellMar>
        <w:tblLook w:val="0000"/>
      </w:tblPr>
      <w:tblGrid>
        <w:gridCol w:w="8460"/>
      </w:tblGrid>
      <w:tr w:rsidTr="00D14E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1</w:t>
            </w:r>
            <w:r w:rsidRPr="00B53D0C">
              <w:t>.</w:t>
            </w:r>
            <w:r w:rsidRPr="00B53D0C">
              <w:rPr>
                <w:rStyle w:val="SpecialBold"/>
              </w:rPr>
              <w:t>2</w:t>
            </w:r>
            <w:r w:rsidRPr="00B53D0C">
              <w:t xml:space="preserve">) </w:t>
            </w:r>
            <w:r w:rsidRPr="00B53D0C">
              <w:rPr>
                <w:rStyle w:val="SpecialBold"/>
              </w:rPr>
              <w:t>License to practice</w:t>
            </w:r>
          </w:p>
        </w:tc>
      </w:tr>
      <w:tr w:rsidTr="00D14E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The skills and knowledge described in this unit may, in some jurisdictions, require a license to practice in the workplace subject to regulations for undertaking refrigeration and air conditioning work. Practice in workplace and during training is also sub</w:t>
            </w:r>
            <w:r w:rsidRPr="00B53D0C">
              <w:t>ject to regulations directly related to occupational health and safety and where applicable contracts of training such as apprenticeships.</w:t>
            </w:r>
          </w:p>
          <w:p w:rsidR="00000000" w:rsidRPr="00B53D0C" w:rsidP="00B53D0C">
            <w:pPr>
              <w:pStyle w:val="BodyText"/>
            </w:pPr>
            <w:r w:rsidRPr="00B53D0C">
              <w:t xml:space="preserve">Note: </w:t>
            </w:r>
            <w:r w:rsidRPr="00B53D0C">
              <w:br/>
              <w:t xml:space="preserve">1. Compliance with permits may be required in various jurisdictions and typically relates to the operation of </w:t>
            </w:r>
            <w:r w:rsidRPr="00B53D0C">
              <w:t>plant, machinery and equipment such as elevating work platforms, powder operated fixing tools, power operated tools, vehicles, road signage and traffic control, lifting equipment. Permits may also be required for some work environments such as confined spa</w:t>
            </w:r>
            <w:r w:rsidRPr="00B53D0C">
              <w:t>ces, working aloft, near live electrical apparatus and site rehabilitation.</w:t>
            </w:r>
            <w:r w:rsidRPr="00B53D0C">
              <w:br/>
              <w:t>2. Compliance may be required in various jurisdictions relating to currency in First Aid, confined space, lifting and risk safety measures.</w:t>
            </w:r>
          </w:p>
        </w:tc>
      </w:tr>
    </w:tbl>
    <w:p w:rsidR="00D14EC2" w:rsidP="00B53D0C">
      <w:pPr>
        <w:pStyle w:val="BodyText"/>
      </w:pPr>
    </w:p>
    <w:p w:rsidR="00D14EC2" w:rsidP="00B53D0C">
      <w:pPr>
        <w:pStyle w:val="BodyText"/>
      </w:pPr>
    </w:p>
    <w:p w:rsidR="00000000" w:rsidRPr="00B53D0C" w:rsidP="00B53D0C">
      <w:pPr>
        <w:pStyle w:val="Heading1"/>
      </w:pPr>
      <w:bookmarkStart w:id="5" w:name="O_589199"/>
      <w:bookmarkEnd w:id="5"/>
      <w:r w:rsidRPr="00B53D0C">
        <w:t>Pre-Requisites</w:t>
      </w:r>
    </w:p>
    <w:tbl>
      <w:tblPr>
        <w:tblW w:w="0" w:type="auto"/>
        <w:tblLayout w:type="fixed"/>
        <w:tblCellMar>
          <w:left w:w="62" w:type="dxa"/>
          <w:right w:w="62" w:type="dxa"/>
        </w:tblCellMar>
        <w:tblLook w:val="0000"/>
      </w:tblPr>
      <w:tblGrid>
        <w:gridCol w:w="2700"/>
        <w:gridCol w:w="1530"/>
        <w:gridCol w:w="4230"/>
      </w:tblGrid>
      <w:tr w:rsidTr="00D14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Prere</w:t>
            </w:r>
            <w:r w:rsidRPr="00B53D0C">
              <w:rPr>
                <w:rStyle w:val="SpecialBold"/>
              </w:rPr>
              <w:t>quisite Unit</w:t>
            </w:r>
            <w:r w:rsidRPr="00B53D0C">
              <w:t>(</w:t>
            </w:r>
            <w:r w:rsidRPr="00B53D0C">
              <w:rPr>
                <w:rStyle w:val="SpecialBold"/>
              </w:rPr>
              <w:t>s</w:t>
            </w:r>
            <w:r w:rsidRPr="00B53D0C">
              <w:t>)</w:t>
            </w:r>
          </w:p>
        </w:tc>
        <w:tc>
          <w:tcPr>
            <w:tcW w:w="5760" w:type="dxa"/>
            <w:gridSpan w:val="2"/>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2</w:t>
            </w:r>
            <w:r w:rsidRPr="00B53D0C">
              <w:t xml:space="preserve">) </w:t>
            </w:r>
          </w:p>
        </w:tc>
      </w:tr>
      <w:tr w:rsidTr="00D14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3D0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2</w:t>
            </w:r>
            <w:r w:rsidRPr="00B53D0C">
              <w:t>.</w:t>
            </w:r>
            <w:r w:rsidRPr="00B53D0C">
              <w:rPr>
                <w:rStyle w:val="SpecialBold"/>
              </w:rPr>
              <w:t>1</w:t>
            </w:r>
            <w:r w:rsidRPr="00B53D0C">
              <w:t xml:space="preserve">) </w:t>
            </w:r>
            <w:r w:rsidRPr="00B53D0C">
              <w:rPr>
                <w:rStyle w:val="SpecialBold"/>
              </w:rPr>
              <w:t>Competencies</w:t>
            </w:r>
          </w:p>
        </w:tc>
      </w:tr>
      <w:tr w:rsidTr="00D14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Granting competency in this unit shall be made only after competency in the following unit(s) has/have been confirmed.</w:t>
            </w:r>
          </w:p>
        </w:tc>
      </w:tr>
      <w:tr w:rsidTr="00D14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 xml:space="preserve">UEENEEE101A </w:t>
            </w:r>
          </w:p>
        </w:tc>
        <w:tc>
          <w:tcPr>
            <w:tcW w:w="423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Apply Occupational Health and Safety regulations, codes and practices in the workplace</w:t>
            </w:r>
          </w:p>
        </w:tc>
      </w:tr>
    </w:tbl>
    <w:p w:rsidR="00D14EC2" w:rsidP="00B53D0C">
      <w:pPr>
        <w:pStyle w:val="BodyText"/>
      </w:pPr>
    </w:p>
    <w:p w:rsidR="00D14EC2" w:rsidP="00B53D0C">
      <w:pPr>
        <w:pStyle w:val="BodyText"/>
      </w:pPr>
    </w:p>
    <w:p w:rsidR="00000000" w:rsidRPr="00B53D0C" w:rsidP="00B53D0C">
      <w:pPr>
        <w:pStyle w:val="Heading1"/>
      </w:pPr>
      <w:bookmarkStart w:id="6" w:name="O_589198"/>
      <w:bookmarkEnd w:id="6"/>
      <w:r w:rsidRPr="00B53D0C">
        <w:t>Employability Skills Information</w:t>
      </w:r>
    </w:p>
    <w:tbl>
      <w:tblPr>
        <w:tblW w:w="0" w:type="auto"/>
        <w:tblLayout w:type="fixed"/>
        <w:tblCellMar>
          <w:left w:w="62" w:type="dxa"/>
          <w:right w:w="62" w:type="dxa"/>
        </w:tblCellMar>
        <w:tblLook w:val="0000"/>
      </w:tblPr>
      <w:tblGrid>
        <w:gridCol w:w="2700"/>
        <w:gridCol w:w="5760"/>
      </w:tblGrid>
      <w:tr w:rsidTr="00D14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3</w:t>
            </w:r>
            <w:r w:rsidRPr="00B53D0C">
              <w:t>)</w:t>
            </w:r>
          </w:p>
          <w:p w:rsidR="00000000" w:rsidRPr="00B53D0C" w:rsidP="00B53D0C">
            <w:pPr>
              <w:pStyle w:val="BodyText"/>
            </w:pPr>
            <w:r w:rsidRPr="00B53D0C">
              <w:t>This unit contains Employability Skills</w:t>
            </w:r>
          </w:p>
          <w:p w:rsidR="00000000" w:rsidRPr="00B53D0C" w:rsidP="00B53D0C">
            <w:pPr>
              <w:pStyle w:val="BodyText"/>
            </w:pPr>
            <w:r w:rsidRPr="00B53D0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53D0C">
              <w:t>requirements.</w:t>
            </w:r>
          </w:p>
        </w:tc>
      </w:tr>
    </w:tbl>
    <w:p w:rsidR="00D14EC2" w:rsidP="00B53D0C">
      <w:pPr>
        <w:pStyle w:val="BodyText"/>
      </w:pPr>
    </w:p>
    <w:p w:rsidR="00D14EC2" w:rsidP="00B53D0C">
      <w:pPr>
        <w:pStyle w:val="BodyText"/>
      </w:pPr>
    </w:p>
    <w:p w:rsidR="00000000" w:rsidRPr="00B53D0C" w:rsidP="00B53D0C">
      <w:pPr>
        <w:pStyle w:val="Heading1"/>
      </w:pPr>
      <w:bookmarkStart w:id="7" w:name="O_589197"/>
      <w:bookmarkEnd w:id="7"/>
      <w:r w:rsidRPr="00B53D0C">
        <w:t>Elements and Performance Criteria Pre-Content</w:t>
      </w:r>
    </w:p>
    <w:tbl>
      <w:tblPr>
        <w:tblW w:w="0" w:type="auto"/>
        <w:tblLayout w:type="fixed"/>
        <w:tblCellMar>
          <w:left w:w="62" w:type="dxa"/>
          <w:right w:w="62" w:type="dxa"/>
        </w:tblCellMar>
        <w:tblLook w:val="0000"/>
      </w:tblPr>
      <w:tblGrid>
        <w:gridCol w:w="2268"/>
        <w:gridCol w:w="6240"/>
      </w:tblGrid>
      <w:tr w:rsidTr="00D14EC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6</w:t>
            </w:r>
            <w:r w:rsidRPr="00B53D0C">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Performance criteria describe the required performance needed to demonstrate achievement of the element. Assessment of per</w:t>
            </w:r>
            <w:r w:rsidRPr="00B53D0C">
              <w:t>formance is to be consistent with the evidence guide.</w:t>
            </w:r>
          </w:p>
        </w:tc>
      </w:tr>
    </w:tbl>
    <w:p w:rsidR="00000000" w:rsidRPr="00B53D0C" w:rsidP="00B53D0C">
      <w:pPr>
        <w:pStyle w:val="BodyText"/>
      </w:pPr>
    </w:p>
    <w:p w:rsidR="00000000" w:rsidRPr="00B53D0C" w:rsidP="00B53D0C">
      <w:pPr>
        <w:pStyle w:val="AllowPageBreak"/>
      </w:pPr>
    </w:p>
    <w:p w:rsidR="00000000" w:rsidRPr="00B53D0C" w:rsidP="00B53D0C">
      <w:pPr>
        <w:pStyle w:val="Heading1"/>
      </w:pPr>
      <w:bookmarkStart w:id="8" w:name="O_589196"/>
      <w:bookmarkEnd w:id="8"/>
      <w:r w:rsidRPr="00B53D0C">
        <w:t>Elements and Performance Criteria</w:t>
      </w:r>
    </w:p>
    <w:tbl>
      <w:tblPr>
        <w:tblW w:w="0" w:type="auto"/>
        <w:tblLayout w:type="fixed"/>
        <w:tblCellMar>
          <w:left w:w="62" w:type="dxa"/>
          <w:right w:w="62" w:type="dxa"/>
        </w:tblCellMar>
        <w:tblLook w:val="0000"/>
      </w:tblPr>
      <w:tblGrid>
        <w:gridCol w:w="404"/>
        <w:gridCol w:w="1864"/>
        <w:gridCol w:w="900"/>
        <w:gridCol w:w="5340"/>
      </w:tblGrid>
      <w:tr w:rsidTr="00D14EC2">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PERFORMANCE CRITERIA</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1</w:t>
            </w:r>
          </w:p>
        </w:tc>
        <w:tc>
          <w:tcPr>
            <w:tcW w:w="1864" w:type="dxa"/>
            <w:vMerge w:val="restart"/>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Prepare to fabricate tubing and attach fittings for refrigeration and/or air conditioning systems</w:t>
            </w: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1.1</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OHS procedures for a given work area are identified, obtained and understood  through established routines and procedures</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1.2</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Established OHS risk control measures and procedures are followed in preparation for the work.</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1.3</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Safety hazards which have not previously been identified are reported and advice on risk control measures is sought from the work supervisor.</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1.4</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The nature of work is obtained from documentation or from work supervisor to establish the scope of work to be undertaken.</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1.5</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Advice is sought from the work supervisor to ensure the work is coordinated effectively with others.</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1.6</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Sources of materia</w:t>
            </w:r>
            <w:r w:rsidRPr="00B53D0C">
              <w:t>ls that may be required for the work are accessed in accordance with established routines and procedures.</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1.7</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Tools, equipment and testing devices needed to carry out the work are obtained and checked for correct operation and safety</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2</w:t>
            </w:r>
          </w:p>
        </w:tc>
        <w:tc>
          <w:tcPr>
            <w:tcW w:w="1864" w:type="dxa"/>
            <w:vMerge w:val="restart"/>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Fabricate tubing</w:t>
            </w:r>
            <w:r w:rsidRPr="00B53D0C">
              <w:t xml:space="preserve"> and attach fittings for refrigeration and/or air conditioning systems</w:t>
            </w: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2.1</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Established OHS risk control measures and procedures for carrying out the work are followed.</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2.2</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Work in strict accordance with OHS requirements and when necessary conducted within established safety procedures</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2.3</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Established methods used to cut, flare, swage, bend, silver braze tubing and fittings as they apply to the refrigeration/air conditioni</w:t>
            </w:r>
            <w:r w:rsidRPr="00B53D0C">
              <w:t>ng equipment arrangements.</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2.4</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Refrigerant tubing and fittings are silver brazed with the use of dry nitrogen to prevent contamination.</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2.5</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Fabricate tubing and attach fittings are prepared efficiently without waste of materials or damage/contamination to apparatus and the surrounding environment or services and using sustainable energy practices.</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2.6</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 xml:space="preserve">Routine quality checks are carried out </w:t>
            </w:r>
            <w:r w:rsidRPr="00B53D0C">
              <w:t>in accordance with work instructions/or specifications including dimensions and pressure testing.</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3</w:t>
            </w:r>
          </w:p>
        </w:tc>
        <w:tc>
          <w:tcPr>
            <w:tcW w:w="1864" w:type="dxa"/>
            <w:vMerge w:val="restart"/>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Complete work and report</w:t>
            </w: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3.1</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OHS work completion risk control measures and procedures are followed.</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3.2</w:t>
            </w:r>
          </w:p>
        </w:tc>
        <w:tc>
          <w:tcPr>
            <w:tcW w:w="53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Work site is cleaned and made safe in accordance with established procedures.</w:t>
            </w:r>
          </w:p>
        </w:tc>
      </w:tr>
      <w:tr w:rsidTr="00D14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3.3</w:t>
            </w:r>
          </w:p>
        </w:tc>
        <w:tc>
          <w:tcPr>
            <w:tcW w:w="534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Work supervisor is notified of the completion of the work in accordance with established procedures.</w:t>
            </w:r>
          </w:p>
        </w:tc>
      </w:tr>
    </w:tbl>
    <w:p w:rsidR="00D14EC2" w:rsidP="00B53D0C">
      <w:pPr>
        <w:pStyle w:val="BodyText"/>
      </w:pPr>
    </w:p>
    <w:p w:rsidR="00D14EC2" w:rsidP="00B53D0C">
      <w:pPr>
        <w:pStyle w:val="BodyText"/>
      </w:pPr>
    </w:p>
    <w:p w:rsidR="00000000" w:rsidRPr="00B53D0C" w:rsidP="00B53D0C">
      <w:pPr>
        <w:pStyle w:val="Heading1"/>
      </w:pPr>
      <w:bookmarkStart w:id="9" w:name="O_589195"/>
      <w:bookmarkEnd w:id="9"/>
      <w:r w:rsidRPr="00B53D0C">
        <w:t>Required Skills and Knowledge</w:t>
      </w:r>
    </w:p>
    <w:tbl>
      <w:tblPr>
        <w:tblW w:w="0" w:type="auto"/>
        <w:tblLayout w:type="fixed"/>
        <w:tblCellMar>
          <w:left w:w="62" w:type="dxa"/>
          <w:right w:w="62" w:type="dxa"/>
        </w:tblCellMar>
        <w:tblLook w:val="0000"/>
      </w:tblPr>
      <w:tblGrid>
        <w:gridCol w:w="8508"/>
      </w:tblGrid>
      <w:tr w:rsidTr="00D14EC2">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REQUIRED SKILLS AND KNOWLEDGE</w:t>
            </w:r>
          </w:p>
        </w:tc>
      </w:tr>
      <w:tr w:rsidTr="00D14EC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7)</w:t>
            </w:r>
            <w:r w:rsidRPr="00B53D0C">
              <w:t xml:space="preserve"> This describes the essential skills and knowledge and their level, required for this unit.</w:t>
            </w:r>
          </w:p>
        </w:tc>
      </w:tr>
      <w:tr w:rsidTr="00D14EC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Evidence shall show that knowledge has been acquired of safe working practices and preparing refrigerant tubing and fittings.</w:t>
            </w:r>
          </w:p>
          <w:p w:rsidR="00000000" w:rsidRPr="00B53D0C" w:rsidP="00B53D0C">
            <w:pPr>
              <w:pStyle w:val="BodyText"/>
            </w:pPr>
            <w:r w:rsidRPr="00B53D0C">
              <w:t xml:space="preserve">All </w:t>
            </w:r>
            <w:r w:rsidRPr="00B53D0C">
              <w:t>knowledge and skills detailed in this unit should be contextualised to current industry practices and technologies.</w:t>
            </w:r>
          </w:p>
          <w:p w:rsidR="00000000" w:rsidRPr="00B53D0C" w:rsidP="00B53D0C">
            <w:pPr>
              <w:pStyle w:val="BodyText"/>
            </w:pPr>
            <w:r w:rsidRPr="00B53D0C">
              <w:rPr>
                <w:rStyle w:val="SpecialBold"/>
              </w:rPr>
              <w:t>KS01-EJ102A</w:t>
            </w:r>
            <w:r w:rsidRPr="00B53D0C">
              <w:rPr>
                <w:rStyle w:val="SpecialBold"/>
              </w:rPr>
              <w:tab/>
              <w:t xml:space="preserve">             Refrigerant tubing and fittings techniques</w:t>
            </w:r>
          </w:p>
          <w:p w:rsidR="00000000" w:rsidRPr="00B53D0C" w:rsidP="00B53D0C">
            <w:pPr>
              <w:pStyle w:val="BodyText"/>
            </w:pPr>
            <w:r w:rsidRPr="00B53D0C">
              <w:t>Evidence shall show an understanding of cutting, bending and joining ref</w:t>
            </w:r>
            <w:r w:rsidRPr="00B53D0C">
              <w:t>rigeration piping and tubing tools, equipment and techniques, applying safe working practices and relevant Standards, Codes and Regulations to an extent indicated by the following aspects:</w:t>
            </w:r>
          </w:p>
          <w:p w:rsidR="00000000" w:rsidRPr="00B53D0C" w:rsidP="00B53D0C">
            <w:pPr>
              <w:pStyle w:val="BodyText"/>
            </w:pPr>
            <w:r w:rsidRPr="00B53D0C">
              <w:t>T1         Piping</w:t>
            </w:r>
          </w:p>
          <w:p w:rsidR="00000000" w:rsidRPr="00B53D0C" w:rsidP="00B53D0C">
            <w:pPr>
              <w:pStyle w:val="ListBullet"/>
            </w:pPr>
            <w:r w:rsidRPr="00B53D0C">
              <w:t>Refrigeration &amp; water grade copper tube</w:t>
            </w:r>
          </w:p>
          <w:p w:rsidR="00000000" w:rsidRPr="00B53D0C" w:rsidP="00B53D0C">
            <w:pPr>
              <w:pStyle w:val="ListBullet"/>
            </w:pPr>
            <w:r w:rsidRPr="00B53D0C">
              <w:t>Maintaining cleanliness (always capped, do not blow out with mouth etc)</w:t>
            </w:r>
          </w:p>
          <w:p w:rsidR="00000000" w:rsidRPr="00B53D0C" w:rsidP="00B53D0C">
            <w:pPr>
              <w:pStyle w:val="ListBullet"/>
            </w:pPr>
            <w:r w:rsidRPr="00B53D0C">
              <w:t>Soft and hard drawn tube</w:t>
            </w:r>
          </w:p>
          <w:p w:rsidR="00000000" w:rsidRPr="00B53D0C" w:rsidP="00B53D0C">
            <w:pPr>
              <w:pStyle w:val="ListBullet"/>
            </w:pPr>
            <w:r w:rsidRPr="00B53D0C">
              <w:t>Tubing applications (soft, hard, pair coil, water grade etc)</w:t>
            </w:r>
          </w:p>
          <w:p w:rsidR="00000000" w:rsidRPr="00B53D0C" w:rsidP="00B53D0C">
            <w:pPr>
              <w:pStyle w:val="ListBullet"/>
            </w:pPr>
            <w:r w:rsidRPr="00B53D0C">
              <w:t>Tube qualities - diameter, wall thickness (gauge) and pressure ratings (R410A etc)</w:t>
            </w:r>
          </w:p>
          <w:p w:rsidR="00000000" w:rsidRPr="00B53D0C" w:rsidP="00B53D0C">
            <w:pPr>
              <w:pStyle w:val="ListBullet"/>
            </w:pPr>
            <w:r w:rsidRPr="00B53D0C">
              <w:t>Pipe insulation</w:t>
            </w:r>
            <w:r w:rsidRPr="00B53D0C">
              <w:t xml:space="preserve"> (types - tube, slit tube, sheet etc and joining methods - glue, tape etc)</w:t>
            </w:r>
          </w:p>
          <w:p w:rsidR="00000000" w:rsidRPr="00B53D0C" w:rsidP="00B53D0C">
            <w:pPr>
              <w:pStyle w:val="ListBullet"/>
            </w:pPr>
            <w:r w:rsidRPr="00B53D0C">
              <w:t>Other tube materials (Bundy, steel, aluminum, brass)</w:t>
            </w:r>
          </w:p>
          <w:p w:rsidR="00000000" w:rsidRPr="00B53D0C" w:rsidP="00B53D0C">
            <w:pPr>
              <w:pStyle w:val="BodyText"/>
            </w:pPr>
            <w:r w:rsidRPr="00B53D0C">
              <w:t>T2</w:t>
            </w:r>
            <w:r w:rsidRPr="00B53D0C">
              <w:tab/>
              <w:t>Cutting</w:t>
            </w:r>
          </w:p>
          <w:p w:rsidR="00000000" w:rsidRPr="00B53D0C" w:rsidP="00B53D0C">
            <w:pPr>
              <w:pStyle w:val="ListBullet"/>
            </w:pPr>
            <w:r w:rsidRPr="00B53D0C">
              <w:t xml:space="preserve">Cutting tools (Imps, normal &amp; large pipe cutters, tube cutting rings etc) </w:t>
            </w:r>
          </w:p>
          <w:p w:rsidR="00000000" w:rsidRPr="00B53D0C" w:rsidP="00B53D0C">
            <w:pPr>
              <w:pStyle w:val="ListBullet"/>
            </w:pPr>
            <w:r w:rsidRPr="00B53D0C">
              <w:t>Precautions while cutting (sharp burrs, s</w:t>
            </w:r>
            <w:r w:rsidRPr="00B53D0C">
              <w:t>harp blades etc)</w:t>
            </w:r>
          </w:p>
          <w:p w:rsidR="00000000" w:rsidRPr="00B53D0C" w:rsidP="00B53D0C">
            <w:pPr>
              <w:pStyle w:val="ListBullet"/>
            </w:pPr>
            <w:r w:rsidRPr="00B53D0C">
              <w:t>Deburring tools (reamers, deburrers etc)</w:t>
            </w:r>
          </w:p>
          <w:p w:rsidR="00000000" w:rsidRPr="00B53D0C" w:rsidP="00B53D0C">
            <w:pPr>
              <w:pStyle w:val="BodyText"/>
            </w:pPr>
            <w:r w:rsidRPr="00B53D0C">
              <w:t>T3</w:t>
            </w:r>
            <w:r w:rsidRPr="00B53D0C">
              <w:tab/>
              <w:t>Bending</w:t>
            </w:r>
          </w:p>
          <w:p w:rsidR="00000000" w:rsidRPr="00B53D0C" w:rsidP="00B53D0C">
            <w:pPr>
              <w:pStyle w:val="ListBullet"/>
            </w:pPr>
            <w:r w:rsidRPr="00B53D0C">
              <w:t xml:space="preserve">Bending tools (springs, levers, presses etc) </w:t>
            </w:r>
          </w:p>
          <w:p w:rsidR="00000000" w:rsidRPr="00B53D0C" w:rsidP="00B53D0C">
            <w:pPr>
              <w:pStyle w:val="ListBullet"/>
            </w:pPr>
            <w:r w:rsidRPr="00B53D0C">
              <w:t xml:space="preserve">Precautions while bending (work hardening, collapsing etc) </w:t>
            </w:r>
          </w:p>
          <w:p w:rsidR="00000000" w:rsidRPr="00B53D0C" w:rsidP="00B53D0C">
            <w:pPr>
              <w:pStyle w:val="ListBullet"/>
            </w:pPr>
            <w:r w:rsidRPr="00B53D0C">
              <w:t>Bending hard drawn tube - the process of annealing</w:t>
            </w:r>
          </w:p>
          <w:p w:rsidR="00000000" w:rsidRPr="00B53D0C" w:rsidP="00B53D0C">
            <w:pPr>
              <w:pStyle w:val="BodyText"/>
            </w:pPr>
            <w:r w:rsidRPr="00B53D0C">
              <w:t>T4</w:t>
            </w:r>
            <w:r w:rsidRPr="00B53D0C">
              <w:tab/>
              <w:t>Joining</w:t>
            </w:r>
          </w:p>
          <w:p w:rsidR="00000000" w:rsidRPr="00B53D0C" w:rsidP="00B53D0C">
            <w:pPr>
              <w:pStyle w:val="ListBullet"/>
            </w:pPr>
            <w:r w:rsidRPr="00B53D0C">
              <w:t>Flare nuts (plain</w:t>
            </w:r>
            <w:r w:rsidRPr="00B53D0C">
              <w:t>, short barrel, frost proof, reducing)</w:t>
            </w:r>
          </w:p>
          <w:p w:rsidR="00000000" w:rsidRPr="00B53D0C" w:rsidP="00B53D0C">
            <w:pPr>
              <w:pStyle w:val="ListBullet"/>
            </w:pPr>
            <w:r w:rsidRPr="00B53D0C">
              <w:t>Flaring tools (flare block, eccentric with clutch for high pressure tube)</w:t>
            </w:r>
          </w:p>
          <w:p w:rsidR="00000000" w:rsidRPr="00B53D0C" w:rsidP="00B53D0C">
            <w:pPr>
              <w:pStyle w:val="ListBullet"/>
            </w:pPr>
            <w:r w:rsidRPr="00B53D0C">
              <w:t>Precautions while flaring (deburred, length past block face, cleanliness)</w:t>
            </w:r>
          </w:p>
          <w:p w:rsidR="00000000" w:rsidRPr="00B53D0C" w:rsidP="00B53D0C">
            <w:pPr>
              <w:pStyle w:val="ListBullet"/>
            </w:pPr>
            <w:r w:rsidRPr="00B53D0C">
              <w:t>Swaging tools (punch, flare block, expander etc)</w:t>
            </w:r>
          </w:p>
          <w:p w:rsidR="00000000" w:rsidRPr="00B53D0C" w:rsidP="00B53D0C">
            <w:pPr>
              <w:pStyle w:val="ListBullet"/>
            </w:pPr>
            <w:r w:rsidRPr="00B53D0C">
              <w:t>Precautions while sw</w:t>
            </w:r>
            <w:r w:rsidRPr="00B53D0C">
              <w:t>aging (length past block face, tube shortening effect, cleanliness etc)</w:t>
            </w:r>
          </w:p>
          <w:p w:rsidR="00000000" w:rsidRPr="00B53D0C" w:rsidP="00B53D0C">
            <w:pPr>
              <w:pStyle w:val="ListBullet"/>
            </w:pPr>
            <w:r w:rsidRPr="00B53D0C">
              <w:t>Other tube fittings (BSP to flare elbows, tees, unions, plugs, flare washers, Lokrings etc)</w:t>
            </w:r>
          </w:p>
          <w:p w:rsidR="00000000" w:rsidRPr="00B53D0C" w:rsidP="00B53D0C">
            <w:pPr>
              <w:pStyle w:val="ListBullet"/>
            </w:pPr>
            <w:r w:rsidRPr="00B53D0C">
              <w:t>Thread sealants (tapes, pastes etc)</w:t>
            </w:r>
          </w:p>
          <w:p w:rsidR="00000000" w:rsidRPr="00B53D0C" w:rsidP="00B53D0C">
            <w:pPr>
              <w:pStyle w:val="ListBullet"/>
            </w:pPr>
            <w:r w:rsidRPr="00B53D0C">
              <w:t>Access valves (Schrader, piercing, cut-</w:t>
            </w:r>
            <w:r w:rsidRPr="00B53D0C">
              <w:t>away of service valve/s)</w:t>
            </w:r>
          </w:p>
          <w:p w:rsidR="00000000" w:rsidRPr="00B53D0C" w:rsidP="00B53D0C">
            <w:pPr>
              <w:pStyle w:val="ListBullet"/>
            </w:pPr>
            <w:r w:rsidRPr="00B53D0C">
              <w:t>Precautions using access valves (refrigerant leakage, core removal, limitations on piercing valves etc)</w:t>
            </w:r>
          </w:p>
          <w:p w:rsidR="00000000" w:rsidRPr="00B53D0C" w:rsidP="00B53D0C">
            <w:pPr>
              <w:pStyle w:val="BodyText"/>
            </w:pPr>
            <w:r w:rsidRPr="00B53D0C">
              <w:t>T5</w:t>
            </w:r>
            <w:r w:rsidRPr="00B53D0C">
              <w:tab/>
              <w:t>Soldering and brazing equipment</w:t>
            </w:r>
          </w:p>
          <w:p w:rsidR="00000000" w:rsidRPr="00B53D0C" w:rsidP="00B53D0C">
            <w:pPr>
              <w:pStyle w:val="ListBullet"/>
            </w:pPr>
            <w:r w:rsidRPr="00B53D0C">
              <w:t>Gas types (oxy acetylene, air acetylene, propane, Mapp gas)</w:t>
            </w:r>
          </w:p>
          <w:p w:rsidR="00000000" w:rsidRPr="00B53D0C" w:rsidP="00B53D0C">
            <w:pPr>
              <w:pStyle w:val="ListBullet"/>
            </w:pPr>
            <w:r w:rsidRPr="00B53D0C">
              <w:t>Hazards associated with their u</w:t>
            </w:r>
            <w:r w:rsidRPr="00B53D0C">
              <w:t>se (cylinder transport, remove regulator, oil &amp; oxy = bang)</w:t>
            </w:r>
          </w:p>
          <w:p w:rsidR="00000000" w:rsidRPr="00B53D0C" w:rsidP="00B53D0C">
            <w:pPr>
              <w:pStyle w:val="ListBullet"/>
            </w:pPr>
            <w:r w:rsidRPr="00B53D0C">
              <w:t>Personal safety (MSDS - oxy, acetylene, propane, MAPP gas)</w:t>
            </w:r>
          </w:p>
          <w:p w:rsidR="00000000" w:rsidRPr="00B53D0C" w:rsidP="00B53D0C">
            <w:pPr>
              <w:pStyle w:val="ListBullet"/>
            </w:pPr>
            <w:r w:rsidRPr="00B53D0C">
              <w:t>Flash back arrestors</w:t>
            </w:r>
          </w:p>
          <w:p w:rsidR="00000000" w:rsidRPr="00B53D0C" w:rsidP="00B53D0C">
            <w:pPr>
              <w:pStyle w:val="ListBullet"/>
            </w:pPr>
            <w:r w:rsidRPr="00B53D0C">
              <w:t>Setting up equipment (fitting regulator, adjusting pressures, tip selection)</w:t>
            </w:r>
          </w:p>
          <w:p w:rsidR="00000000" w:rsidRPr="00B53D0C" w:rsidP="00B53D0C">
            <w:pPr>
              <w:pStyle w:val="ListBullet"/>
            </w:pPr>
            <w:r w:rsidRPr="00B53D0C">
              <w:t>Igniting and flame types (flint guns, o</w:t>
            </w:r>
            <w:r w:rsidRPr="00B53D0C">
              <w:t>xidising, neutral, carburising)</w:t>
            </w:r>
          </w:p>
          <w:p w:rsidR="00000000" w:rsidRPr="00B53D0C" w:rsidP="00B53D0C">
            <w:pPr>
              <w:pStyle w:val="ListBullet"/>
            </w:pPr>
            <w:r w:rsidRPr="00B53D0C">
              <w:t>Care and maintenance of equipment (hoses, regulator, tips, cylinders, flash back arrestors)</w:t>
            </w:r>
          </w:p>
          <w:p w:rsidR="00000000" w:rsidRPr="00B53D0C" w:rsidP="00B53D0C">
            <w:pPr>
              <w:pStyle w:val="BodyText"/>
            </w:pPr>
            <w:r w:rsidRPr="00B53D0C">
              <w:t>T6</w:t>
            </w:r>
            <w:r w:rsidRPr="00B53D0C">
              <w:tab/>
              <w:t>Silver solder</w:t>
            </w:r>
          </w:p>
          <w:p w:rsidR="00000000" w:rsidRPr="00B53D0C" w:rsidP="00B53D0C">
            <w:pPr>
              <w:pStyle w:val="ListBullet"/>
            </w:pPr>
            <w:r w:rsidRPr="00B53D0C">
              <w:t>Types (yellow, brown, blue and their metal components)</w:t>
            </w:r>
          </w:p>
          <w:p w:rsidR="00000000" w:rsidRPr="00B53D0C" w:rsidP="00B53D0C">
            <w:pPr>
              <w:pStyle w:val="ListBullet"/>
            </w:pPr>
            <w:r w:rsidRPr="00B53D0C">
              <w:t>Personal safety (MSDS - silver brazing alloys)</w:t>
            </w:r>
          </w:p>
          <w:p w:rsidR="00000000" w:rsidRPr="00B53D0C" w:rsidP="00B53D0C">
            <w:pPr>
              <w:pStyle w:val="ListBullet"/>
            </w:pPr>
            <w:r w:rsidRPr="00B53D0C">
              <w:t>Flux and its</w:t>
            </w:r>
            <w:r w:rsidRPr="00B53D0C">
              <w:t xml:space="preserve"> use (dissimilar metals)</w:t>
            </w:r>
          </w:p>
          <w:p w:rsidR="00000000" w:rsidRPr="00B53D0C" w:rsidP="00B53D0C">
            <w:pPr>
              <w:pStyle w:val="ListBullet"/>
            </w:pPr>
            <w:r w:rsidRPr="00B53D0C">
              <w:t>Personal safety (MSDS - flux)</w:t>
            </w:r>
          </w:p>
          <w:p w:rsidR="00000000" w:rsidRPr="00B53D0C" w:rsidP="00B53D0C">
            <w:pPr>
              <w:pStyle w:val="ListBullet"/>
            </w:pPr>
            <w:r w:rsidRPr="00B53D0C">
              <w:t>Preparing surfaces (removing oxides, oils, applying flux)</w:t>
            </w:r>
          </w:p>
          <w:p w:rsidR="00000000" w:rsidRPr="00B53D0C" w:rsidP="00B53D0C">
            <w:pPr>
              <w:pStyle w:val="BodyText"/>
            </w:pPr>
            <w:r w:rsidRPr="00B53D0C">
              <w:t>T7        Soldering techniques</w:t>
            </w:r>
          </w:p>
          <w:p w:rsidR="00000000" w:rsidRPr="00B53D0C" w:rsidP="00B53D0C">
            <w:pPr>
              <w:pStyle w:val="ListBullet"/>
            </w:pPr>
            <w:r w:rsidRPr="00B53D0C">
              <w:t>Dry nitrogen</w:t>
            </w:r>
          </w:p>
          <w:p w:rsidR="00000000" w:rsidRPr="00B53D0C" w:rsidP="00B53D0C">
            <w:pPr>
              <w:pStyle w:val="ListBullet"/>
            </w:pPr>
            <w:r w:rsidRPr="00B53D0C">
              <w:t>Personal safety (MSDS - nitrogen)</w:t>
            </w:r>
          </w:p>
          <w:p w:rsidR="00000000" w:rsidRPr="00B53D0C" w:rsidP="00B53D0C">
            <w:pPr>
              <w:pStyle w:val="ListBullet"/>
            </w:pPr>
            <w:r w:rsidRPr="00B53D0C">
              <w:t>Applying dry nitrogen to a piping circuit</w:t>
            </w:r>
          </w:p>
          <w:p w:rsidR="00000000" w:rsidRPr="00B53D0C" w:rsidP="00B53D0C">
            <w:pPr>
              <w:pStyle w:val="ListBullet"/>
            </w:pPr>
            <w:r w:rsidRPr="00B53D0C">
              <w:t>Silver soldering copper to copper</w:t>
            </w:r>
          </w:p>
          <w:p w:rsidR="00000000" w:rsidRPr="00B53D0C" w:rsidP="00B53D0C">
            <w:pPr>
              <w:pStyle w:val="ListBullet"/>
            </w:pPr>
            <w:r w:rsidRPr="00B53D0C">
              <w:t>Silver soldering copper to dissimilar metals</w:t>
            </w:r>
          </w:p>
          <w:p w:rsidR="00000000" w:rsidRPr="00B53D0C" w:rsidP="00B53D0C">
            <w:pPr>
              <w:pStyle w:val="ListBullet"/>
            </w:pPr>
            <w:r w:rsidRPr="00B53D0C">
              <w:t>Annealing copper tube</w:t>
            </w:r>
          </w:p>
        </w:tc>
      </w:tr>
    </w:tbl>
    <w:p w:rsidR="00D14EC2" w:rsidP="00B53D0C">
      <w:pPr>
        <w:pStyle w:val="BodyText"/>
      </w:pPr>
    </w:p>
    <w:p w:rsidR="00D14EC2" w:rsidP="00B53D0C">
      <w:pPr>
        <w:pStyle w:val="BodyText"/>
      </w:pPr>
    </w:p>
    <w:p w:rsidR="00000000" w:rsidRPr="00B53D0C" w:rsidP="00B53D0C">
      <w:pPr>
        <w:pStyle w:val="Heading1"/>
      </w:pPr>
      <w:bookmarkStart w:id="10" w:name="O_589193"/>
      <w:bookmarkEnd w:id="10"/>
      <w:r w:rsidRPr="00B53D0C">
        <w:t>Evidence Guide</w:t>
      </w:r>
    </w:p>
    <w:tbl>
      <w:tblPr>
        <w:tblW w:w="0" w:type="auto"/>
        <w:tblLayout w:type="fixed"/>
        <w:tblCellMar>
          <w:left w:w="62" w:type="dxa"/>
          <w:right w:w="62" w:type="dxa"/>
        </w:tblCellMar>
        <w:tblLook w:val="0000"/>
      </w:tblPr>
      <w:tblGrid>
        <w:gridCol w:w="2160"/>
        <w:gridCol w:w="720"/>
        <w:gridCol w:w="540"/>
        <w:gridCol w:w="5040"/>
        <w:gridCol w:w="48"/>
      </w:tblGrid>
      <w:tr w:rsidTr="00D14EC2">
        <w:tblPrEx>
          <w:tblW w:w="0" w:type="auto"/>
          <w:tblLayout w:type="fixed"/>
          <w:tblCellMar>
            <w:left w:w="62" w:type="dxa"/>
            <w:right w:w="62" w:type="dxa"/>
          </w:tblCellMar>
          <w:tblLook w:val="0000"/>
        </w:tblPrEx>
        <w:trPr>
          <w:tblHeader/>
        </w:trPr>
        <w:tc>
          <w:tcPr>
            <w:tcW w:w="8508" w:type="dxa"/>
            <w:gridSpan w:val="5"/>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EVIDENCE GUIDE</w:t>
            </w:r>
          </w:p>
        </w:tc>
      </w:tr>
      <w:tr w:rsidTr="00D14EC2">
        <w:tblPrEx>
          <w:tblW w:w="0" w:type="auto"/>
          <w:tblLayout w:type="fixed"/>
          <w:tblCellMar>
            <w:left w:w="62" w:type="dxa"/>
            <w:right w:w="62" w:type="dxa"/>
          </w:tblCellMar>
          <w:tblLook w:val="0000"/>
        </w:tblPrEx>
        <w:tc>
          <w:tcPr>
            <w:tcW w:w="8508" w:type="dxa"/>
            <w:gridSpan w:val="5"/>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9</w:t>
            </w:r>
            <w:r w:rsidRPr="00B53D0C">
              <w:t>) The evidence guide provides advice on assessment and must be read in conjunction with the Performance Criteria, Required Skills and Knowledge, the Range Statement and the Assessment Guidelines for this Training Package. .</w:t>
            </w:r>
          </w:p>
          <w:p w:rsidR="00000000" w:rsidP="00B53D0C">
            <w:pPr>
              <w:pStyle w:val="BodyText"/>
              <w:rPr>
                <w:lang w:val="en-NZ"/>
              </w:rPr>
            </w:pPr>
            <w:r w:rsidRPr="00B53D0C">
              <w:t>The Evidence Guide forms an inte</w:t>
            </w:r>
            <w:r w:rsidRPr="00B53D0C">
              <w:t>gral part of this Unit. It must be used in conjunction with all parts of this unit and performed in accordance with the Assessment Guidelines of this Training Package.</w:t>
            </w:r>
          </w:p>
        </w:tc>
      </w:tr>
      <w:tr w:rsidTr="00D14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Overview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9</w:t>
            </w:r>
            <w:r w:rsidRPr="00B53D0C">
              <w:t>.</w:t>
            </w:r>
            <w:r w:rsidRPr="00B53D0C">
              <w:rPr>
                <w:rStyle w:val="SpecialBold"/>
              </w:rPr>
              <w:t>1</w:t>
            </w:r>
            <w:r w:rsidRPr="00B53D0C">
              <w:t xml:space="preserve">) </w:t>
            </w:r>
          </w:p>
          <w:p w:rsidR="00000000" w:rsidRPr="00B53D0C" w:rsidP="00B53D0C">
            <w:pPr>
              <w:pStyle w:val="BodyText"/>
            </w:pPr>
            <w:r w:rsidRPr="00B53D0C">
              <w:t>Longitudinal competency development approaches to asses</w:t>
            </w:r>
            <w:r w:rsidRPr="00B53D0C">
              <w:t>sment, such as Profiling, require data to be reliably gathered in a form that can be consistently interpreted over time. This approach is best utilised in Apprenticeship programs and reduces assessment intervention. It is the industry-preferred model for a</w:t>
            </w:r>
            <w:r w:rsidRPr="00B53D0C">
              <w:t>pprenticeships. However, where summative (or final) assessment is used it is to include the application of the competency in the normal work environment or, at a minimum, the application of the competency in a realistically simulated work environment. In s</w:t>
            </w:r>
            <w:r w:rsidRPr="00B53D0C">
              <w:t>ome circumstances, assessment in part or full can occur outside the workplace. However, it must be in accordance with industry and regulatory policy.</w:t>
            </w:r>
          </w:p>
          <w:p w:rsidR="00000000" w:rsidRPr="00B53D0C" w:rsidP="00B53D0C">
            <w:pPr>
              <w:pStyle w:val="BodyText"/>
            </w:pPr>
            <w:r w:rsidRPr="00B53D0C">
              <w:t>Methods chosen for a particular assessment will be influenced by various factors. These include the extent</w:t>
            </w:r>
            <w:r w:rsidRPr="00B53D0C">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B53D0C" w:rsidP="00B53D0C">
            <w:pPr>
              <w:pStyle w:val="BodyText"/>
            </w:pPr>
            <w:r w:rsidRPr="00B53D0C">
              <w:t>The critical safety natu</w:t>
            </w:r>
            <w:r w:rsidRPr="00B53D0C">
              <w:t>re of working with electricity, electrical equipment, gas or any other hazardous substance/material carries risk in deeming a person competent. Sources of evidence need to be 'rich' in nature to minimise error in judgment.</w:t>
            </w:r>
          </w:p>
          <w:p w:rsidR="00000000" w:rsidP="00B53D0C">
            <w:pPr>
              <w:pStyle w:val="BodyText"/>
              <w:rPr>
                <w:lang w:val="en-NZ"/>
              </w:rPr>
            </w:pPr>
            <w:r w:rsidRPr="00B53D0C">
              <w:t>Activities associated with normal</w:t>
            </w:r>
            <w:r w:rsidRPr="00B53D0C">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B53D0C">
              <w:t xml:space="preserve"> raised for the assessors to consider when choosing an assessment method and developing assessment instruments. Sample assessment instruments are included for Assessors in the Assessment Guidelines of this Training Package.</w:t>
            </w:r>
          </w:p>
        </w:tc>
      </w:tr>
      <w:tr w:rsidTr="00D14EC2">
        <w:tblPrEx>
          <w:tblW w:w="0" w:type="auto"/>
          <w:tblLayout w:type="fixed"/>
          <w:tblCellMar>
            <w:left w:w="62" w:type="dxa"/>
            <w:right w:w="62" w:type="dxa"/>
          </w:tblCellMar>
          <w:tblLook w:val="0000"/>
        </w:tblPrEx>
        <w:trPr>
          <w:gridAfter w:val="1"/>
          <w:wAfter w:w="48" w:type="dxa"/>
        </w:trPr>
        <w:tc>
          <w:tcPr>
            <w:tcW w:w="2160" w:type="dxa"/>
            <w:vMerge w:val="restart"/>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 xml:space="preserve">Critical aspects of evidence required to demonstrate competency </w:t>
            </w:r>
            <w:r w:rsidRPr="00B53D0C">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9</w:t>
            </w:r>
            <w:r w:rsidRPr="00B53D0C">
              <w:t>.</w:t>
            </w:r>
            <w:r w:rsidRPr="00B53D0C">
              <w:rPr>
                <w:rStyle w:val="SpecialBold"/>
              </w:rPr>
              <w:t>2</w:t>
            </w:r>
            <w:r w:rsidRPr="00B53D0C">
              <w:t xml:space="preserve">) </w:t>
            </w:r>
          </w:p>
          <w:p w:rsidR="00000000" w:rsidP="00B53D0C">
            <w:pPr>
              <w:pStyle w:val="BodyText"/>
              <w:rPr>
                <w:lang w:val="en-NZ"/>
              </w:rPr>
            </w:pPr>
            <w:r w:rsidRPr="00B53D0C">
              <w:t>Before the critical aspects of evidence are considered all prerequisites must be met.</w:t>
            </w:r>
          </w:p>
        </w:tc>
      </w:tr>
      <w:tr w:rsidTr="00D14EC2">
        <w:tblPrEx>
          <w:tblW w:w="0" w:type="auto"/>
          <w:tblLayout w:type="fixed"/>
          <w:tblCellMar>
            <w:left w:w="62" w:type="dxa"/>
            <w:right w:w="62" w:type="dxa"/>
          </w:tblCellMar>
          <w:tblLook w:val="0000"/>
        </w:tblPrEx>
        <w:trPr>
          <w:gridAfter w:val="1"/>
          <w:wAfter w:w="48"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Evidence for competence in this unit shall be considered holistically.  Each Elemen</w:t>
            </w:r>
            <w:r w:rsidRPr="00B53D0C">
              <w:t>t and associated performance criteria shall be demonstrated on at least two occasions in accordance with the 'Assessment Guidelines - UEE07'.  Evidence shall also comprise:</w:t>
            </w:r>
          </w:p>
          <w:p w:rsidR="00000000" w:rsidP="00B53D0C">
            <w:pPr>
              <w:pStyle w:val="ListBullet"/>
              <w:rPr>
                <w:lang w:val="en-NZ"/>
              </w:rPr>
            </w:pPr>
            <w:r w:rsidRPr="00B53D0C">
              <w:t>A representative body of work performance demonstrated within the timeframes typic</w:t>
            </w:r>
            <w:r w:rsidRPr="00B53D0C">
              <w:t>ally expected of the discipline, work function and industrial environment. In particular this shall incorporate evidence that shows a candidate is able to:</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3D0C" w:rsidP="00B53D0C">
            <w:pPr>
              <w:pStyle w:val="ListBullet2"/>
            </w:pPr>
            <w:r w:rsidRPr="00B53D0C">
              <w:t xml:space="preserve">Implement Occupational Health and Safety workplace procedures and practices including </w:t>
            </w:r>
            <w:r w:rsidRPr="00B53D0C">
              <w:t>the use of risk control measures as specified in the performance criteria and range statement</w:t>
            </w:r>
          </w:p>
          <w:p w:rsidR="00000000" w:rsidRPr="00B53D0C" w:rsidP="00B53D0C">
            <w:pPr>
              <w:pStyle w:val="ListBullet2"/>
            </w:pPr>
            <w:r w:rsidRPr="00B53D0C">
              <w:t>Apply sustainable energy principles and practices as specified in the performance criteria and range statement</w:t>
            </w:r>
          </w:p>
          <w:p w:rsidR="00000000" w:rsidRPr="00B53D0C" w:rsidP="00B53D0C">
            <w:pPr>
              <w:pStyle w:val="ListBullet2"/>
            </w:pPr>
            <w:r w:rsidRPr="00B53D0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53D0C" w:rsidP="00B53D0C">
            <w:pPr>
              <w:pStyle w:val="ListBullet2"/>
            </w:pPr>
            <w:r w:rsidRPr="00B53D0C">
              <w:t>Demonst</w:t>
            </w:r>
            <w:r w:rsidRPr="00B53D0C">
              <w:t>rate an appropriate level of skills enabling employment</w:t>
            </w:r>
          </w:p>
          <w:p w:rsidR="00000000" w:rsidP="00B53D0C">
            <w:pPr>
              <w:pStyle w:val="ListBullet2"/>
              <w:rPr>
                <w:lang w:val="en-NZ"/>
              </w:rPr>
            </w:pPr>
            <w:r w:rsidRPr="00B53D0C">
              <w:t>Conduct work observing the relevant Anti Discrimination legislation, regulations, polices and workplace procedures</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3D0C">
            <w:pPr>
              <w:pStyle w:val="ListBullet"/>
              <w:rPr>
                <w:lang w:val="en-NZ"/>
              </w:rPr>
            </w:pPr>
            <w:r w:rsidRPr="00B53D0C">
              <w:t>Demonstrated consistent performance across a representative range of contexts fr</w:t>
            </w:r>
            <w:r w:rsidRPr="00B53D0C">
              <w:t>om the prescribed items below:</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3D0C">
            <w:pPr>
              <w:pStyle w:val="ListBullet2"/>
              <w:rPr>
                <w:lang w:val="en-NZ"/>
              </w:rPr>
            </w:pPr>
            <w:r w:rsidRPr="00B53D0C">
              <w:t>Prepare refrigerant tubing and fittings as described in 8) and including:</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A</w:t>
            </w:r>
          </w:p>
        </w:tc>
        <w:tc>
          <w:tcPr>
            <w:tcW w:w="50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Applying tubing and fitting appropriately to equipment layout</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B</w:t>
            </w:r>
          </w:p>
        </w:tc>
        <w:tc>
          <w:tcPr>
            <w:tcW w:w="50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Using established methods to cut, flare, bend, swage and silver brazing copper tube</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C</w:t>
            </w:r>
          </w:p>
        </w:tc>
        <w:tc>
          <w:tcPr>
            <w:tcW w:w="50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 xml:space="preserve">Attaching fittings correctly </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D</w:t>
            </w:r>
          </w:p>
        </w:tc>
        <w:tc>
          <w:tcPr>
            <w:tcW w:w="50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Conducting component routine quality checks</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E</w:t>
            </w:r>
          </w:p>
        </w:tc>
        <w:tc>
          <w:tcPr>
            <w:tcW w:w="5040"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Dealing with unplanned events by drawing on essential knowledge and skills to provi</w:t>
            </w:r>
            <w:r w:rsidRPr="00B53D0C">
              <w:t>de appropriate solutions incorporated in the holistic assessment with the above listed items</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Note:</w:t>
            </w:r>
          </w:p>
          <w:p w:rsidR="00000000" w:rsidP="00B53D0C">
            <w:pPr>
              <w:pStyle w:val="BodyText"/>
              <w:rPr>
                <w:lang w:val="en-NZ"/>
              </w:rPr>
            </w:pPr>
            <w:r w:rsidRPr="00B53D0C">
              <w:t>Successful completion of relevant vendor training may be used to contribute to evidence on which competency is dee</w:t>
            </w:r>
            <w:r w:rsidRPr="00B53D0C">
              <w:t>med. In these cases the alignment of outcomes of vendor training with performance criteria and critical aspects of evidence shall be clearly identified.</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9</w:t>
            </w:r>
            <w:r w:rsidRPr="00B53D0C">
              <w:t>.</w:t>
            </w:r>
            <w:r w:rsidRPr="00B53D0C">
              <w:rPr>
                <w:rStyle w:val="SpecialBold"/>
              </w:rPr>
              <w:t>3</w:t>
            </w:r>
            <w:r w:rsidRPr="00B53D0C">
              <w:t xml:space="preserve">) </w:t>
            </w:r>
          </w:p>
          <w:p w:rsidR="00000000" w:rsidRPr="00B53D0C" w:rsidP="00B53D0C">
            <w:pPr>
              <w:pStyle w:val="BodyText"/>
            </w:pPr>
            <w:r w:rsidRPr="00B53D0C">
              <w:t>This unit should be assessed as it relates to</w:t>
            </w:r>
            <w:r w:rsidRPr="00B53D0C">
              <w:t xml:space="preserve"> normal work practice using procedures, information and resources typical of a workplace. This should include:</w:t>
            </w:r>
          </w:p>
          <w:p w:rsidR="00000000" w:rsidRPr="00B53D0C" w:rsidP="00B53D0C">
            <w:pPr>
              <w:pStyle w:val="ListBullet"/>
            </w:pPr>
            <w:r w:rsidRPr="00B53D0C">
              <w:t>OHS policy and work procedures and instructions.</w:t>
            </w:r>
          </w:p>
          <w:p w:rsidR="00000000" w:rsidRPr="00B53D0C" w:rsidP="00B53D0C">
            <w:pPr>
              <w:pStyle w:val="ListBullet"/>
            </w:pPr>
            <w:r w:rsidRPr="00B53D0C">
              <w:t>Suitable work environment, facilities, equipment and materials to undertake actual work as pres</w:t>
            </w:r>
            <w:r w:rsidRPr="00B53D0C">
              <w:t>cribed by this unit.</w:t>
            </w:r>
          </w:p>
          <w:p w:rsidR="00000000" w:rsidRPr="00B53D0C" w:rsidP="00B53D0C">
            <w:pPr>
              <w:pStyle w:val="BodyText"/>
            </w:pPr>
            <w:r w:rsidRPr="00B53D0C">
              <w:t>These should be part of the formal learning/assessment environment.</w:t>
            </w:r>
          </w:p>
          <w:p w:rsidR="00000000" w:rsidRPr="00B53D0C" w:rsidP="00B53D0C">
            <w:pPr>
              <w:pStyle w:val="BodyText"/>
            </w:pPr>
            <w:r w:rsidRPr="00B53D0C">
              <w:t>Note:</w:t>
            </w:r>
          </w:p>
          <w:p w:rsidR="00000000" w:rsidP="00B53D0C">
            <w:pPr>
              <w:pStyle w:val="BodyText"/>
              <w:rPr>
                <w:lang w:val="en-NZ"/>
              </w:rPr>
            </w:pPr>
            <w:r w:rsidRPr="00B53D0C">
              <w:t xml:space="preserve">Where simulation is considered a suitable strategy for assessment, conditions must be authentic and as far as possible reproduce and replicate the workplace and </w:t>
            </w:r>
            <w:r w:rsidRPr="00B53D0C">
              <w:t>be consistent with the approved industry simulation policy.</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Evidence should show demonstrated competency in preparing refrigerant tubing and fittings.</w:t>
            </w:r>
          </w:p>
        </w:tc>
      </w:tr>
      <w:tr w:rsidTr="00D14EC2">
        <w:tblPrEx>
          <w:tblW w:w="0" w:type="auto"/>
          <w:tblLayout w:type="fixed"/>
          <w:tblCellMar>
            <w:left w:w="62" w:type="dxa"/>
            <w:right w:w="62" w:type="dxa"/>
          </w:tblCellMar>
          <w:tblLook w:val="0000"/>
        </w:tblPrEx>
        <w:trPr>
          <w:gridAfter w:val="1"/>
          <w:wAfter w:w="48" w:type="dxa"/>
        </w:trPr>
        <w:tc>
          <w:tcPr>
            <w:tcW w:w="21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9</w:t>
            </w:r>
            <w:r w:rsidRPr="00B53D0C">
              <w:t>.</w:t>
            </w:r>
            <w:r w:rsidRPr="00B53D0C">
              <w:rPr>
                <w:rStyle w:val="SpecialBold"/>
              </w:rPr>
              <w:t>4</w:t>
            </w:r>
            <w:r w:rsidRPr="00B53D0C">
              <w:t xml:space="preserve">) </w:t>
            </w:r>
          </w:p>
          <w:p w:rsidR="00000000" w:rsidRPr="00B53D0C" w:rsidP="00B53D0C">
            <w:pPr>
              <w:pStyle w:val="BodyText"/>
            </w:pPr>
            <w:r w:rsidRPr="00B53D0C">
              <w:t>This unit shall be assessed by methods given in Volume 1, Part 3 'Assessment Guidelines'.</w:t>
            </w:r>
          </w:p>
          <w:p w:rsidR="00000000" w:rsidRPr="00B53D0C" w:rsidP="00B53D0C">
            <w:pPr>
              <w:pStyle w:val="BodyText"/>
            </w:pPr>
            <w:r w:rsidRPr="00B53D0C">
              <w:t xml:space="preserve">Note: </w:t>
            </w:r>
          </w:p>
          <w:p w:rsidR="00000000" w:rsidP="00B53D0C">
            <w:pPr>
              <w:pStyle w:val="BodyText"/>
              <w:rPr>
                <w:lang w:val="en-NZ"/>
              </w:rPr>
            </w:pPr>
            <w:r w:rsidRPr="00B53D0C">
              <w:t>Competent performance with inherent safe working practices is expected in the Industry to which this unit applies. This requires assessment in a structured env</w:t>
            </w:r>
            <w:r w:rsidRPr="00B53D0C">
              <w:t>ironment which is intended primarily for learning/assessment and incorporates all necessary equipment and facilities for learners to develop and demonstrate the essential knowledge and skills described in this unit.</w:t>
            </w:r>
          </w:p>
        </w:tc>
      </w:tr>
      <w:tr w:rsidTr="00D14EC2">
        <w:tblPrEx>
          <w:tblW w:w="0" w:type="auto"/>
          <w:tblLayout w:type="fixed"/>
          <w:tblCellMar>
            <w:left w:w="62" w:type="dxa"/>
            <w:right w:w="62" w:type="dxa"/>
          </w:tblCellMar>
          <w:tblLook w:val="0000"/>
        </w:tblPrEx>
        <w:trPr>
          <w:gridAfter w:val="1"/>
          <w:wAfter w:w="48" w:type="dxa"/>
        </w:trPr>
        <w:tc>
          <w:tcPr>
            <w:tcW w:w="2160" w:type="dxa"/>
            <w:vMerge w:val="restart"/>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Concurrent assessment and relationshi</w:t>
            </w:r>
            <w:r w:rsidRPr="00B53D0C">
              <w:rPr>
                <w:rStyle w:val="SpecialBold"/>
              </w:rPr>
              <w:t>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9</w:t>
            </w:r>
            <w:r w:rsidRPr="00B53D0C">
              <w:t>.</w:t>
            </w:r>
            <w:r w:rsidRPr="00B53D0C">
              <w:rPr>
                <w:rStyle w:val="SpecialBold"/>
              </w:rPr>
              <w:t>5</w:t>
            </w:r>
            <w:r w:rsidRPr="00B53D0C">
              <w:t>)</w:t>
            </w:r>
          </w:p>
        </w:tc>
      </w:tr>
      <w:tr w:rsidTr="00D14EC2">
        <w:tblPrEx>
          <w:tblW w:w="0" w:type="auto"/>
          <w:tblLayout w:type="fixed"/>
          <w:tblCellMar>
            <w:left w:w="62" w:type="dxa"/>
            <w:right w:w="62" w:type="dxa"/>
          </w:tblCellMar>
          <w:tblLook w:val="0000"/>
        </w:tblPrEx>
        <w:trPr>
          <w:gridAfter w:val="1"/>
          <w:wAfter w:w="48"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There are no concurrent assessment recommendations for this unit.</w:t>
            </w:r>
          </w:p>
        </w:tc>
      </w:tr>
    </w:tbl>
    <w:p w:rsidR="00D14EC2" w:rsidP="00B53D0C">
      <w:pPr>
        <w:pStyle w:val="BodyText"/>
      </w:pPr>
    </w:p>
    <w:p w:rsidR="00D14EC2" w:rsidP="00B53D0C">
      <w:pPr>
        <w:pStyle w:val="BodyText"/>
      </w:pPr>
    </w:p>
    <w:p w:rsidR="00000000" w:rsidRPr="00B53D0C" w:rsidP="00B53D0C">
      <w:pPr>
        <w:pStyle w:val="Heading1"/>
      </w:pPr>
      <w:bookmarkStart w:id="11" w:name="O_589191"/>
      <w:bookmarkEnd w:id="11"/>
      <w:r w:rsidRPr="00B53D0C">
        <w:t>Range Statement</w:t>
      </w:r>
    </w:p>
    <w:tbl>
      <w:tblPr>
        <w:tblW w:w="0" w:type="auto"/>
        <w:tblLayout w:type="fixed"/>
        <w:tblCellMar>
          <w:left w:w="62" w:type="dxa"/>
          <w:right w:w="62" w:type="dxa"/>
        </w:tblCellMar>
        <w:tblLook w:val="0000"/>
      </w:tblPr>
      <w:tblGrid>
        <w:gridCol w:w="8508"/>
      </w:tblGrid>
      <w:tr w:rsidTr="00D14EC2">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RANGE STATEMENT</w:t>
            </w:r>
          </w:p>
        </w:tc>
      </w:tr>
      <w:tr w:rsidTr="00D14EC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rPr>
                <w:rStyle w:val="SpecialBold"/>
              </w:rPr>
              <w:t>8</w:t>
            </w:r>
            <w:r w:rsidRPr="00B53D0C">
              <w:t>) This relates to the unit as a whole providing the range of contexts and conditions to which the performance criteria apply. It allows for different work environments and situations that will affect performance.</w:t>
            </w:r>
          </w:p>
        </w:tc>
      </w:tr>
      <w:tr w:rsidTr="00D14EC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This unit must be demonstrated in relation</w:t>
            </w:r>
            <w:r w:rsidRPr="00B53D0C">
              <w:t xml:space="preserve"> to preparing refrigerant tubing and fittings for at least two basic different refrigeration/air conditioning equipment layouts, which require cutting, flaring, bending, swaging, silver brazing copper tube to copper tube, bundy tube, brass and steel fittin</w:t>
            </w:r>
            <w:r w:rsidRPr="00B53D0C">
              <w:t>gs.</w:t>
            </w:r>
          </w:p>
          <w:p w:rsidR="00000000" w:rsidRPr="00B53D0C" w:rsidP="00B53D0C">
            <w:pPr>
              <w:pStyle w:val="BodyText"/>
            </w:pPr>
            <w:r w:rsidRPr="00B53D0C">
              <w:t xml:space="preserve">Note: </w:t>
            </w:r>
          </w:p>
          <w:p w:rsidR="00000000" w:rsidP="00B53D0C">
            <w:pPr>
              <w:pStyle w:val="BodyText"/>
              <w:rPr>
                <w:lang w:val="en-NZ"/>
              </w:rPr>
            </w:pPr>
            <w:r w:rsidRPr="00B53D0C">
              <w:t>This includes piping/tubing and fittings for high pressure refrigerants.</w:t>
            </w:r>
          </w:p>
        </w:tc>
      </w:tr>
      <w:tr w:rsidTr="00D14EC2">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Generic terms used throughout this Vocational Standard shall be regarded as part of the Range Statement in which competency is demonstrated. The definition of these and ot</w:t>
            </w:r>
            <w:r w:rsidRPr="00B53D0C">
              <w:t>her terms that apply are given in Volume 2, Part 2.1.</w:t>
            </w:r>
          </w:p>
        </w:tc>
      </w:tr>
    </w:tbl>
    <w:p w:rsidR="00D14EC2" w:rsidP="00B53D0C">
      <w:pPr>
        <w:pStyle w:val="BodyText"/>
      </w:pPr>
    </w:p>
    <w:p w:rsidR="00D14EC2" w:rsidP="00B53D0C">
      <w:pPr>
        <w:pStyle w:val="BodyText"/>
      </w:pPr>
    </w:p>
    <w:p w:rsidR="00000000" w:rsidRPr="00B53D0C" w:rsidP="00B53D0C">
      <w:pPr>
        <w:pStyle w:val="Heading1"/>
      </w:pPr>
      <w:bookmarkStart w:id="12" w:name="O_589190"/>
      <w:bookmarkEnd w:id="12"/>
      <w:r w:rsidRPr="00B53D0C">
        <w:t>Unit Sector(s)</w:t>
      </w:r>
    </w:p>
    <w:p w:rsidR="00000000" w:rsidRPr="00B53D0C" w:rsidP="00B53D0C">
      <w:pPr>
        <w:pStyle w:val="BodyText"/>
      </w:pPr>
      <w:r w:rsidRPr="00B53D0C">
        <w:t>Not Applicable</w:t>
      </w:r>
    </w:p>
    <w:p w:rsidR="00000000" w:rsidRPr="00B53D0C" w:rsidP="00B53D0C">
      <w:pPr>
        <w:pStyle w:val="AllowPageBreak"/>
      </w:pPr>
    </w:p>
    <w:p w:rsidR="00000000" w:rsidRPr="00B53D0C" w:rsidP="00B53D0C">
      <w:pPr>
        <w:pStyle w:val="Heading1"/>
      </w:pPr>
      <w:bookmarkStart w:id="13" w:name="O_589187"/>
      <w:bookmarkEnd w:id="13"/>
      <w:r w:rsidRPr="00B53D0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14EC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rPr>
                <w:rStyle w:val="SpecialBold"/>
              </w:rPr>
              <w:t>2</w:t>
            </w:r>
            <w:r w:rsidRPr="00B53D0C">
              <w:t>.</w:t>
            </w:r>
            <w:r w:rsidRPr="00B53D0C">
              <w:rPr>
                <w:rStyle w:val="SpecialBold"/>
              </w:rPr>
              <w:t>2</w:t>
            </w:r>
            <w:r w:rsidRPr="00B53D0C">
              <w:t xml:space="preserve">) </w:t>
            </w:r>
            <w:r w:rsidRPr="00B53D0C">
              <w:rPr>
                <w:rStyle w:val="SpecialBold"/>
              </w:rPr>
              <w:t>Literacy and numeracy skills</w:t>
            </w:r>
          </w:p>
          <w:p w:rsidR="00000000" w:rsidP="00B53D0C">
            <w:pPr>
              <w:pStyle w:val="BodyText"/>
              <w:rPr>
                <w:lang w:val="en-NZ"/>
              </w:rPr>
            </w:pPr>
            <w:r w:rsidRPr="00B53D0C">
              <w:t>Participants are best equipped to achieve competency in this uni</w:t>
            </w:r>
            <w:r w:rsidRPr="00B53D0C">
              <w:t>t if they have reading, writing and numeracy skills indicated by the following scales. Description of each scale is given in Volume 2, Part 3 'Literacy and Numeracy'</w:t>
            </w:r>
          </w:p>
        </w:tc>
      </w:tr>
      <w:tr w:rsidTr="00D14EC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Reading</w:t>
            </w:r>
          </w:p>
        </w:tc>
        <w:tc>
          <w:tcPr>
            <w:tcW w:w="1182"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3</w:t>
            </w:r>
          </w:p>
        </w:tc>
        <w:tc>
          <w:tcPr>
            <w:tcW w:w="1739"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Writing</w:t>
            </w:r>
          </w:p>
        </w:tc>
        <w:tc>
          <w:tcPr>
            <w:tcW w:w="1182"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3</w:t>
            </w:r>
          </w:p>
        </w:tc>
        <w:tc>
          <w:tcPr>
            <w:tcW w:w="1721" w:type="dxa"/>
            <w:tcBorders>
              <w:top w:val="nil"/>
              <w:left w:val="nil"/>
              <w:bottom w:val="nil"/>
              <w:right w:val="nil"/>
            </w:tcBorders>
            <w:tcMar>
              <w:top w:w="0" w:type="dxa"/>
              <w:left w:w="62" w:type="dxa"/>
              <w:bottom w:w="0" w:type="dxa"/>
              <w:right w:w="62" w:type="dxa"/>
            </w:tcMar>
          </w:tcPr>
          <w:p w:rsidR="00000000" w:rsidP="00B53D0C">
            <w:pPr>
              <w:pStyle w:val="BodyText"/>
              <w:rPr>
                <w:lang w:val="en-NZ"/>
              </w:rPr>
            </w:pPr>
            <w:r w:rsidRPr="00B53D0C">
              <w:t>Numeracy</w:t>
            </w:r>
          </w:p>
        </w:tc>
        <w:tc>
          <w:tcPr>
            <w:tcW w:w="1182"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3</w:t>
            </w:r>
          </w:p>
        </w:tc>
      </w:tr>
    </w:tbl>
    <w:p w:rsidR="00D14EC2" w:rsidP="00B53D0C">
      <w:pPr>
        <w:pStyle w:val="BodyText"/>
      </w:pPr>
    </w:p>
    <w:p w:rsidR="00D14EC2" w:rsidP="00B53D0C">
      <w:pPr>
        <w:pStyle w:val="BodyText"/>
      </w:pPr>
    </w:p>
    <w:p w:rsidR="00000000" w:rsidRPr="00B53D0C" w:rsidP="00B53D0C">
      <w:pPr>
        <w:pStyle w:val="Heading1"/>
      </w:pPr>
      <w:bookmarkStart w:id="14" w:name="O_589186"/>
      <w:bookmarkEnd w:id="14"/>
      <w:r w:rsidRPr="00B53D0C">
        <w:t>2.2) Literacy and numeracy skills</w:t>
      </w:r>
    </w:p>
    <w:tbl>
      <w:tblPr>
        <w:tblW w:w="0" w:type="auto"/>
        <w:tblLayout w:type="fixed"/>
        <w:tblCellMar>
          <w:left w:w="62" w:type="dxa"/>
          <w:right w:w="62" w:type="dxa"/>
        </w:tblCellMar>
        <w:tblLook w:val="0000"/>
      </w:tblPr>
      <w:tblGrid>
        <w:gridCol w:w="2700"/>
        <w:gridCol w:w="5760"/>
      </w:tblGrid>
      <w:tr w:rsidTr="00D14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3D0C" w:rsidP="00B53D0C">
            <w:pPr>
              <w:pStyle w:val="BodyText"/>
            </w:pPr>
          </w:p>
          <w:p w:rsidR="00000000" w:rsidP="00B53D0C">
            <w:pPr>
              <w:pStyle w:val="BodyText"/>
              <w:rPr>
                <w:lang w:val="en-NZ"/>
              </w:rPr>
            </w:pPr>
            <w:r w:rsidRPr="00B53D0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RPr="00B53D0C" w:rsidP="00B53D0C">
            <w:pPr>
              <w:pStyle w:val="BodyText"/>
            </w:pPr>
          </w:p>
          <w:p w:rsidR="00000000" w:rsidP="00B53D0C">
            <w:pPr>
              <w:pStyle w:val="BodyText"/>
              <w:rPr>
                <w:lang w:val="en-NZ"/>
              </w:rPr>
            </w:pPr>
            <w:r w:rsidRPr="00B53D0C">
              <w:rPr>
                <w:rStyle w:val="SpecialBold"/>
              </w:rPr>
              <w:t>5</w:t>
            </w:r>
            <w:r w:rsidRPr="00B53D0C">
              <w:t>)</w:t>
            </w:r>
          </w:p>
        </w:tc>
      </w:tr>
      <w:tr w:rsidTr="00D14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3D0C" w:rsidP="00B53D0C">
            <w:pPr>
              <w:pStyle w:val="BodyText"/>
            </w:pPr>
            <w:r w:rsidRPr="00B53D0C">
              <w:t>Refrigeration and Air Conditioning</w:t>
            </w:r>
          </w:p>
        </w:tc>
      </w:tr>
    </w:tbl>
    <w:p w:rsidR="00D14EC2" w:rsidP="00B53D0C">
      <w:pPr>
        <w:pStyle w:val="BodyText"/>
      </w:pPr>
    </w:p>
    <w:p w:rsidR="00D14EC2" w:rsidP="00B53D0C">
      <w:pPr>
        <w:pStyle w:val="BodyText"/>
      </w:pPr>
    </w:p>
    <w:p w:rsidR="00000000" w:rsidRPr="00B53D0C" w:rsidP="00B53D0C"/>
    <w:sectPr w:rsidSect="00B53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0C" w:rsidRPr="00D14EC2" w:rsidP="00D14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C2" w:rsidP="00B53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4EC2" w:rsidP="00B53D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14EC2" w:rsidP="00B53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0C" w:rsidRPr="00D14EC2" w:rsidP="00D14E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C2" w:rsidRPr="002D2AF8" w:rsidP="00B53D0C">
    <w:pPr>
      <w:pStyle w:val="Header"/>
      <w:framePr w:wrap="around"/>
    </w:pPr>
    <w:r>
      <w:fldChar w:fldCharType="begin"/>
    </w:r>
    <w:r>
      <w:instrText xml:space="preserve"> TITLE   \* MERGEFORMAT </w:instrText>
    </w:r>
    <w:r>
      <w:fldChar w:fldCharType="separate"/>
    </w:r>
    <w:r>
      <w:t>UEENEEJ102A Prepare and connect refrigerant tubing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14EC2" w:rsidP="00B53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AE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CA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89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D0C"/>
    <w:pPr>
      <w:spacing w:before="360" w:after="60"/>
      <w:outlineLvl w:val="0"/>
    </w:pPr>
    <w:rPr>
      <w:sz w:val="32"/>
    </w:rPr>
  </w:style>
  <w:style w:type="paragraph" w:styleId="Heading2">
    <w:name w:val="heading 2"/>
    <w:basedOn w:val="HeadingBase"/>
    <w:next w:val="BodyText"/>
    <w:link w:val="Heading2Char"/>
    <w:qFormat/>
    <w:rsid w:val="00B53D0C"/>
    <w:pPr>
      <w:keepLines/>
      <w:spacing w:before="240" w:after="120"/>
      <w:outlineLvl w:val="1"/>
    </w:pPr>
    <w:rPr>
      <w:sz w:val="28"/>
      <w:szCs w:val="40"/>
    </w:rPr>
  </w:style>
  <w:style w:type="paragraph" w:styleId="Heading3">
    <w:name w:val="heading 3"/>
    <w:basedOn w:val="HeadingBase"/>
    <w:next w:val="BodyText"/>
    <w:link w:val="Heading3Char"/>
    <w:qFormat/>
    <w:rsid w:val="00B53D0C"/>
    <w:pPr>
      <w:spacing w:before="180" w:after="120"/>
      <w:outlineLvl w:val="2"/>
    </w:pPr>
    <w:rPr>
      <w:spacing w:val="-10"/>
      <w:kern w:val="32"/>
    </w:rPr>
  </w:style>
  <w:style w:type="paragraph" w:styleId="Heading4">
    <w:name w:val="heading 4"/>
    <w:basedOn w:val="HeadingBase"/>
    <w:next w:val="BodyText"/>
    <w:link w:val="Heading4Char"/>
    <w:qFormat/>
    <w:rsid w:val="00B53D0C"/>
    <w:pPr>
      <w:spacing w:before="160" w:after="120"/>
      <w:outlineLvl w:val="3"/>
    </w:pPr>
    <w:rPr>
      <w:sz w:val="22"/>
    </w:rPr>
  </w:style>
  <w:style w:type="paragraph" w:styleId="Heading5">
    <w:name w:val="heading 5"/>
    <w:basedOn w:val="HeadingBase"/>
    <w:next w:val="Normal"/>
    <w:link w:val="Heading5Char"/>
    <w:qFormat/>
    <w:rsid w:val="00B53D0C"/>
    <w:pPr>
      <w:spacing w:before="80"/>
      <w:outlineLvl w:val="4"/>
    </w:pPr>
    <w:rPr>
      <w:color w:val="918585"/>
      <w:sz w:val="20"/>
    </w:rPr>
  </w:style>
  <w:style w:type="paragraph" w:styleId="Heading6">
    <w:name w:val="heading 6"/>
    <w:basedOn w:val="HeadingBase"/>
    <w:next w:val="Normal"/>
    <w:link w:val="Heading6Char"/>
    <w:qFormat/>
    <w:rsid w:val="00B53D0C"/>
    <w:pPr>
      <w:spacing w:before="60"/>
      <w:outlineLvl w:val="5"/>
    </w:pPr>
    <w:rPr>
      <w:color w:val="918585"/>
      <w:sz w:val="20"/>
    </w:rPr>
  </w:style>
  <w:style w:type="paragraph" w:styleId="Heading7">
    <w:name w:val="heading 7"/>
    <w:basedOn w:val="Normal"/>
    <w:next w:val="Normal"/>
    <w:link w:val="Heading7Char"/>
    <w:qFormat/>
    <w:rsid w:val="00B53D0C"/>
    <w:pPr>
      <w:ind w:left="720"/>
      <w:outlineLvl w:val="6"/>
    </w:pPr>
    <w:rPr>
      <w:i/>
    </w:rPr>
  </w:style>
  <w:style w:type="paragraph" w:styleId="Heading8">
    <w:name w:val="heading 8"/>
    <w:basedOn w:val="Normal"/>
    <w:next w:val="Normal"/>
    <w:link w:val="Heading8Char"/>
    <w:qFormat/>
    <w:rsid w:val="00B53D0C"/>
    <w:pPr>
      <w:ind w:left="720"/>
      <w:outlineLvl w:val="7"/>
    </w:pPr>
    <w:rPr>
      <w:i/>
    </w:rPr>
  </w:style>
  <w:style w:type="paragraph" w:styleId="Heading9">
    <w:name w:val="heading 9"/>
    <w:basedOn w:val="Normal"/>
    <w:next w:val="Normal"/>
    <w:link w:val="Heading9Char"/>
    <w:qFormat/>
    <w:rsid w:val="00B53D0C"/>
    <w:pPr>
      <w:ind w:left="720"/>
      <w:outlineLvl w:val="8"/>
    </w:pPr>
    <w:rPr>
      <w:i/>
    </w:rPr>
  </w:style>
  <w:style w:type="character" w:default="1" w:styleId="DefaultParagraphFont">
    <w:name w:val="Default Paragraph Font"/>
    <w:uiPriority w:val="1"/>
    <w:unhideWhenUsed/>
    <w:rsid w:val="00B53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D0C"/>
  </w:style>
  <w:style w:type="character" w:customStyle="1" w:styleId="Heading1Char">
    <w:name w:val="Heading 1 Char"/>
    <w:basedOn w:val="DefaultParagraphFont"/>
    <w:link w:val="Heading1"/>
    <w:rsid w:val="00B53D0C"/>
    <w:rPr>
      <w:rFonts w:ascii="Times New Roman" w:eastAsia="Times New Roman" w:hAnsi="Times New Roman" w:cs="Times New Roman"/>
      <w:b/>
      <w:sz w:val="32"/>
      <w:szCs w:val="20"/>
      <w:lang w:eastAsia="en-US"/>
    </w:rPr>
  </w:style>
  <w:style w:type="paragraph" w:styleId="BodyText">
    <w:name w:val="Body Text"/>
    <w:basedOn w:val="Normal"/>
    <w:link w:val="BodyTextChar"/>
    <w:rsid w:val="00B53D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D0C"/>
    <w:rPr>
      <w:rFonts w:ascii="Times New Roman" w:eastAsia="Times New Roman" w:hAnsi="Times New Roman" w:cs="Times New Roman"/>
      <w:sz w:val="24"/>
      <w:lang w:eastAsia="en-US"/>
    </w:rPr>
  </w:style>
  <w:style w:type="paragraph" w:styleId="ListBullet">
    <w:name w:val="List Bullet"/>
    <w:basedOn w:val="List"/>
    <w:rsid w:val="00B53D0C"/>
    <w:pPr>
      <w:numPr>
        <w:numId w:val="13"/>
      </w:numPr>
      <w:tabs>
        <w:tab w:val="clear" w:pos="340"/>
      </w:tabs>
      <w:spacing w:before="40" w:after="40"/>
    </w:pPr>
  </w:style>
  <w:style w:type="character" w:customStyle="1" w:styleId="SpecialBold">
    <w:name w:val="Special Bold"/>
    <w:basedOn w:val="DefaultParagraphFont"/>
    <w:rsid w:val="00B53D0C"/>
    <w:rPr>
      <w:b/>
      <w:spacing w:val="0"/>
    </w:rPr>
  </w:style>
  <w:style w:type="paragraph" w:styleId="ListBullet2">
    <w:name w:val="List Bullet 2"/>
    <w:basedOn w:val="List2"/>
    <w:rsid w:val="00B53D0C"/>
    <w:pPr>
      <w:numPr>
        <w:numId w:val="14"/>
      </w:numPr>
      <w:tabs>
        <w:tab w:val="clear" w:pos="680"/>
      </w:tabs>
    </w:pPr>
  </w:style>
  <w:style w:type="paragraph" w:customStyle="1" w:styleId="SuperHeading">
    <w:name w:val="SuperHeading"/>
    <w:basedOn w:val="Normal"/>
    <w:rsid w:val="00B53D0C"/>
    <w:pPr>
      <w:spacing w:before="240" w:after="120"/>
      <w:outlineLvl w:val="0"/>
    </w:pPr>
    <w:rPr>
      <w:rFonts w:ascii="Times New Roman" w:hAnsi="Times New Roman"/>
      <w:b/>
      <w:sz w:val="32"/>
    </w:rPr>
  </w:style>
  <w:style w:type="paragraph" w:customStyle="1" w:styleId="AllowPageBreak">
    <w:name w:val="AllowPageBreak"/>
    <w:rsid w:val="00B53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D0C"/>
    <w:rPr>
      <w:rFonts w:ascii="Courier New" w:eastAsia="Times New Roman" w:hAnsi="Courier New" w:cs="Times New Roman"/>
      <w:i/>
      <w:szCs w:val="20"/>
      <w:lang w:eastAsia="en-US"/>
    </w:rPr>
  </w:style>
  <w:style w:type="paragraph" w:customStyle="1" w:styleId="HeadingBase">
    <w:name w:val="Heading Base"/>
    <w:rsid w:val="00B53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D0C"/>
    <w:pPr>
      <w:tabs>
        <w:tab w:val="right" w:leader="dot" w:pos="9072"/>
      </w:tabs>
      <w:ind w:left="567"/>
    </w:pPr>
    <w:rPr>
      <w:szCs w:val="22"/>
    </w:rPr>
  </w:style>
  <w:style w:type="paragraph" w:customStyle="1" w:styleId="TOCBase">
    <w:name w:val="TOC Base"/>
    <w:rsid w:val="00B53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D0C"/>
    <w:pPr>
      <w:tabs>
        <w:tab w:val="right" w:leader="dot" w:pos="9072"/>
      </w:tabs>
      <w:spacing w:before="40" w:after="40"/>
      <w:ind w:left="284"/>
    </w:pPr>
    <w:rPr>
      <w:rFonts w:ascii="Times New Roman" w:hAnsi="Times New Roman"/>
    </w:rPr>
  </w:style>
  <w:style w:type="paragraph" w:styleId="TOC1">
    <w:name w:val="toc 1"/>
    <w:basedOn w:val="TOCBase"/>
    <w:next w:val="Normal"/>
    <w:rsid w:val="00B53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D0C"/>
    <w:rPr>
      <w:rFonts w:ascii="Times New Roman" w:eastAsia="Times New Roman" w:hAnsi="Times New Roman" w:cs="Times New Roman"/>
      <w:sz w:val="16"/>
      <w:lang w:eastAsia="en-US"/>
    </w:rPr>
  </w:style>
  <w:style w:type="paragraph" w:styleId="Title">
    <w:name w:val="Title"/>
    <w:basedOn w:val="HeadingBase"/>
    <w:link w:val="TitleChar"/>
    <w:qFormat/>
    <w:rsid w:val="00B53D0C"/>
    <w:pPr>
      <w:spacing w:before="5040"/>
      <w:jc w:val="center"/>
    </w:pPr>
    <w:rPr>
      <w:sz w:val="48"/>
      <w:szCs w:val="72"/>
      <w:lang w:val="en-US"/>
    </w:rPr>
  </w:style>
  <w:style w:type="character" w:customStyle="1" w:styleId="TitleChar">
    <w:name w:val="Title Char"/>
    <w:basedOn w:val="DefaultParagraphFont"/>
    <w:link w:val="Title"/>
    <w:rsid w:val="00B53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D0C"/>
    <w:pPr>
      <w:tabs>
        <w:tab w:val="left" w:pos="3600"/>
        <w:tab w:val="left" w:pos="3958"/>
      </w:tabs>
    </w:pPr>
  </w:style>
  <w:style w:type="paragraph" w:styleId="List">
    <w:name w:val="List"/>
    <w:basedOn w:val="BodyText"/>
    <w:next w:val="BodyText"/>
    <w:rsid w:val="00B53D0C"/>
    <w:pPr>
      <w:tabs>
        <w:tab w:val="left" w:pos="340"/>
      </w:tabs>
      <w:spacing w:before="60" w:after="60"/>
      <w:ind w:left="340" w:hanging="340"/>
    </w:pPr>
  </w:style>
  <w:style w:type="paragraph" w:customStyle="1" w:styleId="Note">
    <w:name w:val="Note"/>
    <w:basedOn w:val="BodyText"/>
    <w:rsid w:val="00B53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D0C"/>
    <w:pPr>
      <w:framePr w:wrap="auto" w:hAnchor="text" w:y="6049"/>
    </w:pPr>
    <w:rPr>
      <w:color w:val="000000"/>
      <w:sz w:val="40"/>
    </w:rPr>
  </w:style>
  <w:style w:type="paragraph" w:customStyle="1" w:styleId="TOCTitle">
    <w:name w:val="TOCTitle"/>
    <w:basedOn w:val="Heading1"/>
    <w:rsid w:val="00B53D0C"/>
    <w:pPr>
      <w:spacing w:after="240"/>
      <w:jc w:val="center"/>
      <w:outlineLvl w:val="9"/>
    </w:pPr>
    <w:rPr>
      <w:caps/>
    </w:rPr>
  </w:style>
  <w:style w:type="paragraph" w:customStyle="1" w:styleId="Version">
    <w:name w:val="Version"/>
    <w:rsid w:val="00B53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D0C"/>
    <w:pPr>
      <w:keepNext w:val="0"/>
      <w:tabs>
        <w:tab w:val="right" w:pos="4176"/>
      </w:tabs>
      <w:ind w:left="198" w:hanging="198"/>
    </w:pPr>
    <w:rPr>
      <w:rFonts w:ascii="Garamond" w:hAnsi="Garamond"/>
    </w:rPr>
  </w:style>
  <w:style w:type="paragraph" w:styleId="IndexHeading">
    <w:name w:val="index heading"/>
    <w:basedOn w:val="Normal"/>
    <w:next w:val="Index1"/>
    <w:semiHidden/>
    <w:rsid w:val="00B53D0C"/>
    <w:pPr>
      <w:spacing w:before="120" w:after="120"/>
    </w:pPr>
    <w:rPr>
      <w:rFonts w:ascii="Arial" w:hAnsi="Arial"/>
      <w:b/>
      <w:color w:val="918585"/>
      <w:sz w:val="24"/>
    </w:rPr>
  </w:style>
  <w:style w:type="paragraph" w:styleId="Header">
    <w:name w:val="header"/>
    <w:basedOn w:val="Normal"/>
    <w:link w:val="HeaderChar"/>
    <w:rsid w:val="00B53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D0C"/>
    <w:rPr>
      <w:rFonts w:ascii="Times New Roman" w:eastAsia="Times New Roman" w:hAnsi="Times New Roman" w:cs="Times New Roman"/>
      <w:sz w:val="16"/>
      <w:szCs w:val="20"/>
      <w:lang w:val="en-GB" w:eastAsia="en-US"/>
    </w:rPr>
  </w:style>
  <w:style w:type="paragraph" w:customStyle="1" w:styleId="Chapter">
    <w:name w:val="Chapter"/>
    <w:basedOn w:val="Normal"/>
    <w:rsid w:val="00B53D0C"/>
    <w:pPr>
      <w:spacing w:before="240"/>
    </w:pPr>
    <w:rPr>
      <w:rFonts w:ascii="Times New Roman" w:hAnsi="Times New Roman"/>
      <w:smallCaps/>
      <w:spacing w:val="80"/>
      <w:sz w:val="28"/>
    </w:rPr>
  </w:style>
  <w:style w:type="paragraph" w:customStyle="1" w:styleId="InChapter">
    <w:name w:val="InChapter"/>
    <w:basedOn w:val="Heading3"/>
    <w:rsid w:val="00B53D0C"/>
    <w:pPr>
      <w:spacing w:after="240"/>
      <w:outlineLvl w:val="9"/>
    </w:pPr>
    <w:rPr>
      <w:noProof/>
    </w:rPr>
  </w:style>
  <w:style w:type="paragraph" w:styleId="Index2">
    <w:name w:val="index 2"/>
    <w:basedOn w:val="Normal"/>
    <w:next w:val="Normal"/>
    <w:semiHidden/>
    <w:rsid w:val="00B53D0C"/>
    <w:pPr>
      <w:tabs>
        <w:tab w:val="right" w:pos="4176"/>
      </w:tabs>
      <w:ind w:left="568" w:hanging="284"/>
    </w:pPr>
    <w:rPr>
      <w:rFonts w:ascii="Garamond" w:hAnsi="Garamond"/>
    </w:rPr>
  </w:style>
  <w:style w:type="paragraph" w:customStyle="1" w:styleId="Byline">
    <w:name w:val="Byline"/>
    <w:rsid w:val="00B53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D0C"/>
    <w:pPr>
      <w:tabs>
        <w:tab w:val="clear" w:pos="3600"/>
        <w:tab w:val="clear" w:pos="3958"/>
      </w:tabs>
      <w:jc w:val="right"/>
    </w:pPr>
  </w:style>
  <w:style w:type="character" w:styleId="Emphasis">
    <w:name w:val="Emphasis"/>
    <w:basedOn w:val="DefaultParagraphFont"/>
    <w:qFormat/>
    <w:rsid w:val="00B53D0C"/>
    <w:rPr>
      <w:i/>
    </w:rPr>
  </w:style>
  <w:style w:type="paragraph" w:styleId="Caption">
    <w:name w:val="caption"/>
    <w:basedOn w:val="BodyText"/>
    <w:next w:val="Normal"/>
    <w:qFormat/>
    <w:rsid w:val="00B53D0C"/>
    <w:pPr>
      <w:framePr w:w="2268" w:hSpace="181" w:vSpace="181" w:wrap="around" w:vAnchor="text" w:hAnchor="page" w:x="1135" w:y="285" w:anchorLock="1"/>
    </w:pPr>
    <w:rPr>
      <w:i/>
    </w:rPr>
  </w:style>
  <w:style w:type="paragraph" w:customStyle="1" w:styleId="MiniTOCTitle">
    <w:name w:val="MiniTOCTitle"/>
    <w:basedOn w:val="Heading4"/>
    <w:rsid w:val="00B53D0C"/>
    <w:pPr>
      <w:spacing w:before="240"/>
      <w:outlineLvl w:val="9"/>
    </w:pPr>
    <w:rPr>
      <w:noProof/>
      <w:sz w:val="24"/>
    </w:rPr>
  </w:style>
  <w:style w:type="paragraph" w:customStyle="1" w:styleId="MiniTOCItem">
    <w:name w:val="MiniTOCItem"/>
    <w:basedOn w:val="ListBullet"/>
    <w:rsid w:val="00B53D0C"/>
    <w:pPr>
      <w:numPr>
        <w:numId w:val="0"/>
      </w:numPr>
      <w:tabs>
        <w:tab w:val="right" w:leader="dot" w:pos="6521"/>
      </w:tabs>
      <w:spacing w:before="0" w:after="0"/>
    </w:pPr>
  </w:style>
  <w:style w:type="paragraph" w:customStyle="1" w:styleId="TOFTitle">
    <w:name w:val="TOFTitle"/>
    <w:basedOn w:val="TOCTitle"/>
    <w:rsid w:val="00B53D0C"/>
  </w:style>
  <w:style w:type="paragraph" w:styleId="TableofFigures">
    <w:name w:val="table of figures"/>
    <w:basedOn w:val="Normal"/>
    <w:next w:val="Normal"/>
    <w:semiHidden/>
    <w:rsid w:val="00B53D0C"/>
    <w:pPr>
      <w:tabs>
        <w:tab w:val="right" w:leader="dot" w:pos="9072"/>
      </w:tabs>
      <w:ind w:left="970" w:hanging="403"/>
    </w:pPr>
    <w:rPr>
      <w:rFonts w:ascii="Times New Roman" w:hAnsi="Times New Roman"/>
      <w:b/>
    </w:rPr>
  </w:style>
  <w:style w:type="paragraph" w:styleId="ListNumber">
    <w:name w:val="List Number"/>
    <w:basedOn w:val="List"/>
    <w:rsid w:val="00B53D0C"/>
    <w:pPr>
      <w:numPr>
        <w:numId w:val="11"/>
      </w:numPr>
    </w:pPr>
  </w:style>
  <w:style w:type="character" w:customStyle="1" w:styleId="WingdingSymbols">
    <w:name w:val="Wingding Symbols"/>
    <w:rsid w:val="00B53D0C"/>
    <w:rPr>
      <w:rFonts w:ascii="Wingdings" w:hAnsi="Wingdings"/>
    </w:rPr>
  </w:style>
  <w:style w:type="paragraph" w:customStyle="1" w:styleId="TableHeading">
    <w:name w:val="Table Heading"/>
    <w:basedOn w:val="HeadingBase"/>
    <w:rsid w:val="00B53D0C"/>
    <w:pPr>
      <w:keepLines/>
      <w:pBdr>
        <w:bottom w:val="single" w:sz="6" w:space="1" w:color="918585"/>
      </w:pBdr>
      <w:spacing w:before="240"/>
    </w:pPr>
  </w:style>
  <w:style w:type="character" w:customStyle="1" w:styleId="HotSpot">
    <w:name w:val="HotSpot"/>
    <w:rsid w:val="00B53D0C"/>
    <w:rPr>
      <w:color w:val="0033CC"/>
      <w:u w:val="none"/>
    </w:rPr>
  </w:style>
  <w:style w:type="paragraph" w:customStyle="1" w:styleId="BodyTextRight">
    <w:name w:val="Body Text Right"/>
    <w:basedOn w:val="BodyText"/>
    <w:rsid w:val="00B53D0C"/>
    <w:pPr>
      <w:spacing w:before="0" w:after="0"/>
      <w:jc w:val="right"/>
    </w:pPr>
  </w:style>
  <w:style w:type="paragraph" w:styleId="Index3">
    <w:name w:val="index 3"/>
    <w:basedOn w:val="ListNumber2"/>
    <w:next w:val="Normal"/>
    <w:semiHidden/>
    <w:rsid w:val="00B53D0C"/>
    <w:pPr>
      <w:numPr>
        <w:numId w:val="0"/>
      </w:numPr>
      <w:tabs>
        <w:tab w:val="right" w:leader="dot" w:pos="4176"/>
      </w:tabs>
    </w:pPr>
  </w:style>
  <w:style w:type="paragraph" w:styleId="ListNumber2">
    <w:name w:val="List Number 2"/>
    <w:basedOn w:val="List2"/>
    <w:rsid w:val="00B53D0C"/>
    <w:pPr>
      <w:numPr>
        <w:numId w:val="10"/>
      </w:numPr>
      <w:tabs>
        <w:tab w:val="clear" w:pos="1060"/>
      </w:tabs>
    </w:pPr>
  </w:style>
  <w:style w:type="paragraph" w:customStyle="1" w:styleId="MarginNote">
    <w:name w:val="Margin Note"/>
    <w:basedOn w:val="BodyText"/>
    <w:rsid w:val="00B53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D0C"/>
    <w:rPr>
      <w:sz w:val="32"/>
    </w:rPr>
  </w:style>
  <w:style w:type="paragraph" w:customStyle="1" w:styleId="HeadingProcedure">
    <w:name w:val="Heading Procedure"/>
    <w:basedOn w:val="HeadingBase"/>
    <w:next w:val="Normal"/>
    <w:rsid w:val="00B53D0C"/>
    <w:pPr>
      <w:tabs>
        <w:tab w:val="left" w:pos="0"/>
      </w:tabs>
      <w:spacing w:before="120" w:after="60"/>
    </w:pPr>
    <w:rPr>
      <w:i/>
      <w:color w:val="918585"/>
      <w:sz w:val="22"/>
    </w:rPr>
  </w:style>
  <w:style w:type="paragraph" w:customStyle="1" w:styleId="TableBodyText">
    <w:name w:val="Table Body Text"/>
    <w:basedOn w:val="BodyText"/>
    <w:rsid w:val="00B53D0C"/>
    <w:pPr>
      <w:spacing w:before="60" w:after="60"/>
    </w:pPr>
  </w:style>
  <w:style w:type="paragraph" w:styleId="ListContinue">
    <w:name w:val="List Continue"/>
    <w:basedOn w:val="List"/>
    <w:rsid w:val="00B53D0C"/>
    <w:pPr>
      <w:ind w:firstLine="0"/>
    </w:pPr>
  </w:style>
  <w:style w:type="paragraph" w:customStyle="1" w:styleId="ListNote">
    <w:name w:val="List Note"/>
    <w:basedOn w:val="List"/>
    <w:rsid w:val="00B53D0C"/>
    <w:pPr>
      <w:pBdr>
        <w:top w:val="single" w:sz="6" w:space="2" w:color="918585"/>
        <w:bottom w:val="single" w:sz="6" w:space="2" w:color="918585"/>
      </w:pBdr>
      <w:tabs>
        <w:tab w:val="left" w:pos="1021"/>
      </w:tabs>
      <w:ind w:firstLine="0"/>
    </w:pPr>
  </w:style>
  <w:style w:type="paragraph" w:customStyle="1" w:styleId="Warning">
    <w:name w:val="Warning"/>
    <w:basedOn w:val="BodyText"/>
    <w:rsid w:val="00B53D0C"/>
    <w:pPr>
      <w:shd w:val="clear" w:color="auto" w:fill="D9D9D9"/>
      <w:tabs>
        <w:tab w:val="left" w:pos="992"/>
      </w:tabs>
      <w:ind w:left="119" w:right="119"/>
    </w:pPr>
    <w:rPr>
      <w:sz w:val="20"/>
    </w:rPr>
  </w:style>
  <w:style w:type="paragraph" w:customStyle="1" w:styleId="MarginIcons">
    <w:name w:val="Margin Icons"/>
    <w:basedOn w:val="BodyText"/>
    <w:rsid w:val="00B53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D0C"/>
    <w:rPr>
      <w:rFonts w:ascii="Courier New" w:hAnsi="Courier New"/>
    </w:rPr>
  </w:style>
  <w:style w:type="paragraph" w:customStyle="1" w:styleId="NoteBullet">
    <w:name w:val="Note Bullet"/>
    <w:basedOn w:val="Note"/>
    <w:rsid w:val="00B53D0C"/>
    <w:pPr>
      <w:tabs>
        <w:tab w:val="clear" w:pos="680"/>
      </w:tabs>
      <w:spacing w:before="60" w:after="60"/>
    </w:pPr>
  </w:style>
  <w:style w:type="paragraph" w:customStyle="1" w:styleId="SubHeading2">
    <w:name w:val="SubHeading2"/>
    <w:basedOn w:val="HeadingBase"/>
    <w:rsid w:val="00B53D0C"/>
    <w:pPr>
      <w:spacing w:before="240" w:after="60"/>
    </w:pPr>
    <w:rPr>
      <w:sz w:val="20"/>
    </w:rPr>
  </w:style>
  <w:style w:type="paragraph" w:customStyle="1" w:styleId="SubHeading1">
    <w:name w:val="SubHeading1"/>
    <w:basedOn w:val="HeadingBase"/>
    <w:rsid w:val="00B53D0C"/>
    <w:pPr>
      <w:spacing w:before="240" w:after="60"/>
    </w:pPr>
    <w:rPr>
      <w:color w:val="918585"/>
      <w:sz w:val="22"/>
    </w:rPr>
  </w:style>
  <w:style w:type="paragraph" w:customStyle="1" w:styleId="SideHeading">
    <w:name w:val="Side Heading"/>
    <w:basedOn w:val="HeadingBase"/>
    <w:rsid w:val="00B53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D0C"/>
    <w:pPr>
      <w:numPr>
        <w:numId w:val="12"/>
      </w:numPr>
    </w:pPr>
  </w:style>
  <w:style w:type="paragraph" w:styleId="PlainText">
    <w:name w:val="Plain Text"/>
    <w:basedOn w:val="Normal"/>
    <w:link w:val="PlainTextChar"/>
    <w:rsid w:val="00B53D0C"/>
    <w:rPr>
      <w:sz w:val="20"/>
    </w:rPr>
  </w:style>
  <w:style w:type="character" w:customStyle="1" w:styleId="PlainTextChar">
    <w:name w:val="Plain Text Char"/>
    <w:basedOn w:val="DefaultParagraphFont"/>
    <w:link w:val="PlainText"/>
    <w:rsid w:val="00B53D0C"/>
    <w:rPr>
      <w:rFonts w:ascii="Courier New" w:eastAsia="Times New Roman" w:hAnsi="Courier New" w:cs="Times New Roman"/>
      <w:sz w:val="20"/>
      <w:szCs w:val="20"/>
      <w:lang w:eastAsia="en-US"/>
    </w:rPr>
  </w:style>
  <w:style w:type="character" w:customStyle="1" w:styleId="MenuOption">
    <w:name w:val="Menu Option"/>
    <w:basedOn w:val="DefaultParagraphFont"/>
    <w:rsid w:val="00B53D0C"/>
    <w:rPr>
      <w:b/>
      <w:smallCaps/>
    </w:rPr>
  </w:style>
  <w:style w:type="paragraph" w:customStyle="1" w:styleId="TableListNumber">
    <w:name w:val="Table List Number"/>
    <w:basedOn w:val="ListNumber"/>
    <w:rsid w:val="00B53D0C"/>
    <w:pPr>
      <w:numPr>
        <w:numId w:val="0"/>
      </w:numPr>
    </w:pPr>
  </w:style>
  <w:style w:type="paragraph" w:styleId="TOC4">
    <w:name w:val="toc 4"/>
    <w:basedOn w:val="TOCBase"/>
    <w:next w:val="Normal"/>
    <w:semiHidden/>
    <w:rsid w:val="00B53D0C"/>
    <w:pPr>
      <w:tabs>
        <w:tab w:val="right" w:leader="dot" w:pos="9071"/>
      </w:tabs>
      <w:ind w:left="1701"/>
    </w:pPr>
  </w:style>
  <w:style w:type="paragraph" w:customStyle="1" w:styleId="ListAlpha">
    <w:name w:val="List Alpha"/>
    <w:basedOn w:val="List"/>
    <w:rsid w:val="00B53D0C"/>
    <w:pPr>
      <w:numPr>
        <w:numId w:val="9"/>
      </w:numPr>
    </w:pPr>
  </w:style>
  <w:style w:type="paragraph" w:customStyle="1" w:styleId="ListAlpha2">
    <w:name w:val="List Alpha 2"/>
    <w:basedOn w:val="List2"/>
    <w:rsid w:val="00B53D0C"/>
    <w:pPr>
      <w:numPr>
        <w:numId w:val="8"/>
      </w:numPr>
    </w:pPr>
  </w:style>
  <w:style w:type="paragraph" w:styleId="List2">
    <w:name w:val="List 2"/>
    <w:basedOn w:val="BodyText"/>
    <w:rsid w:val="00B53D0C"/>
    <w:pPr>
      <w:tabs>
        <w:tab w:val="left" w:pos="680"/>
      </w:tabs>
      <w:spacing w:before="60" w:after="60"/>
      <w:ind w:left="680" w:hanging="340"/>
    </w:pPr>
  </w:style>
  <w:style w:type="paragraph" w:styleId="List3">
    <w:name w:val="List 3"/>
    <w:basedOn w:val="BodyText"/>
    <w:rsid w:val="00B53D0C"/>
    <w:pPr>
      <w:tabs>
        <w:tab w:val="left" w:pos="1021"/>
      </w:tabs>
      <w:spacing w:before="60" w:after="60"/>
      <w:ind w:left="1020" w:hanging="340"/>
    </w:pPr>
  </w:style>
  <w:style w:type="paragraph" w:styleId="List4">
    <w:name w:val="List 4"/>
    <w:basedOn w:val="BodyText"/>
    <w:rsid w:val="00B53D0C"/>
    <w:pPr>
      <w:tabs>
        <w:tab w:val="left" w:pos="1361"/>
      </w:tabs>
      <w:spacing w:before="60" w:after="60"/>
      <w:ind w:left="1361" w:hanging="340"/>
    </w:pPr>
  </w:style>
  <w:style w:type="paragraph" w:styleId="List5">
    <w:name w:val="List 5"/>
    <w:basedOn w:val="BodyText"/>
    <w:rsid w:val="00B53D0C"/>
    <w:pPr>
      <w:tabs>
        <w:tab w:val="left" w:pos="1701"/>
      </w:tabs>
      <w:spacing w:before="60" w:after="60"/>
      <w:ind w:left="1701" w:hanging="340"/>
    </w:pPr>
  </w:style>
  <w:style w:type="paragraph" w:styleId="ListBullet3">
    <w:name w:val="List Bullet 3"/>
    <w:basedOn w:val="List3"/>
    <w:rsid w:val="00B53D0C"/>
    <w:pPr>
      <w:numPr>
        <w:numId w:val="15"/>
      </w:numPr>
      <w:tabs>
        <w:tab w:val="clear" w:pos="1021"/>
      </w:tabs>
      <w:ind w:left="1037" w:hanging="357"/>
    </w:pPr>
  </w:style>
  <w:style w:type="paragraph" w:styleId="ListBullet4">
    <w:name w:val="List Bullet 4"/>
    <w:basedOn w:val="List4"/>
    <w:rsid w:val="00B53D0C"/>
    <w:pPr>
      <w:numPr>
        <w:numId w:val="3"/>
      </w:numPr>
    </w:pPr>
  </w:style>
  <w:style w:type="paragraph" w:styleId="ListBullet5">
    <w:name w:val="List Bullet 5"/>
    <w:basedOn w:val="List5"/>
    <w:rsid w:val="00B53D0C"/>
    <w:pPr>
      <w:numPr>
        <w:numId w:val="4"/>
      </w:numPr>
    </w:pPr>
  </w:style>
  <w:style w:type="paragraph" w:styleId="ListContinue2">
    <w:name w:val="List Continue 2"/>
    <w:basedOn w:val="List2"/>
    <w:rsid w:val="00B53D0C"/>
    <w:pPr>
      <w:ind w:firstLine="0"/>
    </w:pPr>
  </w:style>
  <w:style w:type="paragraph" w:styleId="ListContinue3">
    <w:name w:val="List Continue 3"/>
    <w:basedOn w:val="List3"/>
    <w:rsid w:val="00B53D0C"/>
    <w:pPr>
      <w:ind w:left="1021" w:firstLine="0"/>
    </w:pPr>
  </w:style>
  <w:style w:type="paragraph" w:styleId="ListContinue4">
    <w:name w:val="List Continue 4"/>
    <w:basedOn w:val="List4"/>
    <w:rsid w:val="00B53D0C"/>
    <w:pPr>
      <w:ind w:firstLine="0"/>
    </w:pPr>
  </w:style>
  <w:style w:type="paragraph" w:styleId="ListContinue5">
    <w:name w:val="List Continue 5"/>
    <w:basedOn w:val="List5"/>
    <w:rsid w:val="00B53D0C"/>
    <w:pPr>
      <w:ind w:firstLine="0"/>
    </w:pPr>
  </w:style>
  <w:style w:type="paragraph" w:styleId="ListNumber3">
    <w:name w:val="List Number 3"/>
    <w:basedOn w:val="List3"/>
    <w:rsid w:val="00B53D0C"/>
    <w:pPr>
      <w:numPr>
        <w:numId w:val="5"/>
      </w:numPr>
    </w:pPr>
  </w:style>
  <w:style w:type="paragraph" w:styleId="ListNumber4">
    <w:name w:val="List Number 4"/>
    <w:basedOn w:val="List4"/>
    <w:rsid w:val="00B53D0C"/>
    <w:pPr>
      <w:numPr>
        <w:numId w:val="6"/>
      </w:numPr>
    </w:pPr>
  </w:style>
  <w:style w:type="paragraph" w:styleId="ListNumber5">
    <w:name w:val="List Number 5"/>
    <w:basedOn w:val="List5"/>
    <w:rsid w:val="00B53D0C"/>
    <w:pPr>
      <w:numPr>
        <w:numId w:val="7"/>
      </w:numPr>
    </w:pPr>
  </w:style>
  <w:style w:type="paragraph" w:styleId="BlockText">
    <w:name w:val="Block Text"/>
    <w:basedOn w:val="Normal"/>
    <w:rsid w:val="00B53D0C"/>
    <w:pPr>
      <w:spacing w:after="120"/>
      <w:ind w:left="1440" w:right="1440"/>
    </w:pPr>
  </w:style>
  <w:style w:type="character" w:customStyle="1" w:styleId="Subscript">
    <w:name w:val="Subscript"/>
    <w:basedOn w:val="DefaultParagraphFont"/>
    <w:rsid w:val="00B53D0C"/>
    <w:rPr>
      <w:sz w:val="16"/>
      <w:vertAlign w:val="subscript"/>
    </w:rPr>
  </w:style>
  <w:style w:type="character" w:customStyle="1" w:styleId="Superscript">
    <w:name w:val="Superscript"/>
    <w:basedOn w:val="DefaultParagraphFont"/>
    <w:rsid w:val="00B53D0C"/>
    <w:rPr>
      <w:sz w:val="16"/>
      <w:vertAlign w:val="superscript"/>
    </w:rPr>
  </w:style>
  <w:style w:type="character" w:customStyle="1" w:styleId="Symbols">
    <w:name w:val="Symbols"/>
    <w:basedOn w:val="DefaultParagraphFont"/>
    <w:rsid w:val="00B53D0C"/>
    <w:rPr>
      <w:rFonts w:ascii="Symbol" w:hAnsi="Symbol"/>
    </w:rPr>
  </w:style>
  <w:style w:type="character" w:customStyle="1" w:styleId="MenuOptions">
    <w:name w:val="Menu Options"/>
    <w:basedOn w:val="DefaultParagraphFont"/>
    <w:rsid w:val="00B53D0C"/>
    <w:rPr>
      <w:rFonts w:ascii="Arial Narrow" w:hAnsi="Arial Narrow"/>
      <w:smallCaps/>
    </w:rPr>
  </w:style>
  <w:style w:type="character" w:customStyle="1" w:styleId="Buttons">
    <w:name w:val="Buttons"/>
    <w:basedOn w:val="DefaultParagraphFont"/>
    <w:rsid w:val="00B53D0C"/>
    <w:rPr>
      <w:b/>
    </w:rPr>
  </w:style>
  <w:style w:type="character" w:customStyle="1" w:styleId="Underlined">
    <w:name w:val="Underlined"/>
    <w:basedOn w:val="DefaultParagraphFont"/>
    <w:rsid w:val="00B53D0C"/>
    <w:rPr>
      <w:u w:val="single"/>
    </w:rPr>
  </w:style>
  <w:style w:type="paragraph" w:customStyle="1" w:styleId="TableBodyTextRight">
    <w:name w:val="Table Body Text Right"/>
    <w:basedOn w:val="TableBodyText"/>
    <w:rsid w:val="00B53D0C"/>
    <w:pPr>
      <w:widowControl w:val="0"/>
      <w:autoSpaceDE w:val="0"/>
      <w:autoSpaceDN w:val="0"/>
      <w:adjustRightInd w:val="0"/>
      <w:jc w:val="right"/>
    </w:pPr>
    <w:rPr>
      <w:rFonts w:cs="Arial"/>
      <w:szCs w:val="18"/>
    </w:rPr>
  </w:style>
  <w:style w:type="paragraph" w:customStyle="1" w:styleId="CopyrightText">
    <w:name w:val="Copyright Text"/>
    <w:basedOn w:val="BodyText"/>
    <w:rsid w:val="00B53D0C"/>
    <w:rPr>
      <w:sz w:val="18"/>
    </w:rPr>
  </w:style>
  <w:style w:type="paragraph" w:customStyle="1" w:styleId="BodySmallRight">
    <w:name w:val="Body Small Right"/>
    <w:basedOn w:val="BodyTextRight"/>
    <w:rsid w:val="00B53D0C"/>
    <w:rPr>
      <w:sz w:val="18"/>
      <w:szCs w:val="18"/>
    </w:rPr>
  </w:style>
  <w:style w:type="paragraph" w:customStyle="1" w:styleId="MarginEdition">
    <w:name w:val="Margin Edition"/>
    <w:basedOn w:val="MarginNote"/>
    <w:rsid w:val="00B53D0C"/>
    <w:pPr>
      <w:spacing w:before="0" w:after="0"/>
    </w:pPr>
    <w:rPr>
      <w:rFonts w:ascii="Times New Roman" w:hAnsi="Times New Roman"/>
      <w:color w:val="999999"/>
    </w:rPr>
  </w:style>
  <w:style w:type="paragraph" w:customStyle="1" w:styleId="Spacer">
    <w:name w:val="Spacer"/>
    <w:basedOn w:val="Normal"/>
    <w:rsid w:val="00B53D0C"/>
    <w:rPr>
      <w:sz w:val="2"/>
      <w:szCs w:val="2"/>
    </w:rPr>
  </w:style>
  <w:style w:type="character" w:customStyle="1" w:styleId="Small">
    <w:name w:val="Small"/>
    <w:basedOn w:val="DefaultParagraphFont"/>
    <w:rsid w:val="00B53D0C"/>
    <w:rPr>
      <w:sz w:val="16"/>
    </w:rPr>
  </w:style>
  <w:style w:type="paragraph" w:customStyle="1" w:styleId="WideTable">
    <w:name w:val="Wide Table"/>
    <w:basedOn w:val="Normal"/>
    <w:rsid w:val="00B53D0C"/>
    <w:pPr>
      <w:ind w:left="-1418"/>
    </w:pPr>
    <w:rPr>
      <w:sz w:val="2"/>
      <w:szCs w:val="2"/>
    </w:rPr>
  </w:style>
  <w:style w:type="character" w:styleId="PageNumber">
    <w:name w:val="page number"/>
    <w:basedOn w:val="DefaultParagraphFont"/>
    <w:rsid w:val="00B53D0C"/>
  </w:style>
  <w:style w:type="paragraph" w:styleId="Quote">
    <w:name w:val="Quote"/>
    <w:basedOn w:val="Heading1"/>
    <w:link w:val="QuoteChar"/>
    <w:qFormat/>
    <w:rsid w:val="00B53D0C"/>
    <w:rPr>
      <w:b w:val="0"/>
      <w:sz w:val="72"/>
      <w:szCs w:val="72"/>
      <w:lang w:val="en-NZ"/>
    </w:rPr>
  </w:style>
  <w:style w:type="character" w:customStyle="1" w:styleId="QuoteChar">
    <w:name w:val="Quote Char"/>
    <w:basedOn w:val="DefaultParagraphFont"/>
    <w:link w:val="Quote"/>
    <w:rsid w:val="00B53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D0C"/>
    <w:pPr>
      <w:pageBreakBefore/>
    </w:pPr>
  </w:style>
  <w:style w:type="paragraph" w:customStyle="1" w:styleId="Border">
    <w:name w:val="Border"/>
    <w:basedOn w:val="Normal"/>
    <w:qFormat/>
    <w:rsid w:val="00B53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D0C"/>
    <w:rPr>
      <w:b/>
      <w:bCs/>
      <w:i/>
      <w:iCs/>
      <w:color w:val="auto"/>
    </w:rPr>
  </w:style>
  <w:style w:type="paragraph" w:styleId="IntenseQuote">
    <w:name w:val="Intense Quote"/>
    <w:basedOn w:val="Normal"/>
    <w:next w:val="Normal"/>
    <w:link w:val="IntenseQuoteChar"/>
    <w:uiPriority w:val="30"/>
    <w:qFormat/>
    <w:rsid w:val="00B53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D0C"/>
    <w:rPr>
      <w:smallCaps/>
      <w:color w:val="auto"/>
      <w:u w:val="single"/>
    </w:rPr>
  </w:style>
  <w:style w:type="character" w:styleId="IntenseReference">
    <w:name w:val="Intense Reference"/>
    <w:basedOn w:val="DefaultParagraphFont"/>
    <w:uiPriority w:val="32"/>
    <w:qFormat/>
    <w:rsid w:val="00B53D0C"/>
    <w:rPr>
      <w:b/>
      <w:bCs/>
      <w:smallCaps/>
      <w:color w:val="auto"/>
      <w:spacing w:val="5"/>
      <w:u w:val="single"/>
    </w:rPr>
  </w:style>
  <w:style w:type="paragraph" w:customStyle="1" w:styleId="2ColumnHeading">
    <w:name w:val="2Column Heading"/>
    <w:basedOn w:val="BodyText"/>
    <w:qFormat/>
    <w:rsid w:val="00B53D0C"/>
    <w:pPr>
      <w:spacing w:after="60"/>
      <w:ind w:left="-2268"/>
    </w:pPr>
    <w:rPr>
      <w:b/>
    </w:rPr>
  </w:style>
  <w:style w:type="paragraph" w:customStyle="1" w:styleId="Heading1TOC">
    <w:name w:val="Heading1 TOC"/>
    <w:basedOn w:val="Normal"/>
    <w:qFormat/>
    <w:rsid w:val="00B53D0C"/>
    <w:pPr>
      <w:spacing w:before="240" w:after="120"/>
    </w:pPr>
    <w:rPr>
      <w:rFonts w:ascii="Times New Roman" w:hAnsi="Times New Roman"/>
      <w:b/>
      <w:sz w:val="32"/>
    </w:rPr>
  </w:style>
  <w:style w:type="paragraph" w:customStyle="1" w:styleId="Heading2TOC">
    <w:name w:val="Heading2 TOC"/>
    <w:basedOn w:val="Normal"/>
    <w:qFormat/>
    <w:rsid w:val="00B53D0C"/>
    <w:pPr>
      <w:spacing w:before="240" w:after="60"/>
    </w:pPr>
    <w:rPr>
      <w:rFonts w:ascii="Times New Roman" w:hAnsi="Times New Roman"/>
      <w:b/>
      <w:sz w:val="28"/>
    </w:rPr>
  </w:style>
  <w:style w:type="character" w:customStyle="1" w:styleId="Underline">
    <w:name w:val="Underline"/>
    <w:basedOn w:val="DefaultParagraphFont"/>
    <w:qFormat/>
    <w:rsid w:val="00B53D0C"/>
    <w:rPr>
      <w:u w:val="single"/>
    </w:rPr>
  </w:style>
  <w:style w:type="character" w:customStyle="1" w:styleId="BoldandItalics">
    <w:name w:val="Bold and Italics"/>
    <w:qFormat/>
    <w:rsid w:val="00B53D0C"/>
    <w:rPr>
      <w:b/>
      <w:i/>
      <w:u w:val="none"/>
    </w:rPr>
  </w:style>
  <w:style w:type="paragraph" w:styleId="BalloonText">
    <w:name w:val="Balloon Text"/>
    <w:basedOn w:val="Normal"/>
    <w:link w:val="BalloonTextChar"/>
    <w:rsid w:val="00B53D0C"/>
    <w:rPr>
      <w:rFonts w:ascii="Tahoma" w:hAnsi="Tahoma" w:cs="Tahoma"/>
      <w:sz w:val="16"/>
      <w:szCs w:val="16"/>
    </w:rPr>
  </w:style>
  <w:style w:type="character" w:customStyle="1" w:styleId="BalloonTextChar">
    <w:name w:val="Balloon Text Char"/>
    <w:basedOn w:val="DefaultParagraphFont"/>
    <w:link w:val="BalloonText"/>
    <w:rsid w:val="00B53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D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D0C"/>
    <w:rPr>
      <w:b/>
      <w:color w:val="660033"/>
      <w:spacing w:val="0"/>
    </w:rPr>
  </w:style>
  <w:style w:type="paragraph" w:customStyle="1" w:styleId="Nameditemlist">
    <w:name w:val="Named item list"/>
    <w:basedOn w:val="BodyText"/>
    <w:qFormat/>
    <w:rsid w:val="00B53D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2430</Words>
  <Characters>14449</Characters>
  <Application>Microsoft Office Word</Application>
  <DocSecurity>0</DocSecurity>
  <Lines>494</Lines>
  <Paragraphs>207</Paragraphs>
  <ScaleCrop>false</ScaleCrop>
  <Company>Author-it Software Corporation Ltd.</Company>
  <LinksUpToDate>false</LinksUpToDate>
  <CharactersWithSpaces>16769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UEENEEJ102A Prepare and connect refrigerant tubing and fittings</dc:title>
  <dc:subject>Approved</dc:subject>
  <dc:creator>E-OZ Training Standards</dc:creator>
  <cp:keywords>Release: 3</cp:keywords>
  <dc:description>Review Date: 12 April 2008</dc:description>
  <cp:lastModifiedBy>HSD_TPCMSd.prod</cp:lastModifiedBy>
  <cp:revision>3</cp:revision>
  <dcterms:created xsi:type="dcterms:W3CDTF">2013-08-14T07:39:00Z</dcterms:created>
  <dcterms:modified xsi:type="dcterms:W3CDTF">2013-08-14T07:39:00Z</dcterms:modified>
</cp:coreProperties>
</file>