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F2E" w:rsidP="00976F2E">
      <w:pPr>
        <w:pStyle w:val="Title"/>
      </w:pPr>
      <w:r>
        <w:fldChar w:fldCharType="begin"/>
      </w:r>
      <w:r>
        <w:instrText xml:space="preserve"> TITLE   \* MERGEFORMAT </w:instrText>
      </w:r>
      <w:r>
        <w:fldChar w:fldCharType="separate"/>
      </w:r>
      <w:r>
        <w:t>UEENEEJ040B Manage refrigeration and air conditioning projects</w:t>
      </w:r>
      <w:r>
        <w:fldChar w:fldCharType="end"/>
      </w:r>
    </w:p>
    <w:p w:rsidR="00976F2E" w:rsidP="00976F2E">
      <w:pPr>
        <w:pStyle w:val="Version"/>
        <w:sectPr w:rsidSect="007009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09CE" w:rsidP="007009CE">
      <w:pPr>
        <w:pStyle w:val="SuperHeading"/>
      </w:pPr>
      <w:r w:rsidRPr="007009CE">
        <w:t>UEENEEJ040B Manage refrigeration and air conditioning projects</w:t>
      </w:r>
    </w:p>
    <w:p w:rsidR="00000000" w:rsidRPr="007009CE" w:rsidP="007009CE">
      <w:pPr>
        <w:pStyle w:val="Heading1"/>
      </w:pPr>
      <w:bookmarkStart w:id="1" w:name="O_438924"/>
      <w:bookmarkEnd w:id="1"/>
      <w:r w:rsidRPr="007009CE">
        <w:t>Modification History</w:t>
      </w:r>
    </w:p>
    <w:p w:rsidR="00000000" w:rsidRPr="007009CE" w:rsidP="007009CE">
      <w:pPr>
        <w:pStyle w:val="BodyText"/>
      </w:pPr>
      <w:r w:rsidRPr="007009CE">
        <w:t>Not Applicable</w:t>
      </w:r>
    </w:p>
    <w:p w:rsidR="00000000" w:rsidRPr="007009CE" w:rsidP="007009CE">
      <w:pPr>
        <w:pStyle w:val="AllowPageBreak"/>
      </w:pPr>
    </w:p>
    <w:p w:rsidR="00000000" w:rsidRPr="007009CE" w:rsidP="007009CE">
      <w:pPr>
        <w:pStyle w:val="Heading1"/>
      </w:pPr>
      <w:bookmarkStart w:id="2" w:name="O_438920"/>
      <w:bookmarkEnd w:id="2"/>
      <w:r w:rsidRPr="007009CE">
        <w:t>Unit Descriptor</w:t>
      </w:r>
    </w:p>
    <w:tbl>
      <w:tblPr>
        <w:tblW w:w="0" w:type="auto"/>
        <w:tblLayout w:type="fixed"/>
        <w:tblCellMar>
          <w:left w:w="62" w:type="dxa"/>
          <w:right w:w="62" w:type="dxa"/>
        </w:tblCellMar>
        <w:tblLook w:val="0000"/>
      </w:tblPr>
      <w:tblGrid>
        <w:gridCol w:w="2700"/>
        <w:gridCol w:w="5760"/>
      </w:tblGrid>
      <w:tr w:rsidTr="00976F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1</w:t>
            </w:r>
            <w:r w:rsidRPr="007009CE">
              <w:t xml:space="preserve">) </w:t>
            </w:r>
          </w:p>
          <w:p w:rsidR="00000000" w:rsidP="007009CE">
            <w:pPr>
              <w:pStyle w:val="BodyText"/>
              <w:rPr>
                <w:lang w:val="en-NZ"/>
              </w:rPr>
            </w:pPr>
            <w:r w:rsidRPr="007009CE">
              <w:rPr>
                <w:rStyle w:val="SpecialBold"/>
              </w:rPr>
              <w:t>1</w:t>
            </w:r>
            <w:r w:rsidRPr="007009CE">
              <w:t>.</w:t>
            </w:r>
            <w:r w:rsidRPr="007009CE">
              <w:rPr>
                <w:rStyle w:val="SpecialBold"/>
              </w:rPr>
              <w:t>1</w:t>
            </w:r>
            <w:r w:rsidRPr="007009CE">
              <w:t xml:space="preserve">) </w:t>
            </w:r>
            <w:r w:rsidRPr="007009CE">
              <w:rPr>
                <w:rStyle w:val="SpecialBold"/>
              </w:rPr>
              <w:t>Descriptor</w:t>
            </w:r>
          </w:p>
        </w:tc>
      </w:tr>
      <w:tr w:rsidTr="00976F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 xml:space="preserve">This unit covers the management of refrigeration and air conditioning projects involving design, modifications, installation, and/or maintenance of systems and equipment. It encompasses covers management of safety, budget, variation, personnel, resources, </w:t>
            </w:r>
            <w:r w:rsidRPr="007009CE">
              <w:t>and critical path timelines all necessary progress and completion documentation.</w:t>
            </w:r>
          </w:p>
        </w:tc>
      </w:tr>
    </w:tbl>
    <w:p w:rsidR="00976F2E" w:rsidP="007009CE">
      <w:pPr>
        <w:pStyle w:val="BodyText"/>
      </w:pPr>
    </w:p>
    <w:p w:rsidR="00976F2E" w:rsidP="007009CE">
      <w:pPr>
        <w:pStyle w:val="BodyText"/>
      </w:pPr>
    </w:p>
    <w:p w:rsidR="00000000" w:rsidRPr="007009CE" w:rsidP="007009CE">
      <w:pPr>
        <w:pStyle w:val="Heading1"/>
      </w:pPr>
      <w:bookmarkStart w:id="3" w:name="O_438932"/>
      <w:bookmarkEnd w:id="3"/>
      <w:r w:rsidRPr="007009CE">
        <w:t>Application of the Unit</w:t>
      </w:r>
    </w:p>
    <w:tbl>
      <w:tblPr>
        <w:tblW w:w="0" w:type="auto"/>
        <w:tblLayout w:type="fixed"/>
        <w:tblCellMar>
          <w:left w:w="62" w:type="dxa"/>
          <w:right w:w="62" w:type="dxa"/>
        </w:tblCellMar>
        <w:tblLook w:val="0000"/>
      </w:tblPr>
      <w:tblGrid>
        <w:gridCol w:w="2700"/>
        <w:gridCol w:w="5760"/>
      </w:tblGrid>
      <w:tr w:rsidTr="00976F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4</w:t>
            </w:r>
            <w:r w:rsidRPr="007009CE">
              <w:t>)</w:t>
            </w:r>
          </w:p>
        </w:tc>
      </w:tr>
      <w:tr w:rsidTr="00976F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This unit is inten</w:t>
            </w:r>
            <w:r w:rsidRPr="007009CE">
              <w:t>ded for competency development entry-level employment-based programs incorporated in approved contracts of training. It applies to any formal recognition for this standard at the aligned AQF 6 level or higher.</w:t>
            </w:r>
          </w:p>
        </w:tc>
      </w:tr>
    </w:tbl>
    <w:p w:rsidR="00976F2E" w:rsidP="007009CE">
      <w:pPr>
        <w:pStyle w:val="BodyText"/>
      </w:pPr>
    </w:p>
    <w:p w:rsidR="00976F2E" w:rsidP="007009CE">
      <w:pPr>
        <w:pStyle w:val="BodyText"/>
      </w:pPr>
    </w:p>
    <w:p w:rsidR="00000000" w:rsidRPr="007009CE" w:rsidP="007009CE">
      <w:pPr>
        <w:pStyle w:val="Heading1"/>
      </w:pPr>
      <w:bookmarkStart w:id="4" w:name="O_438925"/>
      <w:bookmarkEnd w:id="4"/>
      <w:r w:rsidRPr="007009CE">
        <w:t>Licensing/Regulatory Information</w:t>
      </w:r>
    </w:p>
    <w:tbl>
      <w:tblPr>
        <w:tblW w:w="0" w:type="auto"/>
        <w:tblLayout w:type="fixed"/>
        <w:tblCellMar>
          <w:left w:w="62" w:type="dxa"/>
          <w:right w:w="62" w:type="dxa"/>
        </w:tblCellMar>
        <w:tblLook w:val="0000"/>
      </w:tblPr>
      <w:tblGrid>
        <w:gridCol w:w="8460"/>
      </w:tblGrid>
      <w:tr w:rsidTr="00976F2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1</w:t>
            </w:r>
            <w:r w:rsidRPr="007009CE">
              <w:t>.</w:t>
            </w:r>
            <w:r w:rsidRPr="007009CE">
              <w:rPr>
                <w:rStyle w:val="SpecialBold"/>
              </w:rPr>
              <w:t>2</w:t>
            </w:r>
            <w:r w:rsidRPr="007009CE">
              <w:t xml:space="preserve">) </w:t>
            </w:r>
            <w:r w:rsidRPr="007009CE">
              <w:rPr>
                <w:rStyle w:val="SpecialBold"/>
              </w:rPr>
              <w:t>License to practice</w:t>
            </w:r>
          </w:p>
        </w:tc>
      </w:tr>
      <w:tr w:rsidTr="00976F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The skills and knowledge described in this unit do not require a license to practice in the workplace. However, practice in this unit is subject to regulations directly related to occupational heal</w:t>
            </w:r>
            <w:r w:rsidRPr="007009CE">
              <w:t>th and safety and where applicable contracts of training such as apprenticeships.</w:t>
            </w:r>
          </w:p>
        </w:tc>
      </w:tr>
    </w:tbl>
    <w:p w:rsidR="00976F2E" w:rsidP="007009CE">
      <w:pPr>
        <w:pStyle w:val="BodyText"/>
      </w:pPr>
    </w:p>
    <w:p w:rsidR="00976F2E" w:rsidP="007009CE">
      <w:pPr>
        <w:pStyle w:val="BodyText"/>
      </w:pPr>
    </w:p>
    <w:p w:rsidR="00000000" w:rsidRPr="007009CE" w:rsidP="007009CE">
      <w:pPr>
        <w:pStyle w:val="Heading1"/>
      </w:pPr>
      <w:bookmarkStart w:id="5" w:name="O_438923"/>
      <w:bookmarkEnd w:id="5"/>
      <w:r w:rsidRPr="007009CE">
        <w:t>Pre-Requisites</w:t>
      </w:r>
    </w:p>
    <w:tbl>
      <w:tblPr>
        <w:tblW w:w="0" w:type="auto"/>
        <w:tblLayout w:type="fixed"/>
        <w:tblCellMar>
          <w:left w:w="62" w:type="dxa"/>
          <w:right w:w="62" w:type="dxa"/>
        </w:tblCellMar>
        <w:tblLook w:val="0000"/>
      </w:tblPr>
      <w:tblGrid>
        <w:gridCol w:w="2700"/>
        <w:gridCol w:w="5760"/>
      </w:tblGrid>
      <w:tr w:rsidTr="00976F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Prerequisite Unit</w:t>
            </w:r>
            <w:r w:rsidRPr="007009CE">
              <w:t>(</w:t>
            </w:r>
            <w:r w:rsidRPr="007009CE">
              <w:rPr>
                <w:rStyle w:val="SpecialBold"/>
              </w:rPr>
              <w:t>s</w:t>
            </w:r>
            <w:r w:rsidRPr="007009CE">
              <w:t>)</w:t>
            </w:r>
          </w:p>
        </w:tc>
        <w:tc>
          <w:tcPr>
            <w:tcW w:w="57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2</w:t>
            </w:r>
            <w:r w:rsidRPr="007009CE">
              <w:t xml:space="preserve">) </w:t>
            </w:r>
          </w:p>
        </w:tc>
      </w:tr>
      <w:tr w:rsidTr="00976F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09C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2</w:t>
            </w:r>
            <w:r w:rsidRPr="007009CE">
              <w:t>.</w:t>
            </w:r>
            <w:r w:rsidRPr="007009CE">
              <w:rPr>
                <w:rStyle w:val="SpecialBold"/>
              </w:rPr>
              <w:t>1</w:t>
            </w:r>
            <w:r w:rsidRPr="007009CE">
              <w:t xml:space="preserve">) </w:t>
            </w:r>
            <w:r w:rsidRPr="007009CE">
              <w:rPr>
                <w:rStyle w:val="SpecialBold"/>
              </w:rPr>
              <w:t>Competencies</w:t>
            </w:r>
          </w:p>
        </w:tc>
      </w:tr>
      <w:tr w:rsidTr="00976F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There are no prerequisite competencies for this unit.</w:t>
            </w:r>
          </w:p>
        </w:tc>
      </w:tr>
    </w:tbl>
    <w:p w:rsidR="00976F2E" w:rsidP="007009CE">
      <w:pPr>
        <w:pStyle w:val="BodyText"/>
      </w:pPr>
    </w:p>
    <w:p w:rsidR="00976F2E" w:rsidP="007009CE">
      <w:pPr>
        <w:pStyle w:val="BodyText"/>
      </w:pPr>
    </w:p>
    <w:p w:rsidR="00000000" w:rsidRPr="007009CE" w:rsidP="007009CE">
      <w:pPr>
        <w:pStyle w:val="Heading1"/>
      </w:pPr>
      <w:bookmarkStart w:id="6" w:name="O_438928"/>
      <w:bookmarkEnd w:id="6"/>
      <w:r w:rsidRPr="007009CE">
        <w:t>Employability Skills Information</w:t>
      </w:r>
    </w:p>
    <w:tbl>
      <w:tblPr>
        <w:tblW w:w="0" w:type="auto"/>
        <w:tblLayout w:type="fixed"/>
        <w:tblCellMar>
          <w:left w:w="62" w:type="dxa"/>
          <w:right w:w="62" w:type="dxa"/>
        </w:tblCellMar>
        <w:tblLook w:val="0000"/>
      </w:tblPr>
      <w:tblGrid>
        <w:gridCol w:w="2700"/>
        <w:gridCol w:w="5760"/>
      </w:tblGrid>
      <w:tr w:rsidTr="00976F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3</w:t>
            </w:r>
            <w:r w:rsidRPr="007009CE">
              <w:t>)</w:t>
            </w:r>
          </w:p>
          <w:p w:rsidR="00000000" w:rsidRPr="007009CE" w:rsidP="007009CE">
            <w:pPr>
              <w:pStyle w:val="BodyText"/>
            </w:pPr>
            <w:r w:rsidRPr="007009CE">
              <w:t>This unit contains Employability Skills</w:t>
            </w:r>
          </w:p>
          <w:p w:rsidR="00000000" w:rsidRPr="007009CE" w:rsidP="007009CE">
            <w:pPr>
              <w:pStyle w:val="BodyText"/>
            </w:pPr>
            <w:r w:rsidRPr="007009CE">
              <w:t>The required outcomes described in this unit of competency contain applicable facets of Employability Skills. The Employability Skills Summary of the qualifica</w:t>
            </w:r>
            <w:r w:rsidRPr="007009CE">
              <w:t>tion in which this unit of competency is packaged will assist in identifying Employability Skill requirements.</w:t>
            </w:r>
          </w:p>
        </w:tc>
      </w:tr>
    </w:tbl>
    <w:p w:rsidR="00976F2E" w:rsidP="007009CE">
      <w:pPr>
        <w:pStyle w:val="BodyText"/>
      </w:pPr>
    </w:p>
    <w:p w:rsidR="00976F2E" w:rsidP="007009CE">
      <w:pPr>
        <w:pStyle w:val="BodyText"/>
      </w:pPr>
    </w:p>
    <w:p w:rsidR="00000000" w:rsidRPr="007009CE" w:rsidP="007009CE">
      <w:pPr>
        <w:pStyle w:val="Heading1"/>
      </w:pPr>
      <w:bookmarkStart w:id="7" w:name="O_438929"/>
      <w:bookmarkEnd w:id="7"/>
      <w:r w:rsidRPr="007009CE">
        <w:t>Elements and Performance Criteria Pre-Content</w:t>
      </w:r>
    </w:p>
    <w:tbl>
      <w:tblPr>
        <w:tblW w:w="0" w:type="auto"/>
        <w:tblLayout w:type="fixed"/>
        <w:tblCellMar>
          <w:left w:w="62" w:type="dxa"/>
          <w:right w:w="62" w:type="dxa"/>
        </w:tblCellMar>
        <w:tblLook w:val="0000"/>
      </w:tblPr>
      <w:tblGrid>
        <w:gridCol w:w="2700"/>
        <w:gridCol w:w="5760"/>
      </w:tblGrid>
      <w:tr w:rsidTr="00976F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6</w:t>
            </w:r>
            <w:r w:rsidRPr="007009CE">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Performance criteria describe the required performance needed to demonstrate achievement of the element. Assessment of performance is to be consistent with the evidence guide.</w:t>
            </w:r>
          </w:p>
        </w:tc>
      </w:tr>
    </w:tbl>
    <w:p w:rsidR="00000000" w:rsidRPr="007009CE" w:rsidP="007009CE">
      <w:pPr>
        <w:pStyle w:val="BodyText"/>
      </w:pPr>
    </w:p>
    <w:p w:rsidR="00000000" w:rsidRPr="007009CE" w:rsidP="007009CE">
      <w:pPr>
        <w:pStyle w:val="AllowPageBreak"/>
      </w:pPr>
    </w:p>
    <w:p w:rsidR="00000000" w:rsidRPr="007009CE" w:rsidP="007009CE">
      <w:pPr>
        <w:pStyle w:val="Heading1"/>
      </w:pPr>
      <w:bookmarkStart w:id="8" w:name="O_438930"/>
      <w:bookmarkEnd w:id="8"/>
      <w:r w:rsidRPr="007009CE">
        <w:t>Elements and Performance Criteria</w:t>
      </w:r>
    </w:p>
    <w:tbl>
      <w:tblPr>
        <w:tblW w:w="0" w:type="auto"/>
        <w:tblLayout w:type="fixed"/>
        <w:tblCellMar>
          <w:left w:w="62" w:type="dxa"/>
          <w:right w:w="62" w:type="dxa"/>
        </w:tblCellMar>
        <w:tblLook w:val="0000"/>
      </w:tblPr>
      <w:tblGrid>
        <w:gridCol w:w="540"/>
        <w:gridCol w:w="2160"/>
        <w:gridCol w:w="900"/>
        <w:gridCol w:w="4860"/>
      </w:tblGrid>
      <w:tr w:rsidTr="00976F2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PERFORMANCE CRITER</w:t>
            </w:r>
            <w:r w:rsidRPr="007009CE">
              <w:rPr>
                <w:rStyle w:val="SpecialBold"/>
              </w:rPr>
              <w:t>IA</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1</w:t>
            </w:r>
          </w:p>
        </w:tc>
        <w:tc>
          <w:tcPr>
            <w:tcW w:w="2160" w:type="dxa"/>
            <w:vMerge w:val="restart"/>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Establish the scope of the project.</w:t>
            </w: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1.1</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 xml:space="preserve">OHS processes and procedures for a given work area are identified, identified, obtained and understood </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1.2</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Project' deliverables and budget are establishe</w:t>
            </w:r>
            <w:r w:rsidRPr="007009CE">
              <w:t>d from project planning and other relevant documentation and from discussions with appropriate person(s).</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1.3</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Measurable outcomes are identifies to evaluate the project on completion from project planning and other relevant documentation.</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1.4</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Plant, materials and skills needed to meet project outcome are established from project planning and other relevant documentation.</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1.5</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Processes and procedures are developed for managing contract variations from discussions with appropriate person(s) an</w:t>
            </w:r>
            <w:r w:rsidRPr="007009CE">
              <w:t>d in accordance with contractual agreement.</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2</w:t>
            </w:r>
          </w:p>
        </w:tc>
        <w:tc>
          <w:tcPr>
            <w:tcW w:w="2160" w:type="dxa"/>
            <w:vMerge w:val="restart"/>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Manage project.</w:t>
            </w: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2.1</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 xml:space="preserve">OHS policies, procedures and programs are implemented and monitored. </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2.2</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Achievement of project outcomes is delegated to appropriately competent persons involved in the project.</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2.3</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Risk events are identified and project plan strategies implemented to ensure that outcomes are achieved to the required standard of quality specified in the contract and safety required by organization's policy.</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2.4</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 xml:space="preserve">Procurement processes and procedures </w:t>
            </w:r>
            <w:r w:rsidRPr="007009CE">
              <w:t>are monitored to ensure on time supply of plant and materials and in accordance with organisation's policy.</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2.5</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Project is progress is monitored against schedule, quality requirements and budget.</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2.6</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Conflict issues at the work site and between stakeholders, clients and regulators are identified and managed in accordance with organisation's policy.</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2.7</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Variations are managed in accordance with agreed processes and in accordance with the contract.</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2.8</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 xml:space="preserve">Project records are maintained and progress reports written and forwarded to all appropriate person(s). </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3</w:t>
            </w:r>
          </w:p>
        </w:tc>
        <w:tc>
          <w:tcPr>
            <w:tcW w:w="21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Complete project.</w:t>
            </w: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3.1</w:t>
            </w:r>
          </w:p>
        </w:tc>
        <w:tc>
          <w:tcPr>
            <w:tcW w:w="48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 xml:space="preserve">Project outcomes are reviewed against original plan, implemented risk strategies, contract variations, safety record and </w:t>
            </w:r>
            <w:r w:rsidRPr="007009CE">
              <w:t>budget.</w:t>
            </w:r>
          </w:p>
        </w:tc>
      </w:tr>
      <w:tr w:rsidTr="00976F2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3.2</w:t>
            </w:r>
          </w:p>
        </w:tc>
        <w:tc>
          <w:tcPr>
            <w:tcW w:w="48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Project completion acceptance is sought from appropriate person(s) and hand-over documented in accordance with organisation's policy.</w:t>
            </w:r>
          </w:p>
        </w:tc>
      </w:tr>
    </w:tbl>
    <w:p w:rsidR="00976F2E" w:rsidP="007009CE">
      <w:pPr>
        <w:pStyle w:val="BodyText"/>
      </w:pPr>
    </w:p>
    <w:p w:rsidR="00976F2E" w:rsidP="007009CE">
      <w:pPr>
        <w:pStyle w:val="BodyText"/>
      </w:pPr>
    </w:p>
    <w:p w:rsidR="00000000" w:rsidRPr="007009CE" w:rsidP="007009CE">
      <w:pPr>
        <w:pStyle w:val="Heading1"/>
      </w:pPr>
      <w:bookmarkStart w:id="9" w:name="O_438921"/>
      <w:bookmarkEnd w:id="9"/>
      <w:r w:rsidRPr="007009CE">
        <w:t>Required Skills and Knowledge</w:t>
      </w:r>
    </w:p>
    <w:tbl>
      <w:tblPr>
        <w:tblW w:w="0" w:type="auto"/>
        <w:tblLayout w:type="fixed"/>
        <w:tblCellMar>
          <w:left w:w="62" w:type="dxa"/>
          <w:right w:w="62" w:type="dxa"/>
        </w:tblCellMar>
        <w:tblLook w:val="0000"/>
      </w:tblPr>
      <w:tblGrid>
        <w:gridCol w:w="2594"/>
        <w:gridCol w:w="9"/>
        <w:gridCol w:w="5857"/>
      </w:tblGrid>
      <w:tr w:rsidTr="00976F2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REQUIRED SKILLS AND KNOWLEDGE</w:t>
            </w:r>
          </w:p>
        </w:tc>
      </w:tr>
      <w:tr w:rsidTr="00976F2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7)</w:t>
            </w:r>
            <w:r w:rsidRPr="007009CE">
              <w:t xml:space="preserve"> This describes the essential skills and knowledge and their level, required for this unit.</w:t>
            </w:r>
          </w:p>
        </w:tc>
      </w:tr>
      <w:tr w:rsidTr="00976F2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Evidence shall show that knowledge has been acquired of safe working practices and managing refrigeration and air conditioning projects.</w:t>
            </w:r>
          </w:p>
          <w:p w:rsidR="00000000" w:rsidP="007009CE">
            <w:pPr>
              <w:pStyle w:val="BodyText"/>
              <w:rPr>
                <w:lang w:val="en-NZ"/>
              </w:rPr>
            </w:pPr>
            <w:r w:rsidRPr="007009CE">
              <w:t>All know</w:t>
            </w:r>
            <w:r w:rsidRPr="007009CE">
              <w:t>ledge and skills detailed in this unit should be contextualised to current industry practices and technologies.</w:t>
            </w:r>
          </w:p>
        </w:tc>
      </w:tr>
      <w:tr w:rsidTr="00976F2E">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KS01-EJ040B</w:t>
            </w:r>
          </w:p>
        </w:tc>
        <w:tc>
          <w:tcPr>
            <w:tcW w:w="5866" w:type="dxa"/>
            <w:gridSpan w:val="2"/>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Refrigeration and air conditioning project management</w:t>
            </w:r>
          </w:p>
        </w:tc>
      </w:tr>
      <w:tr w:rsidTr="00976F2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Evidence shall show an understanding of managing refrigeration and air cond</w:t>
            </w:r>
            <w:r w:rsidRPr="007009CE">
              <w:t>itioning project methods and techniques, applying safe working practices and relevant Standards, Codes and Regulations to an extent indicated by the following aspects:</w:t>
            </w:r>
          </w:p>
        </w:tc>
      </w:tr>
      <w:tr w:rsidTr="00976F2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T1         Defining project parameters</w:t>
            </w:r>
          </w:p>
          <w:p w:rsidR="00000000" w:rsidRPr="007009CE" w:rsidP="007009CE">
            <w:pPr>
              <w:pStyle w:val="BodyText"/>
            </w:pPr>
            <w:r w:rsidRPr="007009CE">
              <w:t>Note:</w:t>
            </w:r>
          </w:p>
          <w:p w:rsidR="00000000" w:rsidRPr="007009CE" w:rsidP="007009CE">
            <w:pPr>
              <w:pStyle w:val="BodyText"/>
            </w:pPr>
            <w:r w:rsidRPr="007009CE">
              <w:t>Examples may include: Project scope; Project stakeholders and clients; Project phases and the relationship between phases; Time requirements and limitations; Resource requirements and limitations; Quality requirements and limitations.</w:t>
            </w:r>
          </w:p>
          <w:p w:rsidR="00000000" w:rsidRPr="007009CE" w:rsidP="007009CE">
            <w:pPr>
              <w:pStyle w:val="BodyText"/>
            </w:pPr>
            <w:r w:rsidRPr="007009CE">
              <w:t>T2         Time manag</w:t>
            </w:r>
            <w:r w:rsidRPr="007009CE">
              <w:t>ement</w:t>
            </w:r>
          </w:p>
          <w:p w:rsidR="00000000" w:rsidRPr="007009CE" w:rsidP="007009CE">
            <w:pPr>
              <w:pStyle w:val="BodyText"/>
            </w:pPr>
            <w:r w:rsidRPr="007009CE">
              <w:t>Note:</w:t>
            </w:r>
          </w:p>
          <w:p w:rsidR="00000000" w:rsidRPr="007009CE" w:rsidP="007009CE">
            <w:pPr>
              <w:pStyle w:val="BodyText"/>
            </w:pPr>
            <w:r w:rsidRPr="007009CE">
              <w:t>Examples may include: time management concepts; standard practices for ensuring a project runs to time and the like.</w:t>
            </w:r>
          </w:p>
          <w:p w:rsidR="00000000" w:rsidRPr="007009CE" w:rsidP="007009CE">
            <w:pPr>
              <w:pStyle w:val="BodyText"/>
            </w:pPr>
            <w:r w:rsidRPr="007009CE">
              <w:t>T3         Financial management</w:t>
            </w:r>
          </w:p>
          <w:p w:rsidR="00000000" w:rsidRPr="007009CE" w:rsidP="007009CE">
            <w:pPr>
              <w:pStyle w:val="BodyText"/>
            </w:pPr>
            <w:r w:rsidRPr="007009CE">
              <w:t>Note.</w:t>
            </w:r>
          </w:p>
          <w:p w:rsidR="00000000" w:rsidRPr="007009CE" w:rsidP="007009CE">
            <w:pPr>
              <w:pStyle w:val="BodyText"/>
            </w:pPr>
            <w:r w:rsidRPr="007009CE">
              <w:t>Examples may include: Financial management concepts; Standard practices for managing proj</w:t>
            </w:r>
            <w:r w:rsidRPr="007009CE">
              <w:t>ect finances; Project budgets; Costs, variations and estimations; Invoicing against project phases/deliverables; Acquittals and the like.</w:t>
            </w:r>
          </w:p>
          <w:p w:rsidR="00000000" w:rsidRPr="007009CE" w:rsidP="007009CE">
            <w:pPr>
              <w:pStyle w:val="BodyText"/>
            </w:pPr>
            <w:r w:rsidRPr="007009CE">
              <w:t>T4         Quality management</w:t>
            </w:r>
          </w:p>
          <w:p w:rsidR="00000000" w:rsidRPr="007009CE" w:rsidP="007009CE">
            <w:pPr>
              <w:pStyle w:val="BodyText"/>
            </w:pPr>
            <w:r w:rsidRPr="007009CE">
              <w:t>Note.</w:t>
            </w:r>
          </w:p>
          <w:p w:rsidR="00000000" w:rsidRPr="007009CE" w:rsidP="007009CE">
            <w:pPr>
              <w:pStyle w:val="BodyText"/>
            </w:pPr>
            <w:r w:rsidRPr="007009CE">
              <w:t>Examples may include: Quality management concepts; Standard practices for managing</w:t>
            </w:r>
            <w:r w:rsidRPr="007009CE">
              <w:t xml:space="preserve"> quality within a project.</w:t>
            </w:r>
          </w:p>
          <w:p w:rsidR="00000000" w:rsidRPr="007009CE" w:rsidP="007009CE">
            <w:pPr>
              <w:pStyle w:val="BodyText"/>
            </w:pPr>
            <w:r w:rsidRPr="007009CE">
              <w:t>T5         Human Resource management</w:t>
            </w:r>
          </w:p>
          <w:p w:rsidR="00000000" w:rsidRPr="007009CE" w:rsidP="007009CE">
            <w:pPr>
              <w:pStyle w:val="BodyText"/>
            </w:pPr>
            <w:r w:rsidRPr="007009CE">
              <w:t>Note.</w:t>
            </w:r>
          </w:p>
          <w:p w:rsidR="00000000" w:rsidRPr="007009CE" w:rsidP="007009CE">
            <w:pPr>
              <w:pStyle w:val="BodyText"/>
            </w:pPr>
            <w:r w:rsidRPr="007009CE">
              <w:t>Examples may include: human resource management concepts; standard practices for managing personnel within a project</w:t>
            </w:r>
          </w:p>
          <w:p w:rsidR="00000000" w:rsidRPr="007009CE" w:rsidP="007009CE">
            <w:pPr>
              <w:pStyle w:val="BodyText"/>
            </w:pPr>
            <w:r w:rsidRPr="007009CE">
              <w:t>T6         Communication management</w:t>
            </w:r>
          </w:p>
          <w:p w:rsidR="00000000" w:rsidRPr="007009CE" w:rsidP="007009CE">
            <w:pPr>
              <w:pStyle w:val="BodyText"/>
            </w:pPr>
            <w:r w:rsidRPr="007009CE">
              <w:t>Note.</w:t>
            </w:r>
          </w:p>
          <w:p w:rsidR="00000000" w:rsidRPr="007009CE" w:rsidP="007009CE">
            <w:pPr>
              <w:pStyle w:val="BodyText"/>
            </w:pPr>
            <w:r w:rsidRPr="007009CE">
              <w:t>Examples may include: Commu</w:t>
            </w:r>
            <w:r w:rsidRPr="007009CE">
              <w:t>nication management concepts; Standard practices for managing communication within a project and the like.</w:t>
            </w:r>
          </w:p>
          <w:p w:rsidR="00000000" w:rsidRPr="007009CE" w:rsidP="007009CE">
            <w:pPr>
              <w:pStyle w:val="BodyText"/>
            </w:pPr>
            <w:r w:rsidRPr="007009CE">
              <w:t>T7         Risk management and contingencies</w:t>
            </w:r>
          </w:p>
          <w:p w:rsidR="00000000" w:rsidRPr="007009CE" w:rsidP="007009CE">
            <w:pPr>
              <w:pStyle w:val="BodyText"/>
            </w:pPr>
            <w:r w:rsidRPr="007009CE">
              <w:t>Note.</w:t>
            </w:r>
          </w:p>
          <w:p w:rsidR="00000000" w:rsidRPr="007009CE" w:rsidP="007009CE">
            <w:pPr>
              <w:pStyle w:val="BodyText"/>
            </w:pPr>
            <w:r w:rsidRPr="007009CE">
              <w:t>Examples may include: risk management concepts; standard practices for managing risk within a proj</w:t>
            </w:r>
            <w:r w:rsidRPr="007009CE">
              <w:t>ect; Internal risks; External risks; Risk minimisation; Risk removal; Contingencies and the like.</w:t>
            </w:r>
          </w:p>
          <w:p w:rsidR="00000000" w:rsidRPr="007009CE" w:rsidP="007009CE">
            <w:pPr>
              <w:pStyle w:val="BodyText"/>
            </w:pPr>
            <w:r w:rsidRPr="007009CE">
              <w:t>T8         Procurement management</w:t>
            </w:r>
          </w:p>
          <w:p w:rsidR="00000000" w:rsidRPr="007009CE" w:rsidP="007009CE">
            <w:pPr>
              <w:pStyle w:val="BodyText"/>
            </w:pPr>
            <w:r w:rsidRPr="007009CE">
              <w:t>Note.</w:t>
            </w:r>
          </w:p>
          <w:p w:rsidR="00000000" w:rsidRPr="007009CE" w:rsidP="007009CE">
            <w:pPr>
              <w:pStyle w:val="BodyText"/>
            </w:pPr>
            <w:r w:rsidRPr="007009CE">
              <w:t>Examples may include: procurement management concepts; standard practices for managing procurement and the like.</w:t>
            </w:r>
          </w:p>
          <w:p w:rsidR="00000000" w:rsidRPr="007009CE" w:rsidP="007009CE">
            <w:pPr>
              <w:pStyle w:val="BodyText"/>
            </w:pPr>
            <w:r w:rsidRPr="007009CE">
              <w:t xml:space="preserve">T9   </w:t>
            </w:r>
            <w:r w:rsidRPr="007009CE">
              <w:t xml:space="preserve">      Physical Resource management</w:t>
            </w:r>
          </w:p>
          <w:p w:rsidR="00000000" w:rsidRPr="007009CE" w:rsidP="007009CE">
            <w:pPr>
              <w:pStyle w:val="BodyText"/>
            </w:pPr>
            <w:r w:rsidRPr="007009CE">
              <w:t>Note.</w:t>
            </w:r>
          </w:p>
          <w:p w:rsidR="00000000" w:rsidRPr="007009CE" w:rsidP="007009CE">
            <w:pPr>
              <w:pStyle w:val="BodyText"/>
            </w:pPr>
            <w:r w:rsidRPr="007009CE">
              <w:t>Examples may include: Types of physical resource, including; Equipment, Technology, Information, Facilities; Physical resource management concepts; Standard practices for managing physical resources</w:t>
            </w:r>
          </w:p>
          <w:p w:rsidR="00000000" w:rsidRPr="007009CE" w:rsidP="007009CE">
            <w:pPr>
              <w:pStyle w:val="BodyText"/>
            </w:pPr>
            <w:r w:rsidRPr="007009CE">
              <w:t>T10        Contr</w:t>
            </w:r>
            <w:r w:rsidRPr="007009CE">
              <w:t>acts</w:t>
            </w:r>
          </w:p>
          <w:p w:rsidR="00000000" w:rsidRPr="007009CE" w:rsidP="007009CE">
            <w:pPr>
              <w:pStyle w:val="BodyText"/>
            </w:pPr>
            <w:r w:rsidRPr="007009CE">
              <w:t>Note.</w:t>
            </w:r>
          </w:p>
          <w:p w:rsidR="00000000" w:rsidRPr="007009CE" w:rsidP="007009CE">
            <w:pPr>
              <w:pStyle w:val="BodyText"/>
            </w:pPr>
            <w:r w:rsidRPr="007009CE">
              <w:t xml:space="preserve">Examples may include: Understanding project contracts; Standard practices for working to contract specifications; Contract format; Contract content; Legal obligations of contract parties; Accompanying documentation including; Contract Schedules </w:t>
            </w:r>
            <w:r w:rsidRPr="007009CE">
              <w:t>and the like.</w:t>
            </w:r>
          </w:p>
          <w:p w:rsidR="00000000" w:rsidRPr="007009CE" w:rsidP="007009CE">
            <w:pPr>
              <w:pStyle w:val="BodyText"/>
            </w:pPr>
            <w:r w:rsidRPr="007009CE">
              <w:t>T11        Performance assessment and continuous improvement</w:t>
            </w:r>
          </w:p>
          <w:p w:rsidR="00000000" w:rsidRPr="007009CE" w:rsidP="007009CE">
            <w:pPr>
              <w:pStyle w:val="BodyText"/>
            </w:pPr>
            <w:r w:rsidRPr="007009CE">
              <w:t>Note.</w:t>
            </w:r>
          </w:p>
          <w:p w:rsidR="00000000" w:rsidRPr="007009CE" w:rsidP="007009CE">
            <w:pPr>
              <w:pStyle w:val="BodyText"/>
            </w:pPr>
            <w:r w:rsidRPr="007009CE">
              <w:t>Examples may include: standard performance assessment practices; standard continuous improvement practices and the like</w:t>
            </w:r>
          </w:p>
          <w:p w:rsidR="00000000" w:rsidRPr="007009CE" w:rsidP="007009CE">
            <w:pPr>
              <w:pStyle w:val="BodyText"/>
            </w:pPr>
            <w:r w:rsidRPr="007009CE">
              <w:t>T12        Engineering ethics principles</w:t>
            </w:r>
          </w:p>
          <w:p w:rsidR="00000000" w:rsidRPr="007009CE" w:rsidP="007009CE">
            <w:pPr>
              <w:pStyle w:val="BodyText"/>
            </w:pPr>
          </w:p>
          <w:p w:rsidR="00000000" w:rsidRPr="007009CE" w:rsidP="007009CE">
            <w:pPr>
              <w:pStyle w:val="BodyText"/>
            </w:pPr>
            <w:r w:rsidRPr="007009CE">
              <w:t>T13        Customer/Client relations</w:t>
            </w:r>
          </w:p>
          <w:p w:rsidR="00000000" w:rsidRPr="007009CE" w:rsidP="007009CE">
            <w:pPr>
              <w:pStyle w:val="ListBullet"/>
            </w:pPr>
            <w:r w:rsidRPr="007009CE">
              <w:t>Importance of customer/client relations</w:t>
            </w:r>
          </w:p>
          <w:p w:rsidR="00000000" w:rsidRPr="007009CE" w:rsidP="007009CE">
            <w:pPr>
              <w:pStyle w:val="ListBullet"/>
            </w:pPr>
            <w:r w:rsidRPr="007009CE">
              <w:t>Interpersonal skills that enhance customer/client</w:t>
            </w:r>
          </w:p>
          <w:p w:rsidR="00000000" w:rsidRPr="007009CE" w:rsidP="007009CE">
            <w:pPr>
              <w:pStyle w:val="ListBullet"/>
            </w:pPr>
            <w:r w:rsidRPr="007009CE">
              <w:t>Dispute resolution</w:t>
            </w:r>
          </w:p>
          <w:p w:rsidR="00000000" w:rsidRPr="007009CE" w:rsidP="007009CE">
            <w:pPr>
              <w:pStyle w:val="ListBullet"/>
            </w:pPr>
            <w:r w:rsidRPr="007009CE">
              <w:t>Customer/client relations strategies</w:t>
            </w:r>
          </w:p>
          <w:p w:rsidR="00000000" w:rsidP="007009CE">
            <w:pPr>
              <w:pStyle w:val="BodyText"/>
              <w:rPr>
                <w:lang w:val="en-NZ"/>
              </w:rPr>
            </w:pPr>
          </w:p>
        </w:tc>
      </w:tr>
      <w:tr w:rsidTr="00976F2E">
        <w:tblPrEx>
          <w:tblW w:w="0" w:type="auto"/>
          <w:tblLayout w:type="fixed"/>
          <w:tblCellMar>
            <w:left w:w="62" w:type="dxa"/>
            <w:right w:w="62" w:type="dxa"/>
          </w:tblCellMar>
          <w:tblLook w:val="0000"/>
        </w:tblPrEx>
        <w:tc>
          <w:tcPr>
            <w:tcW w:w="2603" w:type="dxa"/>
            <w:gridSpan w:val="2"/>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KS02-EJ040B</w:t>
            </w:r>
          </w:p>
        </w:tc>
        <w:tc>
          <w:tcPr>
            <w:tcW w:w="5857"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Refrigeration and air conditioning industry sector custom</w:t>
            </w:r>
            <w:r w:rsidRPr="007009CE">
              <w:rPr>
                <w:rStyle w:val="SpecialBold"/>
              </w:rPr>
              <w:t>s and practices</w:t>
            </w:r>
          </w:p>
        </w:tc>
      </w:tr>
      <w:tr w:rsidTr="00976F2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 xml:space="preserve">Evidence shall show an understanding of refrigeration and air conditioning industry sector customs and practices, applying safe working practices </w:t>
            </w:r>
            <w:r w:rsidRPr="007009CE">
              <w:t>and relevant Standards, Codes and Regulations to an extent indicated by the following aspects:</w:t>
            </w:r>
          </w:p>
        </w:tc>
      </w:tr>
    </w:tbl>
    <w:p w:rsidR="00000000" w:rsidRPr="007009CE" w:rsidP="007009CE">
      <w:pPr>
        <w:pStyle w:val="BodyText"/>
      </w:pPr>
      <w:r w:rsidRPr="007009CE">
        <w:t>Technical aspects of project planning and management encompassing:</w:t>
      </w:r>
    </w:p>
    <w:p w:rsidR="00000000" w:rsidRPr="007009CE" w:rsidP="007009CE">
      <w:pPr>
        <w:pStyle w:val="ListBullet"/>
      </w:pPr>
      <w:r w:rsidRPr="007009CE">
        <w:t>Method of ensuring equipment meets specified performance requirements</w:t>
      </w:r>
    </w:p>
    <w:p w:rsidR="00000000" w:rsidRPr="007009CE" w:rsidP="007009CE">
      <w:pPr>
        <w:pStyle w:val="ListBullet"/>
      </w:pPr>
      <w:r w:rsidRPr="007009CE">
        <w:t>Performance/cost bene</w:t>
      </w:r>
      <w:r w:rsidRPr="007009CE">
        <w:t>fit analysis</w:t>
      </w:r>
    </w:p>
    <w:p w:rsidR="00000000" w:rsidRPr="007009CE" w:rsidP="007009CE">
      <w:pPr>
        <w:pStyle w:val="ListBullet"/>
      </w:pPr>
      <w:r w:rsidRPr="007009CE">
        <w:t>Equipment procurement</w:t>
      </w:r>
    </w:p>
    <w:p w:rsidR="00000000" w:rsidRPr="007009CE" w:rsidP="007009CE">
      <w:pPr>
        <w:pStyle w:val="BodyText"/>
      </w:pPr>
      <w:r w:rsidRPr="007009CE">
        <w:t xml:space="preserve">Typical approaches to planning and management </w:t>
      </w:r>
    </w:p>
    <w:p w:rsidR="00000000" w:rsidRPr="007009CE" w:rsidP="007009CE">
      <w:pPr>
        <w:pStyle w:val="BodyText"/>
      </w:pPr>
      <w:r w:rsidRPr="007009CE">
        <w:t>Successful planning techniques</w:t>
      </w:r>
    </w:p>
    <w:p w:rsidR="00976F2E" w:rsidP="007009CE">
      <w:pPr>
        <w:pStyle w:val="BodyText"/>
      </w:pPr>
      <w:r w:rsidRPr="007009CE">
        <w:t>Best practice management methods and styles</w:t>
      </w:r>
    </w:p>
    <w:p w:rsidR="00976F2E" w:rsidP="007009CE">
      <w:pPr>
        <w:pStyle w:val="BodyText"/>
      </w:pPr>
    </w:p>
    <w:p w:rsidR="00000000" w:rsidRPr="007009CE" w:rsidP="007009CE">
      <w:pPr>
        <w:pStyle w:val="Heading1"/>
      </w:pPr>
      <w:bookmarkStart w:id="10" w:name="O_438927"/>
      <w:bookmarkEnd w:id="10"/>
      <w:r w:rsidRPr="007009CE">
        <w:t>Evidence Guide</w:t>
      </w:r>
    </w:p>
    <w:tbl>
      <w:tblPr>
        <w:tblW w:w="0" w:type="auto"/>
        <w:tblLayout w:type="fixed"/>
        <w:tblCellMar>
          <w:left w:w="62" w:type="dxa"/>
          <w:right w:w="62" w:type="dxa"/>
        </w:tblCellMar>
        <w:tblLook w:val="0000"/>
      </w:tblPr>
      <w:tblGrid>
        <w:gridCol w:w="2160"/>
        <w:gridCol w:w="720"/>
        <w:gridCol w:w="540"/>
        <w:gridCol w:w="5040"/>
      </w:tblGrid>
      <w:tr w:rsidTr="00976F2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EVIDENCE GUIDE</w:t>
            </w:r>
          </w:p>
        </w:tc>
      </w:tr>
      <w:tr w:rsidTr="00976F2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9</w:t>
            </w:r>
            <w:r w:rsidRPr="007009CE">
              <w:t>) The evidence guide provides advice on assessment and must be read in conjunction with the Performance Criteria, Required Skills and Knowledge, the Range Statement and the Assessment Guidelines for this Training Package. .</w:t>
            </w:r>
          </w:p>
          <w:p w:rsidR="00000000" w:rsidP="007009CE">
            <w:pPr>
              <w:pStyle w:val="BodyText"/>
              <w:rPr>
                <w:lang w:val="en-NZ"/>
              </w:rPr>
            </w:pPr>
            <w:r w:rsidRPr="007009CE">
              <w:t>The Evidence Guide forms an inte</w:t>
            </w:r>
            <w:r w:rsidRPr="007009CE">
              <w:t>gral part of this Unit. It must be used in conjunction with all parts of this unit and performed in accordance with the Assessment Guidelines of this Training Package.</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9</w:t>
            </w:r>
            <w:r w:rsidRPr="007009CE">
              <w:t>.</w:t>
            </w:r>
            <w:r w:rsidRPr="007009CE">
              <w:rPr>
                <w:rStyle w:val="SpecialBold"/>
              </w:rPr>
              <w:t>1</w:t>
            </w:r>
            <w:r w:rsidRPr="007009CE">
              <w:t xml:space="preserve">) </w:t>
            </w:r>
          </w:p>
          <w:p w:rsidR="00000000" w:rsidRPr="007009CE" w:rsidP="007009CE">
            <w:pPr>
              <w:pStyle w:val="BodyText"/>
            </w:pPr>
            <w:r w:rsidRPr="007009CE">
              <w:t>Longitudinal competency development approaches to assessment, such as Profiling, require data to be reliably gathered in a form that can be consistently interpreted over time. This approach is best utilised in Apprenticeship programs and reduces assessment</w:t>
            </w:r>
            <w:r w:rsidRPr="007009C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009CE">
              <w:t>ncy in a realistically simulated work environment. In some circumstances, assessment in part or full can occur outside the workplace. However, it must be in accordance with industry and regulatory policy.</w:t>
            </w:r>
          </w:p>
          <w:p w:rsidR="00000000" w:rsidRPr="007009CE" w:rsidP="007009CE">
            <w:pPr>
              <w:pStyle w:val="BodyText"/>
            </w:pPr>
            <w:r w:rsidRPr="007009CE">
              <w:t xml:space="preserve">Methods chosen for a particular assessment will be </w:t>
            </w:r>
            <w:r w:rsidRPr="007009CE">
              <w:t>influenced by various factors. These include the extent of the assessment, the most effective locations for the assessment activities to take place, access to physical resources, additional safety measures that may be required and the critical nature of th</w:t>
            </w:r>
            <w:r w:rsidRPr="007009CE">
              <w:t>e competencies being assessed.</w:t>
            </w:r>
          </w:p>
          <w:p w:rsidR="00000000" w:rsidRPr="007009CE" w:rsidP="007009CE">
            <w:pPr>
              <w:pStyle w:val="BodyText"/>
            </w:pPr>
            <w:r w:rsidRPr="007009CE">
              <w:t>The critical safety nature of working with electricity, electrical equipment, gas or any other hazardous substance/material carries risk in deeming a person competent. Sources of evidence need to be 'rich' in nature to minimi</w:t>
            </w:r>
            <w:r w:rsidRPr="007009CE">
              <w:t>se error in judgment.</w:t>
            </w:r>
          </w:p>
          <w:p w:rsidR="00000000" w:rsidP="007009CE">
            <w:pPr>
              <w:pStyle w:val="BodyText"/>
              <w:rPr>
                <w:lang w:val="en-NZ"/>
              </w:rPr>
            </w:pPr>
            <w:r w:rsidRPr="007009CE">
              <w:t>Activities associated with normal everyday work influence decisions about how/how much the data gathered will contribute to its 'richness'. Some skills are more critical to safety and operational requirements while the same skills may</w:t>
            </w:r>
            <w:r w:rsidRPr="007009CE">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7009CE">
              <w:t>this Training Package.</w:t>
            </w:r>
          </w:p>
        </w:tc>
      </w:tr>
      <w:tr w:rsidTr="00976F2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9</w:t>
            </w:r>
            <w:r w:rsidRPr="007009CE">
              <w:t>.</w:t>
            </w:r>
            <w:r w:rsidRPr="007009CE">
              <w:rPr>
                <w:rStyle w:val="SpecialBold"/>
              </w:rPr>
              <w:t>2</w:t>
            </w:r>
            <w:r w:rsidRPr="007009CE">
              <w:t xml:space="preserve">) </w:t>
            </w:r>
          </w:p>
          <w:p w:rsidR="00000000" w:rsidP="007009CE">
            <w:pPr>
              <w:pStyle w:val="BodyText"/>
              <w:rPr>
                <w:lang w:val="en-NZ"/>
              </w:rPr>
            </w:pPr>
            <w:r w:rsidRPr="007009CE">
              <w:t>Before the critical aspects of evidence are considered all prerequisites must be met.</w:t>
            </w:r>
          </w:p>
        </w:tc>
      </w:tr>
      <w:tr w:rsidTr="00976F2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009CE">
            <w:pPr>
              <w:pStyle w:val="ListBullet"/>
              <w:rPr>
                <w:lang w:val="en-NZ"/>
              </w:rPr>
            </w:pPr>
            <w:r w:rsidRPr="007009CE">
              <w:t>A representative body of work performance demonstrated within the timeframes typically expected of the discipline, work function and industrial environment. In particular this shall incorporate evidence that shows a candidate is able to:</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009CE" w:rsidP="007009CE">
            <w:pPr>
              <w:pStyle w:val="ListBullet2"/>
            </w:pPr>
            <w:r w:rsidRPr="007009CE">
              <w:t>Implement Occupational Health and Safety workplace procedures and practices including the use of risk control measures as specified in the performance criteria and range statement</w:t>
            </w:r>
          </w:p>
          <w:p w:rsidR="00000000" w:rsidRPr="007009CE" w:rsidP="007009CE">
            <w:pPr>
              <w:pStyle w:val="ListBullet2"/>
            </w:pPr>
            <w:r w:rsidRPr="007009CE">
              <w:t>Apply sustainable energy principles and practices as specified in the perfor</w:t>
            </w:r>
            <w:r w:rsidRPr="007009CE">
              <w:t>mance criteria and range statement</w:t>
            </w:r>
          </w:p>
          <w:p w:rsidR="00000000" w:rsidRPr="007009CE" w:rsidP="007009CE">
            <w:pPr>
              <w:pStyle w:val="ListBullet2"/>
            </w:pPr>
            <w:r w:rsidRPr="007009CE">
              <w:t>Demonstrate an understanding of the essential knowledge and associated skills as described in this unit.  It may be required by some jurisdictions that RTOs provide a percentile graded result for the purpose of regulatory</w:t>
            </w:r>
            <w:r w:rsidRPr="007009CE">
              <w:t xml:space="preserve"> or licensing requirements.</w:t>
            </w:r>
          </w:p>
          <w:p w:rsidR="00000000" w:rsidRPr="007009CE" w:rsidP="007009CE">
            <w:pPr>
              <w:pStyle w:val="ListBullet2"/>
            </w:pPr>
            <w:r w:rsidRPr="007009CE">
              <w:t>Demonstrate an appropriate level of skills enabling employment</w:t>
            </w:r>
          </w:p>
          <w:p w:rsidR="00000000" w:rsidP="007009CE">
            <w:pPr>
              <w:pStyle w:val="ListBullet2"/>
              <w:rPr>
                <w:lang w:val="en-NZ"/>
              </w:rPr>
            </w:pPr>
            <w:r w:rsidRPr="007009CE">
              <w:t>Conduct work observing the relevant Anti Discrimination legislation, regulations, polices and workplace procedures</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009CE">
            <w:pPr>
              <w:pStyle w:val="ListBullet"/>
              <w:rPr>
                <w:lang w:val="en-NZ"/>
              </w:rPr>
            </w:pPr>
            <w:r w:rsidRPr="007009CE">
              <w:t xml:space="preserve">Demonstrated consistent performance across a </w:t>
            </w:r>
            <w:r w:rsidRPr="007009CE">
              <w:t>representative range of contexts from the prescribed items below:</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009CE">
            <w:pPr>
              <w:pStyle w:val="ListBullet2"/>
              <w:rPr>
                <w:lang w:val="en-NZ"/>
              </w:rPr>
            </w:pPr>
            <w:r w:rsidRPr="007009CE">
              <w:t>Manage refrigeration and air conditioning projects as described in 8) and including:</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A</w:t>
            </w:r>
          </w:p>
        </w:tc>
        <w:tc>
          <w:tcPr>
            <w:tcW w:w="50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Establishing the scope of the project accurately,</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B</w:t>
            </w:r>
          </w:p>
        </w:tc>
        <w:tc>
          <w:tcPr>
            <w:tcW w:w="50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Ascertaining the input a project</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C</w:t>
            </w:r>
          </w:p>
        </w:tc>
        <w:tc>
          <w:tcPr>
            <w:tcW w:w="50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Developing effective management processes,</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D</w:t>
            </w:r>
          </w:p>
        </w:tc>
        <w:tc>
          <w:tcPr>
            <w:tcW w:w="50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Managing resources and variations effectively</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E</w:t>
            </w:r>
          </w:p>
        </w:tc>
        <w:tc>
          <w:tcPr>
            <w:tcW w:w="50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Resolving conflicts</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F</w:t>
            </w:r>
          </w:p>
        </w:tc>
        <w:tc>
          <w:tcPr>
            <w:tcW w:w="50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Adopting risk management strategies</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G</w:t>
            </w:r>
          </w:p>
        </w:tc>
        <w:tc>
          <w:tcPr>
            <w:tcW w:w="50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Maintaining records and submitting progress reports</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H</w:t>
            </w:r>
          </w:p>
        </w:tc>
        <w:tc>
          <w:tcPr>
            <w:tcW w:w="50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Meeting project outcomes</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I</w:t>
            </w:r>
          </w:p>
        </w:tc>
        <w:tc>
          <w:tcPr>
            <w:tcW w:w="504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Dealing with unplanned events by drawing on essential knowledge and skills to provide appropriate solutions incorporated in the holistic assessment with the above listed items</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 xml:space="preserve">Note: </w:t>
            </w:r>
            <w:r w:rsidRPr="007009CE">
              <w:br/>
              <w:t>Successful completion of relevant vendor training may be used to contri</w:t>
            </w:r>
            <w:r w:rsidRPr="007009CE">
              <w:t>bute to evidence on which competency is deemed. In these cases the alignment of outcomes of vendor training with performance criteria and critical aspects of evidence shall be clearly identified.</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9</w:t>
            </w:r>
            <w:r w:rsidRPr="007009CE">
              <w:t>.</w:t>
            </w:r>
            <w:r w:rsidRPr="007009CE">
              <w:rPr>
                <w:rStyle w:val="SpecialBold"/>
              </w:rPr>
              <w:t>3</w:t>
            </w:r>
            <w:r w:rsidRPr="007009CE">
              <w:t xml:space="preserve">) </w:t>
            </w:r>
          </w:p>
          <w:p w:rsidR="00000000" w:rsidRPr="007009CE" w:rsidP="007009CE">
            <w:pPr>
              <w:pStyle w:val="BodyText"/>
            </w:pPr>
            <w:r w:rsidRPr="007009CE">
              <w:t>This unit should be assessed as it relates to normal work practice using procedures, information and resources typical of a workplace. This should include:</w:t>
            </w:r>
          </w:p>
          <w:p w:rsidR="00000000" w:rsidRPr="007009CE" w:rsidP="007009CE">
            <w:pPr>
              <w:pStyle w:val="ListBullet"/>
            </w:pPr>
            <w:r w:rsidRPr="007009CE">
              <w:t>OHS policy and work procedures and instructions.</w:t>
            </w:r>
          </w:p>
          <w:p w:rsidR="00000000" w:rsidRPr="007009CE" w:rsidP="007009CE">
            <w:pPr>
              <w:pStyle w:val="ListBullet"/>
            </w:pPr>
            <w:r w:rsidRPr="007009CE">
              <w:t>Suitable work environment, facilities, equipment a</w:t>
            </w:r>
            <w:r w:rsidRPr="007009CE">
              <w:t>nd materials to undertake actual work as prescribed by this unit.</w:t>
            </w:r>
          </w:p>
          <w:p w:rsidR="00000000" w:rsidRPr="007009CE" w:rsidP="007009CE">
            <w:pPr>
              <w:pStyle w:val="BodyText"/>
            </w:pPr>
            <w:r w:rsidRPr="007009CE">
              <w:t>These should be part of the formal learning/assessment environment.</w:t>
            </w:r>
          </w:p>
          <w:p w:rsidR="00000000" w:rsidRPr="007009CE" w:rsidP="007009CE">
            <w:pPr>
              <w:pStyle w:val="BodyText"/>
            </w:pPr>
            <w:r w:rsidRPr="007009CE">
              <w:t>Note:</w:t>
            </w:r>
          </w:p>
          <w:p w:rsidR="00000000" w:rsidP="007009CE">
            <w:pPr>
              <w:pStyle w:val="BodyText"/>
              <w:rPr>
                <w:lang w:val="en-NZ"/>
              </w:rPr>
            </w:pPr>
            <w:r w:rsidRPr="007009CE">
              <w:t>Where simulation is considered a suitable strategy for assessment, conditions must be authentic and as far as possib</w:t>
            </w:r>
            <w:r w:rsidRPr="007009CE">
              <w:t>le reproduce and replicate the workplace and be consistent with the approved industry simulation policy.</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Evidence should show demonstrated competency in managing refrigeration and air conditioning projects</w:t>
            </w:r>
          </w:p>
        </w:tc>
      </w:tr>
      <w:tr w:rsidTr="00976F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9</w:t>
            </w:r>
            <w:r w:rsidRPr="007009CE">
              <w:t>.</w:t>
            </w:r>
            <w:r w:rsidRPr="007009CE">
              <w:rPr>
                <w:rStyle w:val="SpecialBold"/>
              </w:rPr>
              <w:t>4</w:t>
            </w:r>
            <w:r w:rsidRPr="007009CE">
              <w:t xml:space="preserve">) </w:t>
            </w:r>
          </w:p>
          <w:p w:rsidR="00000000" w:rsidRPr="007009CE" w:rsidP="007009CE">
            <w:pPr>
              <w:pStyle w:val="BodyText"/>
            </w:pPr>
            <w:r w:rsidRPr="007009CE">
              <w:t>This unit shall be assessed by methods given in Volume 1, Part 3 'Assessment Guidelines'.</w:t>
            </w:r>
          </w:p>
          <w:p w:rsidR="00000000" w:rsidP="007009CE">
            <w:pPr>
              <w:pStyle w:val="BodyText"/>
              <w:rPr>
                <w:lang w:val="en-NZ"/>
              </w:rPr>
            </w:pPr>
            <w:r w:rsidRPr="007009CE">
              <w:t xml:space="preserve">Note: </w:t>
            </w:r>
            <w:r w:rsidRPr="007009CE">
              <w:br/>
              <w:t>Competent performance with inherent safe working practices is expected in the Industry to which this unit applies. This requires assessment in a structured env</w:t>
            </w:r>
            <w:r w:rsidRPr="007009CE">
              <w:t>ironment which is intended primarily for learning/assessment and incorporates all necessary equipment and facilities for learners to develop and demonstrate the essential knowledge and skills described in this unit.</w:t>
            </w:r>
          </w:p>
        </w:tc>
      </w:tr>
      <w:tr w:rsidTr="00976F2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Concurrent assessment and relationshi</w:t>
            </w:r>
            <w:r w:rsidRPr="007009CE">
              <w:rPr>
                <w:rStyle w:val="SpecialBold"/>
              </w:rPr>
              <w:t>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9</w:t>
            </w:r>
            <w:r w:rsidRPr="007009CE">
              <w:t>.</w:t>
            </w:r>
            <w:r w:rsidRPr="007009CE">
              <w:rPr>
                <w:rStyle w:val="SpecialBold"/>
              </w:rPr>
              <w:t>5</w:t>
            </w:r>
            <w:r w:rsidRPr="007009CE">
              <w:t>)</w:t>
            </w:r>
          </w:p>
        </w:tc>
      </w:tr>
      <w:tr w:rsidTr="00976F2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There are no concurrent assessment recommendations for this unit.</w:t>
            </w:r>
          </w:p>
        </w:tc>
      </w:tr>
    </w:tbl>
    <w:p w:rsidR="00976F2E" w:rsidP="007009CE">
      <w:pPr>
        <w:pStyle w:val="BodyText"/>
      </w:pPr>
    </w:p>
    <w:p w:rsidR="00976F2E" w:rsidP="007009CE">
      <w:pPr>
        <w:pStyle w:val="BodyText"/>
      </w:pPr>
    </w:p>
    <w:p w:rsidR="00000000" w:rsidRPr="007009CE" w:rsidP="007009CE">
      <w:pPr>
        <w:pStyle w:val="Heading1"/>
      </w:pPr>
      <w:bookmarkStart w:id="11" w:name="O_438922"/>
      <w:bookmarkEnd w:id="11"/>
      <w:r w:rsidRPr="007009CE">
        <w:t>Range Statement</w:t>
      </w:r>
    </w:p>
    <w:tbl>
      <w:tblPr>
        <w:tblW w:w="0" w:type="auto"/>
        <w:tblLayout w:type="fixed"/>
        <w:tblCellMar>
          <w:left w:w="62" w:type="dxa"/>
          <w:right w:w="62" w:type="dxa"/>
        </w:tblCellMar>
        <w:tblLook w:val="0000"/>
      </w:tblPr>
      <w:tblGrid>
        <w:gridCol w:w="8460"/>
      </w:tblGrid>
      <w:tr w:rsidTr="00976F2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RANGE STATEMENT</w:t>
            </w:r>
          </w:p>
        </w:tc>
      </w:tr>
      <w:tr w:rsidTr="00976F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8</w:t>
            </w:r>
            <w:r w:rsidRPr="007009CE">
              <w:t xml:space="preserve">) This relates to the unit as a whole providing the range of contexts and conditions to which the </w:t>
            </w:r>
            <w:r w:rsidRPr="007009CE">
              <w:t>performance criteria apply. It allows for different work environments and situations that will affect performance.</w:t>
            </w:r>
          </w:p>
        </w:tc>
      </w:tr>
      <w:tr w:rsidTr="00976F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This unit must be demonstrated in relation to managing an industry accepted medium sized refrigeration or air conditioning project.</w:t>
            </w:r>
          </w:p>
        </w:tc>
      </w:tr>
      <w:tr w:rsidTr="00976F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Generic</w:t>
            </w:r>
            <w:r w:rsidRPr="007009CE">
              <w:t xml:space="preserve"> terms used throughout this Vocational Standard shall be regarded as part of the Range Statement in which competency is demonstrated. The definition of these and other terms that apply are given in Volume 2, Part 2.1.</w:t>
            </w:r>
          </w:p>
        </w:tc>
      </w:tr>
    </w:tbl>
    <w:p w:rsidR="00976F2E" w:rsidP="007009CE">
      <w:pPr>
        <w:pStyle w:val="BodyText"/>
      </w:pPr>
    </w:p>
    <w:p w:rsidR="00976F2E" w:rsidP="007009CE">
      <w:pPr>
        <w:pStyle w:val="BodyText"/>
      </w:pPr>
    </w:p>
    <w:p w:rsidR="00000000" w:rsidRPr="007009CE" w:rsidP="007009CE">
      <w:pPr>
        <w:pStyle w:val="Heading1"/>
      </w:pPr>
      <w:bookmarkStart w:id="12" w:name="O_438918"/>
      <w:bookmarkEnd w:id="12"/>
      <w:r w:rsidRPr="007009CE">
        <w:t>Unit Sector(s)</w:t>
      </w:r>
    </w:p>
    <w:p w:rsidR="00000000" w:rsidRPr="007009CE" w:rsidP="007009CE">
      <w:pPr>
        <w:pStyle w:val="BodyText"/>
      </w:pPr>
      <w:r w:rsidRPr="007009CE">
        <w:t>No</w:t>
      </w:r>
      <w:r w:rsidRPr="007009CE">
        <w:t>t Applicable</w:t>
      </w:r>
    </w:p>
    <w:p w:rsidR="00000000" w:rsidRPr="007009CE" w:rsidP="007009CE">
      <w:pPr>
        <w:pStyle w:val="AllowPageBreak"/>
      </w:pPr>
    </w:p>
    <w:p w:rsidR="00000000" w:rsidRPr="007009CE" w:rsidP="007009CE">
      <w:pPr>
        <w:pStyle w:val="Heading1"/>
      </w:pPr>
      <w:bookmarkStart w:id="13" w:name="O_438931"/>
      <w:bookmarkEnd w:id="13"/>
      <w:r w:rsidRPr="007009C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76F2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2</w:t>
            </w:r>
            <w:r w:rsidRPr="007009CE">
              <w:t>.</w:t>
            </w:r>
            <w:r w:rsidRPr="007009CE">
              <w:rPr>
                <w:rStyle w:val="SpecialBold"/>
              </w:rPr>
              <w:t>2</w:t>
            </w:r>
            <w:r w:rsidRPr="007009CE">
              <w:t xml:space="preserve">) </w:t>
            </w:r>
            <w:r w:rsidRPr="007009CE">
              <w:rPr>
                <w:rStyle w:val="SpecialBold"/>
              </w:rPr>
              <w:t>Literacy and numeracy skills</w:t>
            </w:r>
          </w:p>
          <w:p w:rsidR="00000000" w:rsidP="007009CE">
            <w:pPr>
              <w:pStyle w:val="BodyText"/>
              <w:rPr>
                <w:lang w:val="en-NZ"/>
              </w:rPr>
            </w:pPr>
            <w:r w:rsidRPr="007009CE">
              <w:t>Participants are best equipped to achieve competency in this unit if they have reading, writing and numeracy skills indicated by the following scales. Description of each scal</w:t>
            </w:r>
            <w:r w:rsidRPr="007009CE">
              <w:t>e is given in Volume 2, Part 3 'Literacy and Numeracy'</w:t>
            </w:r>
          </w:p>
        </w:tc>
      </w:tr>
      <w:tr w:rsidTr="00976F2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Reading</w:t>
            </w:r>
          </w:p>
        </w:tc>
        <w:tc>
          <w:tcPr>
            <w:tcW w:w="1182"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3</w:t>
            </w:r>
          </w:p>
        </w:tc>
        <w:tc>
          <w:tcPr>
            <w:tcW w:w="1739"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Writing</w:t>
            </w:r>
          </w:p>
        </w:tc>
        <w:tc>
          <w:tcPr>
            <w:tcW w:w="1182"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3</w:t>
            </w:r>
          </w:p>
        </w:tc>
        <w:tc>
          <w:tcPr>
            <w:tcW w:w="1721"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t>Numeracy</w:t>
            </w:r>
          </w:p>
        </w:tc>
        <w:tc>
          <w:tcPr>
            <w:tcW w:w="1182"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3</w:t>
            </w:r>
          </w:p>
        </w:tc>
      </w:tr>
    </w:tbl>
    <w:p w:rsidR="00976F2E" w:rsidP="007009CE">
      <w:pPr>
        <w:pStyle w:val="BodyText"/>
      </w:pPr>
    </w:p>
    <w:p w:rsidR="00976F2E" w:rsidP="007009CE">
      <w:pPr>
        <w:pStyle w:val="BodyText"/>
      </w:pPr>
    </w:p>
    <w:p w:rsidR="00000000" w:rsidRPr="007009CE" w:rsidP="007009CE">
      <w:pPr>
        <w:pStyle w:val="Heading1"/>
      </w:pPr>
      <w:bookmarkStart w:id="14" w:name="O_438933"/>
      <w:bookmarkEnd w:id="14"/>
      <w:r w:rsidRPr="007009CE">
        <w:t>2.2) Literacy and numeracy skills</w:t>
      </w:r>
    </w:p>
    <w:tbl>
      <w:tblPr>
        <w:tblW w:w="0" w:type="auto"/>
        <w:tblLayout w:type="fixed"/>
        <w:tblCellMar>
          <w:left w:w="62" w:type="dxa"/>
          <w:right w:w="62" w:type="dxa"/>
        </w:tblCellMar>
        <w:tblLook w:val="0000"/>
      </w:tblPr>
      <w:tblGrid>
        <w:gridCol w:w="2700"/>
        <w:gridCol w:w="5760"/>
      </w:tblGrid>
      <w:tr w:rsidTr="00976F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009CE">
            <w:pPr>
              <w:pStyle w:val="BodyText"/>
              <w:rPr>
                <w:lang w:val="en-NZ"/>
              </w:rPr>
            </w:pPr>
            <w:r w:rsidRPr="007009CE">
              <w:rPr>
                <w:rStyle w:val="SpecialBold"/>
              </w:rPr>
              <w:t>5</w:t>
            </w:r>
            <w:r w:rsidRPr="007009CE">
              <w:t>)</w:t>
            </w:r>
          </w:p>
        </w:tc>
      </w:tr>
      <w:tr w:rsidTr="00976F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9CE" w:rsidP="007009CE">
            <w:pPr>
              <w:pStyle w:val="BodyText"/>
            </w:pPr>
            <w:r w:rsidRPr="007009CE">
              <w:t>Refrigeration and Air Conditioning</w:t>
            </w:r>
          </w:p>
        </w:tc>
      </w:tr>
    </w:tbl>
    <w:p w:rsidR="00976F2E" w:rsidP="007009CE">
      <w:pPr>
        <w:pStyle w:val="BodyText"/>
      </w:pPr>
    </w:p>
    <w:p w:rsidR="00976F2E" w:rsidP="007009CE">
      <w:pPr>
        <w:pStyle w:val="BodyText"/>
      </w:pPr>
    </w:p>
    <w:p w:rsidR="00000000" w:rsidRPr="007009CE" w:rsidP="007009CE"/>
    <w:sectPr w:rsidSect="007009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F2E" w:rsidP="00976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2E" w:rsidP="00700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76F2E" w:rsidP="007009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76F2E" w:rsidP="007009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F2E" w:rsidP="00976F2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2E" w:rsidP="007009CE">
    <w:pPr>
      <w:pStyle w:val="Header"/>
      <w:framePr w:wrap="around"/>
    </w:pPr>
    <w:r>
      <w:fldChar w:fldCharType="begin"/>
    </w:r>
    <w:r>
      <w:instrText xml:space="preserve"> TITLE   \* MERGEFORMAT </w:instrText>
    </w:r>
    <w:r>
      <w:fldChar w:fldCharType="separate"/>
    </w:r>
    <w:r>
      <w:t>UEENEEJ040B Manage refrigeration and air conditioning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6F2E" w:rsidP="007009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65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3E2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C7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9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09CE"/>
    <w:pPr>
      <w:spacing w:before="360" w:after="60"/>
      <w:outlineLvl w:val="0"/>
    </w:pPr>
    <w:rPr>
      <w:sz w:val="32"/>
    </w:rPr>
  </w:style>
  <w:style w:type="paragraph" w:styleId="Heading2">
    <w:name w:val="heading 2"/>
    <w:basedOn w:val="HeadingBase"/>
    <w:next w:val="BodyText"/>
    <w:link w:val="Heading2Char"/>
    <w:qFormat/>
    <w:rsid w:val="007009CE"/>
    <w:pPr>
      <w:keepLines/>
      <w:spacing w:before="240" w:after="120"/>
      <w:outlineLvl w:val="1"/>
    </w:pPr>
    <w:rPr>
      <w:sz w:val="28"/>
      <w:szCs w:val="40"/>
    </w:rPr>
  </w:style>
  <w:style w:type="paragraph" w:styleId="Heading3">
    <w:name w:val="heading 3"/>
    <w:basedOn w:val="HeadingBase"/>
    <w:next w:val="BodyText"/>
    <w:link w:val="Heading3Char"/>
    <w:qFormat/>
    <w:rsid w:val="007009CE"/>
    <w:pPr>
      <w:spacing w:before="180" w:after="120"/>
      <w:outlineLvl w:val="2"/>
    </w:pPr>
    <w:rPr>
      <w:spacing w:val="-10"/>
      <w:kern w:val="32"/>
    </w:rPr>
  </w:style>
  <w:style w:type="paragraph" w:styleId="Heading4">
    <w:name w:val="heading 4"/>
    <w:basedOn w:val="HeadingBase"/>
    <w:next w:val="BodyText"/>
    <w:link w:val="Heading4Char"/>
    <w:qFormat/>
    <w:rsid w:val="007009CE"/>
    <w:pPr>
      <w:spacing w:before="160" w:after="120"/>
      <w:outlineLvl w:val="3"/>
    </w:pPr>
    <w:rPr>
      <w:sz w:val="22"/>
    </w:rPr>
  </w:style>
  <w:style w:type="paragraph" w:styleId="Heading5">
    <w:name w:val="heading 5"/>
    <w:basedOn w:val="HeadingBase"/>
    <w:next w:val="Normal"/>
    <w:link w:val="Heading5Char"/>
    <w:qFormat/>
    <w:rsid w:val="007009CE"/>
    <w:pPr>
      <w:spacing w:before="80"/>
      <w:outlineLvl w:val="4"/>
    </w:pPr>
    <w:rPr>
      <w:color w:val="918585"/>
      <w:sz w:val="20"/>
    </w:rPr>
  </w:style>
  <w:style w:type="paragraph" w:styleId="Heading6">
    <w:name w:val="heading 6"/>
    <w:basedOn w:val="HeadingBase"/>
    <w:next w:val="Normal"/>
    <w:link w:val="Heading6Char"/>
    <w:qFormat/>
    <w:rsid w:val="007009CE"/>
    <w:pPr>
      <w:spacing w:before="60"/>
      <w:outlineLvl w:val="5"/>
    </w:pPr>
    <w:rPr>
      <w:color w:val="918585"/>
      <w:sz w:val="20"/>
    </w:rPr>
  </w:style>
  <w:style w:type="paragraph" w:styleId="Heading7">
    <w:name w:val="heading 7"/>
    <w:basedOn w:val="Normal"/>
    <w:next w:val="Normal"/>
    <w:link w:val="Heading7Char"/>
    <w:qFormat/>
    <w:rsid w:val="007009CE"/>
    <w:pPr>
      <w:ind w:left="720"/>
      <w:outlineLvl w:val="6"/>
    </w:pPr>
    <w:rPr>
      <w:i/>
    </w:rPr>
  </w:style>
  <w:style w:type="paragraph" w:styleId="Heading8">
    <w:name w:val="heading 8"/>
    <w:basedOn w:val="Normal"/>
    <w:next w:val="Normal"/>
    <w:link w:val="Heading8Char"/>
    <w:qFormat/>
    <w:rsid w:val="007009CE"/>
    <w:pPr>
      <w:ind w:left="720"/>
      <w:outlineLvl w:val="7"/>
    </w:pPr>
    <w:rPr>
      <w:i/>
    </w:rPr>
  </w:style>
  <w:style w:type="paragraph" w:styleId="Heading9">
    <w:name w:val="heading 9"/>
    <w:basedOn w:val="Normal"/>
    <w:next w:val="Normal"/>
    <w:link w:val="Heading9Char"/>
    <w:qFormat/>
    <w:rsid w:val="007009CE"/>
    <w:pPr>
      <w:ind w:left="720"/>
      <w:outlineLvl w:val="8"/>
    </w:pPr>
    <w:rPr>
      <w:i/>
    </w:rPr>
  </w:style>
  <w:style w:type="character" w:default="1" w:styleId="DefaultParagraphFont">
    <w:name w:val="Default Paragraph Font"/>
    <w:uiPriority w:val="1"/>
    <w:unhideWhenUsed/>
    <w:rsid w:val="00700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9CE"/>
  </w:style>
  <w:style w:type="character" w:customStyle="1" w:styleId="Heading1Char">
    <w:name w:val="Heading 1 Char"/>
    <w:link w:val="Heading1"/>
    <w:rsid w:val="007009CE"/>
    <w:rPr>
      <w:rFonts w:ascii="Times New Roman" w:eastAsia="Times New Roman" w:hAnsi="Times New Roman" w:cs="Times New Roman"/>
      <w:b/>
      <w:sz w:val="32"/>
      <w:szCs w:val="20"/>
      <w:lang w:eastAsia="en-US"/>
    </w:rPr>
  </w:style>
  <w:style w:type="paragraph" w:styleId="BodyText">
    <w:name w:val="Body Text"/>
    <w:basedOn w:val="Normal"/>
    <w:link w:val="BodyTextChar"/>
    <w:rsid w:val="007009CE"/>
    <w:pPr>
      <w:spacing w:before="120" w:after="120"/>
      <w:contextualSpacing/>
    </w:pPr>
    <w:rPr>
      <w:rFonts w:ascii="Times New Roman" w:hAnsi="Times New Roman"/>
      <w:sz w:val="24"/>
      <w:szCs w:val="22"/>
    </w:rPr>
  </w:style>
  <w:style w:type="character" w:customStyle="1" w:styleId="BodyTextChar">
    <w:name w:val="Body Text Char"/>
    <w:link w:val="BodyText"/>
    <w:rsid w:val="007009CE"/>
    <w:rPr>
      <w:rFonts w:ascii="Times New Roman" w:eastAsia="Times New Roman" w:hAnsi="Times New Roman" w:cs="Times New Roman"/>
      <w:sz w:val="24"/>
      <w:lang w:val="en-US" w:eastAsia="en-US"/>
    </w:rPr>
  </w:style>
  <w:style w:type="paragraph" w:styleId="Footer">
    <w:name w:val="footer"/>
    <w:basedOn w:val="Normal"/>
    <w:link w:val="FooterChar"/>
    <w:rsid w:val="00700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009CE"/>
    <w:rPr>
      <w:rFonts w:ascii="Times New Roman" w:eastAsia="Times New Roman" w:hAnsi="Times New Roman" w:cs="Times New Roman"/>
      <w:sz w:val="16"/>
      <w:lang w:val="en-US" w:eastAsia="en-US"/>
    </w:rPr>
  </w:style>
  <w:style w:type="paragraph" w:styleId="ListBullet">
    <w:name w:val="List Bullet"/>
    <w:basedOn w:val="List"/>
    <w:rsid w:val="007009CE"/>
    <w:pPr>
      <w:numPr>
        <w:numId w:val="13"/>
      </w:numPr>
      <w:tabs>
        <w:tab w:val="clear" w:pos="340"/>
      </w:tabs>
      <w:spacing w:before="40" w:after="40"/>
    </w:pPr>
  </w:style>
  <w:style w:type="character" w:customStyle="1" w:styleId="SpecialBold">
    <w:name w:val="Special Bold"/>
    <w:rsid w:val="007009CE"/>
    <w:rPr>
      <w:b/>
      <w:spacing w:val="0"/>
    </w:rPr>
  </w:style>
  <w:style w:type="paragraph" w:styleId="ListBullet2">
    <w:name w:val="List Bullet 2"/>
    <w:basedOn w:val="List2"/>
    <w:rsid w:val="007009CE"/>
    <w:pPr>
      <w:numPr>
        <w:numId w:val="14"/>
      </w:numPr>
      <w:tabs>
        <w:tab w:val="clear" w:pos="680"/>
      </w:tabs>
    </w:pPr>
  </w:style>
  <w:style w:type="paragraph" w:styleId="Header">
    <w:name w:val="header"/>
    <w:basedOn w:val="Normal"/>
    <w:link w:val="HeaderChar"/>
    <w:rsid w:val="00700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009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09CE"/>
    <w:pPr>
      <w:spacing w:before="240" w:after="120"/>
      <w:outlineLvl w:val="0"/>
    </w:pPr>
    <w:rPr>
      <w:rFonts w:ascii="Times New Roman" w:hAnsi="Times New Roman"/>
      <w:b/>
      <w:sz w:val="28"/>
    </w:rPr>
  </w:style>
  <w:style w:type="paragraph" w:customStyle="1" w:styleId="AllowPageBreak">
    <w:name w:val="AllowPageBreak"/>
    <w:rsid w:val="007009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009CE"/>
    <w:rPr>
      <w:rFonts w:ascii="Times New Roman" w:eastAsia="Times New Roman" w:hAnsi="Times New Roman" w:cs="Times New Roman"/>
      <w:b/>
      <w:sz w:val="28"/>
      <w:szCs w:val="40"/>
      <w:lang w:eastAsia="en-US"/>
    </w:rPr>
  </w:style>
  <w:style w:type="character" w:customStyle="1" w:styleId="Heading3Char">
    <w:name w:val="Heading 3 Char"/>
    <w:link w:val="Heading3"/>
    <w:rsid w:val="007009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009CE"/>
    <w:rPr>
      <w:rFonts w:ascii="Times New Roman" w:eastAsia="Times New Roman" w:hAnsi="Times New Roman" w:cs="Times New Roman"/>
      <w:b/>
      <w:szCs w:val="20"/>
      <w:lang w:eastAsia="en-US"/>
    </w:rPr>
  </w:style>
  <w:style w:type="character" w:customStyle="1" w:styleId="Heading5Char">
    <w:name w:val="Heading 5 Char"/>
    <w:link w:val="Heading5"/>
    <w:rsid w:val="007009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00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9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09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09CE"/>
    <w:rPr>
      <w:rFonts w:ascii="Courier New" w:eastAsia="Times New Roman" w:hAnsi="Courier New" w:cs="Times New Roman"/>
      <w:i/>
      <w:szCs w:val="20"/>
      <w:lang w:val="en-US" w:eastAsia="en-US"/>
    </w:rPr>
  </w:style>
  <w:style w:type="paragraph" w:customStyle="1" w:styleId="HeadingBase">
    <w:name w:val="Heading Base"/>
    <w:rsid w:val="00700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9CE"/>
    <w:pPr>
      <w:tabs>
        <w:tab w:val="right" w:leader="dot" w:pos="9072"/>
      </w:tabs>
      <w:ind w:left="567"/>
    </w:pPr>
    <w:rPr>
      <w:szCs w:val="22"/>
    </w:rPr>
  </w:style>
  <w:style w:type="paragraph" w:customStyle="1" w:styleId="TOCBase">
    <w:name w:val="TOC Base"/>
    <w:rsid w:val="00700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9CE"/>
    <w:pPr>
      <w:tabs>
        <w:tab w:val="right" w:leader="dot" w:pos="9072"/>
      </w:tabs>
      <w:spacing w:before="40" w:after="40"/>
      <w:ind w:left="284"/>
    </w:pPr>
    <w:rPr>
      <w:rFonts w:ascii="Times New Roman" w:hAnsi="Times New Roman"/>
    </w:rPr>
  </w:style>
  <w:style w:type="paragraph" w:styleId="TOC1">
    <w:name w:val="toc 1"/>
    <w:basedOn w:val="TOCBase"/>
    <w:next w:val="Normal"/>
    <w:rsid w:val="007009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09CE"/>
    <w:pPr>
      <w:spacing w:before="5040"/>
      <w:jc w:val="center"/>
    </w:pPr>
    <w:rPr>
      <w:sz w:val="48"/>
      <w:szCs w:val="72"/>
      <w:lang w:val="en-US"/>
    </w:rPr>
  </w:style>
  <w:style w:type="character" w:customStyle="1" w:styleId="TitleChar">
    <w:name w:val="Title Char"/>
    <w:link w:val="Title"/>
    <w:rsid w:val="00700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9CE"/>
    <w:pPr>
      <w:tabs>
        <w:tab w:val="left" w:pos="3600"/>
        <w:tab w:val="left" w:pos="3958"/>
      </w:tabs>
    </w:pPr>
  </w:style>
  <w:style w:type="paragraph" w:styleId="List">
    <w:name w:val="List"/>
    <w:basedOn w:val="BodyText"/>
    <w:next w:val="BodyText"/>
    <w:rsid w:val="007009CE"/>
    <w:pPr>
      <w:tabs>
        <w:tab w:val="left" w:pos="340"/>
      </w:tabs>
      <w:spacing w:before="60" w:after="60"/>
      <w:ind w:left="340" w:hanging="340"/>
    </w:pPr>
  </w:style>
  <w:style w:type="paragraph" w:customStyle="1" w:styleId="Note">
    <w:name w:val="Note"/>
    <w:basedOn w:val="BodyText"/>
    <w:rsid w:val="00700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9CE"/>
    <w:pPr>
      <w:framePr w:wrap="auto" w:hAnchor="text" w:y="6049"/>
    </w:pPr>
    <w:rPr>
      <w:color w:val="000000"/>
      <w:sz w:val="40"/>
    </w:rPr>
  </w:style>
  <w:style w:type="paragraph" w:customStyle="1" w:styleId="TOCTitle">
    <w:name w:val="TOCTitle"/>
    <w:basedOn w:val="Heading1"/>
    <w:rsid w:val="007009CE"/>
    <w:pPr>
      <w:spacing w:after="240"/>
      <w:jc w:val="center"/>
      <w:outlineLvl w:val="9"/>
    </w:pPr>
    <w:rPr>
      <w:caps/>
    </w:rPr>
  </w:style>
  <w:style w:type="paragraph" w:customStyle="1" w:styleId="Version">
    <w:name w:val="Version"/>
    <w:rsid w:val="00700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9CE"/>
    <w:pPr>
      <w:keepNext w:val="0"/>
      <w:tabs>
        <w:tab w:val="right" w:pos="4176"/>
      </w:tabs>
      <w:ind w:left="198" w:hanging="198"/>
    </w:pPr>
    <w:rPr>
      <w:rFonts w:ascii="Garamond" w:hAnsi="Garamond"/>
    </w:rPr>
  </w:style>
  <w:style w:type="paragraph" w:styleId="IndexHeading">
    <w:name w:val="index heading"/>
    <w:basedOn w:val="Normal"/>
    <w:next w:val="Index1"/>
    <w:semiHidden/>
    <w:rsid w:val="007009CE"/>
    <w:pPr>
      <w:spacing w:before="120" w:after="120"/>
    </w:pPr>
    <w:rPr>
      <w:rFonts w:ascii="Arial" w:hAnsi="Arial"/>
      <w:b/>
      <w:color w:val="918585"/>
      <w:sz w:val="24"/>
    </w:rPr>
  </w:style>
  <w:style w:type="paragraph" w:customStyle="1" w:styleId="Chapter">
    <w:name w:val="Chapter"/>
    <w:basedOn w:val="Normal"/>
    <w:rsid w:val="007009CE"/>
    <w:pPr>
      <w:spacing w:before="240"/>
    </w:pPr>
    <w:rPr>
      <w:rFonts w:ascii="Times New Roman" w:hAnsi="Times New Roman"/>
      <w:smallCaps/>
      <w:spacing w:val="80"/>
      <w:sz w:val="28"/>
    </w:rPr>
  </w:style>
  <w:style w:type="paragraph" w:customStyle="1" w:styleId="InChapter">
    <w:name w:val="InChapter"/>
    <w:basedOn w:val="Heading3"/>
    <w:rsid w:val="007009CE"/>
    <w:pPr>
      <w:spacing w:after="240"/>
      <w:outlineLvl w:val="9"/>
    </w:pPr>
    <w:rPr>
      <w:noProof/>
    </w:rPr>
  </w:style>
  <w:style w:type="paragraph" w:styleId="Index2">
    <w:name w:val="index 2"/>
    <w:basedOn w:val="Normal"/>
    <w:next w:val="Normal"/>
    <w:semiHidden/>
    <w:rsid w:val="007009CE"/>
    <w:pPr>
      <w:tabs>
        <w:tab w:val="right" w:pos="4176"/>
      </w:tabs>
      <w:ind w:left="568" w:hanging="284"/>
    </w:pPr>
    <w:rPr>
      <w:rFonts w:ascii="Garamond" w:hAnsi="Garamond"/>
    </w:rPr>
  </w:style>
  <w:style w:type="paragraph" w:customStyle="1" w:styleId="Byline">
    <w:name w:val="Byline"/>
    <w:rsid w:val="00700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9CE"/>
    <w:pPr>
      <w:tabs>
        <w:tab w:val="clear" w:pos="3600"/>
        <w:tab w:val="clear" w:pos="3958"/>
      </w:tabs>
      <w:jc w:val="right"/>
    </w:pPr>
  </w:style>
  <w:style w:type="character" w:styleId="Emphasis">
    <w:name w:val="Emphasis"/>
    <w:qFormat/>
    <w:rsid w:val="007009CE"/>
    <w:rPr>
      <w:i/>
    </w:rPr>
  </w:style>
  <w:style w:type="paragraph" w:styleId="Caption">
    <w:name w:val="caption"/>
    <w:basedOn w:val="BodyText"/>
    <w:next w:val="Normal"/>
    <w:qFormat/>
    <w:rsid w:val="007009CE"/>
    <w:pPr>
      <w:framePr w:w="2268" w:hSpace="181" w:vSpace="181" w:wrap="around" w:vAnchor="text" w:hAnchor="page" w:x="1135" w:y="285" w:anchorLock="1"/>
    </w:pPr>
    <w:rPr>
      <w:i/>
    </w:rPr>
  </w:style>
  <w:style w:type="paragraph" w:customStyle="1" w:styleId="MiniTOCTitle">
    <w:name w:val="MiniTOCTitle"/>
    <w:basedOn w:val="Heading4"/>
    <w:rsid w:val="007009CE"/>
    <w:pPr>
      <w:spacing w:before="240"/>
      <w:outlineLvl w:val="9"/>
    </w:pPr>
    <w:rPr>
      <w:noProof/>
      <w:sz w:val="24"/>
    </w:rPr>
  </w:style>
  <w:style w:type="paragraph" w:customStyle="1" w:styleId="MiniTOCItem">
    <w:name w:val="MiniTOCItem"/>
    <w:basedOn w:val="ListBullet"/>
    <w:rsid w:val="007009CE"/>
    <w:pPr>
      <w:numPr>
        <w:numId w:val="0"/>
      </w:numPr>
      <w:tabs>
        <w:tab w:val="right" w:leader="dot" w:pos="6521"/>
      </w:tabs>
      <w:spacing w:before="0" w:after="0"/>
    </w:pPr>
  </w:style>
  <w:style w:type="paragraph" w:customStyle="1" w:styleId="TOFTitle">
    <w:name w:val="TOFTitle"/>
    <w:basedOn w:val="TOCTitle"/>
    <w:rsid w:val="007009CE"/>
  </w:style>
  <w:style w:type="paragraph" w:styleId="TableofFigures">
    <w:name w:val="table of figures"/>
    <w:basedOn w:val="Normal"/>
    <w:next w:val="Normal"/>
    <w:semiHidden/>
    <w:rsid w:val="007009CE"/>
    <w:pPr>
      <w:tabs>
        <w:tab w:val="right" w:leader="dot" w:pos="9072"/>
      </w:tabs>
      <w:ind w:left="970" w:hanging="403"/>
    </w:pPr>
    <w:rPr>
      <w:rFonts w:ascii="Times New Roman" w:hAnsi="Times New Roman"/>
      <w:b/>
    </w:rPr>
  </w:style>
  <w:style w:type="paragraph" w:styleId="ListNumber">
    <w:name w:val="List Number"/>
    <w:basedOn w:val="List"/>
    <w:rsid w:val="007009CE"/>
    <w:pPr>
      <w:numPr>
        <w:numId w:val="11"/>
      </w:numPr>
    </w:pPr>
  </w:style>
  <w:style w:type="character" w:customStyle="1" w:styleId="WingdingSymbols">
    <w:name w:val="Wingding Symbols"/>
    <w:rsid w:val="007009CE"/>
    <w:rPr>
      <w:rFonts w:ascii="Wingdings" w:hAnsi="Wingdings"/>
    </w:rPr>
  </w:style>
  <w:style w:type="paragraph" w:customStyle="1" w:styleId="TableHeading">
    <w:name w:val="Table Heading"/>
    <w:basedOn w:val="HeadingBase"/>
    <w:rsid w:val="007009CE"/>
    <w:pPr>
      <w:keepLines/>
      <w:pBdr>
        <w:bottom w:val="single" w:sz="6" w:space="1" w:color="918585"/>
      </w:pBdr>
      <w:spacing w:before="240"/>
    </w:pPr>
  </w:style>
  <w:style w:type="character" w:customStyle="1" w:styleId="HotSpot">
    <w:name w:val="HotSpot"/>
    <w:rsid w:val="007009CE"/>
    <w:rPr>
      <w:color w:val="0033CC"/>
      <w:u w:val="none"/>
    </w:rPr>
  </w:style>
  <w:style w:type="paragraph" w:customStyle="1" w:styleId="BodyTextRight">
    <w:name w:val="Body Text Right"/>
    <w:basedOn w:val="BodyText"/>
    <w:rsid w:val="007009CE"/>
    <w:pPr>
      <w:spacing w:before="0" w:after="0"/>
      <w:jc w:val="right"/>
    </w:pPr>
  </w:style>
  <w:style w:type="paragraph" w:styleId="Index3">
    <w:name w:val="index 3"/>
    <w:basedOn w:val="ListNumber2"/>
    <w:next w:val="Normal"/>
    <w:semiHidden/>
    <w:rsid w:val="007009CE"/>
    <w:pPr>
      <w:numPr>
        <w:numId w:val="0"/>
      </w:numPr>
      <w:tabs>
        <w:tab w:val="right" w:leader="dot" w:pos="4176"/>
      </w:tabs>
    </w:pPr>
  </w:style>
  <w:style w:type="paragraph" w:styleId="ListNumber2">
    <w:name w:val="List Number 2"/>
    <w:basedOn w:val="List2"/>
    <w:rsid w:val="007009CE"/>
    <w:pPr>
      <w:numPr>
        <w:numId w:val="10"/>
      </w:numPr>
      <w:tabs>
        <w:tab w:val="clear" w:pos="1060"/>
      </w:tabs>
    </w:pPr>
  </w:style>
  <w:style w:type="paragraph" w:customStyle="1" w:styleId="MarginNote">
    <w:name w:val="Margin Note"/>
    <w:basedOn w:val="BodyText"/>
    <w:rsid w:val="00700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009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09CE"/>
    <w:rPr>
      <w:sz w:val="32"/>
    </w:rPr>
  </w:style>
  <w:style w:type="paragraph" w:customStyle="1" w:styleId="HeadingProcedure">
    <w:name w:val="Heading Procedure"/>
    <w:basedOn w:val="HeadingBase"/>
    <w:next w:val="Normal"/>
    <w:rsid w:val="007009CE"/>
    <w:pPr>
      <w:tabs>
        <w:tab w:val="left" w:pos="0"/>
      </w:tabs>
      <w:spacing w:before="120" w:after="60"/>
    </w:pPr>
    <w:rPr>
      <w:i/>
      <w:color w:val="918585"/>
      <w:sz w:val="22"/>
    </w:rPr>
  </w:style>
  <w:style w:type="paragraph" w:customStyle="1" w:styleId="TableBodyText">
    <w:name w:val="Table Body Text"/>
    <w:basedOn w:val="BodyText"/>
    <w:rsid w:val="007009CE"/>
    <w:pPr>
      <w:spacing w:before="60" w:after="60"/>
    </w:pPr>
  </w:style>
  <w:style w:type="paragraph" w:styleId="ListContinue">
    <w:name w:val="List Continue"/>
    <w:basedOn w:val="List"/>
    <w:rsid w:val="007009CE"/>
    <w:pPr>
      <w:ind w:firstLine="0"/>
    </w:pPr>
  </w:style>
  <w:style w:type="paragraph" w:customStyle="1" w:styleId="ListNote">
    <w:name w:val="List Note"/>
    <w:basedOn w:val="List"/>
    <w:rsid w:val="007009CE"/>
    <w:pPr>
      <w:pBdr>
        <w:top w:val="single" w:sz="6" w:space="2" w:color="918585"/>
        <w:bottom w:val="single" w:sz="6" w:space="2" w:color="918585"/>
      </w:pBdr>
      <w:tabs>
        <w:tab w:val="left" w:pos="1021"/>
      </w:tabs>
      <w:ind w:firstLine="0"/>
    </w:pPr>
  </w:style>
  <w:style w:type="paragraph" w:customStyle="1" w:styleId="Warning">
    <w:name w:val="Warning"/>
    <w:basedOn w:val="BodyText"/>
    <w:rsid w:val="007009CE"/>
    <w:pPr>
      <w:shd w:val="clear" w:color="auto" w:fill="D9D9D9"/>
      <w:tabs>
        <w:tab w:val="left" w:pos="992"/>
      </w:tabs>
      <w:ind w:left="119" w:right="119"/>
    </w:pPr>
    <w:rPr>
      <w:sz w:val="20"/>
    </w:rPr>
  </w:style>
  <w:style w:type="paragraph" w:customStyle="1" w:styleId="MarginIcons">
    <w:name w:val="Margin Icons"/>
    <w:basedOn w:val="BodyText"/>
    <w:rsid w:val="007009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009CE"/>
    <w:rPr>
      <w:rFonts w:ascii="Courier New" w:hAnsi="Courier New"/>
    </w:rPr>
  </w:style>
  <w:style w:type="paragraph" w:customStyle="1" w:styleId="NoteBullet">
    <w:name w:val="Note Bullet"/>
    <w:basedOn w:val="Note"/>
    <w:rsid w:val="007009CE"/>
    <w:pPr>
      <w:tabs>
        <w:tab w:val="clear" w:pos="680"/>
      </w:tabs>
      <w:spacing w:before="60" w:after="60"/>
    </w:pPr>
  </w:style>
  <w:style w:type="paragraph" w:customStyle="1" w:styleId="SubHeading2">
    <w:name w:val="SubHeading2"/>
    <w:basedOn w:val="HeadingBase"/>
    <w:rsid w:val="007009CE"/>
    <w:pPr>
      <w:spacing w:before="240" w:after="60"/>
    </w:pPr>
    <w:rPr>
      <w:sz w:val="20"/>
    </w:rPr>
  </w:style>
  <w:style w:type="paragraph" w:customStyle="1" w:styleId="SubHeading1">
    <w:name w:val="SubHeading1"/>
    <w:basedOn w:val="HeadingBase"/>
    <w:rsid w:val="007009CE"/>
    <w:pPr>
      <w:spacing w:before="240" w:after="60"/>
    </w:pPr>
    <w:rPr>
      <w:color w:val="918585"/>
      <w:sz w:val="22"/>
    </w:rPr>
  </w:style>
  <w:style w:type="paragraph" w:customStyle="1" w:styleId="SideHeading">
    <w:name w:val="Side Heading"/>
    <w:basedOn w:val="HeadingBase"/>
    <w:rsid w:val="00700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9CE"/>
    <w:pPr>
      <w:numPr>
        <w:numId w:val="12"/>
      </w:numPr>
    </w:pPr>
  </w:style>
  <w:style w:type="paragraph" w:styleId="PlainText">
    <w:name w:val="Plain Text"/>
    <w:basedOn w:val="Normal"/>
    <w:link w:val="PlainTextChar"/>
    <w:rsid w:val="007009CE"/>
    <w:rPr>
      <w:sz w:val="20"/>
    </w:rPr>
  </w:style>
  <w:style w:type="character" w:customStyle="1" w:styleId="PlainTextChar">
    <w:name w:val="Plain Text Char"/>
    <w:basedOn w:val="DefaultParagraphFont"/>
    <w:link w:val="PlainText"/>
    <w:rsid w:val="007009CE"/>
    <w:rPr>
      <w:rFonts w:ascii="Courier New" w:eastAsia="Times New Roman" w:hAnsi="Courier New" w:cs="Times New Roman"/>
      <w:sz w:val="20"/>
      <w:szCs w:val="20"/>
      <w:lang w:val="en-US" w:eastAsia="en-US"/>
    </w:rPr>
  </w:style>
  <w:style w:type="character" w:customStyle="1" w:styleId="MenuOption">
    <w:name w:val="Menu Option"/>
    <w:rsid w:val="007009CE"/>
    <w:rPr>
      <w:b/>
      <w:smallCaps/>
    </w:rPr>
  </w:style>
  <w:style w:type="paragraph" w:customStyle="1" w:styleId="TableListNumber">
    <w:name w:val="Table List Number"/>
    <w:basedOn w:val="ListNumber"/>
    <w:rsid w:val="007009CE"/>
    <w:pPr>
      <w:numPr>
        <w:numId w:val="0"/>
      </w:numPr>
    </w:pPr>
  </w:style>
  <w:style w:type="paragraph" w:styleId="TOC4">
    <w:name w:val="toc 4"/>
    <w:basedOn w:val="TOCBase"/>
    <w:next w:val="Normal"/>
    <w:semiHidden/>
    <w:rsid w:val="007009CE"/>
    <w:pPr>
      <w:tabs>
        <w:tab w:val="right" w:leader="dot" w:pos="9071"/>
      </w:tabs>
      <w:ind w:left="1701"/>
    </w:pPr>
  </w:style>
  <w:style w:type="paragraph" w:customStyle="1" w:styleId="ListAlpha">
    <w:name w:val="List Alpha"/>
    <w:basedOn w:val="List"/>
    <w:rsid w:val="007009CE"/>
    <w:pPr>
      <w:numPr>
        <w:numId w:val="9"/>
      </w:numPr>
    </w:pPr>
  </w:style>
  <w:style w:type="paragraph" w:customStyle="1" w:styleId="ListAlpha2">
    <w:name w:val="List Alpha 2"/>
    <w:basedOn w:val="List2"/>
    <w:rsid w:val="007009CE"/>
    <w:pPr>
      <w:numPr>
        <w:numId w:val="8"/>
      </w:numPr>
    </w:pPr>
  </w:style>
  <w:style w:type="paragraph" w:styleId="List2">
    <w:name w:val="List 2"/>
    <w:basedOn w:val="BodyText"/>
    <w:rsid w:val="007009CE"/>
    <w:pPr>
      <w:tabs>
        <w:tab w:val="left" w:pos="680"/>
      </w:tabs>
      <w:spacing w:before="60" w:after="60"/>
      <w:ind w:left="680" w:hanging="340"/>
    </w:pPr>
  </w:style>
  <w:style w:type="paragraph" w:styleId="List3">
    <w:name w:val="List 3"/>
    <w:basedOn w:val="BodyText"/>
    <w:rsid w:val="007009CE"/>
    <w:pPr>
      <w:tabs>
        <w:tab w:val="left" w:pos="1021"/>
      </w:tabs>
      <w:spacing w:before="60" w:after="60"/>
      <w:ind w:left="1020" w:hanging="340"/>
    </w:pPr>
  </w:style>
  <w:style w:type="paragraph" w:styleId="List4">
    <w:name w:val="List 4"/>
    <w:basedOn w:val="BodyText"/>
    <w:rsid w:val="007009CE"/>
    <w:pPr>
      <w:tabs>
        <w:tab w:val="left" w:pos="1361"/>
      </w:tabs>
      <w:spacing w:before="60" w:after="60"/>
      <w:ind w:left="1361" w:hanging="340"/>
    </w:pPr>
  </w:style>
  <w:style w:type="paragraph" w:styleId="List5">
    <w:name w:val="List 5"/>
    <w:basedOn w:val="BodyText"/>
    <w:rsid w:val="007009CE"/>
    <w:pPr>
      <w:tabs>
        <w:tab w:val="left" w:pos="1701"/>
      </w:tabs>
      <w:spacing w:before="60" w:after="60"/>
      <w:ind w:left="1701" w:hanging="340"/>
    </w:pPr>
  </w:style>
  <w:style w:type="paragraph" w:styleId="ListBullet3">
    <w:name w:val="List Bullet 3"/>
    <w:basedOn w:val="List3"/>
    <w:rsid w:val="007009CE"/>
    <w:pPr>
      <w:numPr>
        <w:numId w:val="15"/>
      </w:numPr>
      <w:tabs>
        <w:tab w:val="clear" w:pos="1021"/>
      </w:tabs>
      <w:ind w:left="1037" w:hanging="357"/>
    </w:pPr>
  </w:style>
  <w:style w:type="paragraph" w:styleId="ListBullet4">
    <w:name w:val="List Bullet 4"/>
    <w:basedOn w:val="List4"/>
    <w:rsid w:val="007009CE"/>
    <w:pPr>
      <w:numPr>
        <w:numId w:val="3"/>
      </w:numPr>
    </w:pPr>
  </w:style>
  <w:style w:type="paragraph" w:styleId="ListBullet5">
    <w:name w:val="List Bullet 5"/>
    <w:basedOn w:val="List5"/>
    <w:rsid w:val="007009CE"/>
    <w:pPr>
      <w:numPr>
        <w:numId w:val="4"/>
      </w:numPr>
    </w:pPr>
  </w:style>
  <w:style w:type="paragraph" w:styleId="ListContinue2">
    <w:name w:val="List Continue 2"/>
    <w:basedOn w:val="List2"/>
    <w:rsid w:val="007009CE"/>
    <w:pPr>
      <w:ind w:firstLine="0"/>
    </w:pPr>
  </w:style>
  <w:style w:type="paragraph" w:styleId="ListContinue3">
    <w:name w:val="List Continue 3"/>
    <w:basedOn w:val="List3"/>
    <w:rsid w:val="007009CE"/>
    <w:pPr>
      <w:ind w:left="1021" w:firstLine="0"/>
    </w:pPr>
  </w:style>
  <w:style w:type="paragraph" w:styleId="ListContinue4">
    <w:name w:val="List Continue 4"/>
    <w:basedOn w:val="List4"/>
    <w:rsid w:val="007009CE"/>
    <w:pPr>
      <w:ind w:firstLine="0"/>
    </w:pPr>
  </w:style>
  <w:style w:type="paragraph" w:styleId="ListContinue5">
    <w:name w:val="List Continue 5"/>
    <w:basedOn w:val="List5"/>
    <w:rsid w:val="007009CE"/>
    <w:pPr>
      <w:ind w:firstLine="0"/>
    </w:pPr>
  </w:style>
  <w:style w:type="paragraph" w:styleId="ListNumber3">
    <w:name w:val="List Number 3"/>
    <w:basedOn w:val="List3"/>
    <w:rsid w:val="007009CE"/>
    <w:pPr>
      <w:numPr>
        <w:numId w:val="5"/>
      </w:numPr>
    </w:pPr>
  </w:style>
  <w:style w:type="paragraph" w:styleId="ListNumber4">
    <w:name w:val="List Number 4"/>
    <w:basedOn w:val="List4"/>
    <w:rsid w:val="007009CE"/>
    <w:pPr>
      <w:numPr>
        <w:numId w:val="6"/>
      </w:numPr>
    </w:pPr>
  </w:style>
  <w:style w:type="paragraph" w:styleId="ListNumber5">
    <w:name w:val="List Number 5"/>
    <w:basedOn w:val="List5"/>
    <w:rsid w:val="007009CE"/>
    <w:pPr>
      <w:numPr>
        <w:numId w:val="7"/>
      </w:numPr>
    </w:pPr>
  </w:style>
  <w:style w:type="paragraph" w:styleId="BlockText">
    <w:name w:val="Block Text"/>
    <w:basedOn w:val="Normal"/>
    <w:rsid w:val="007009CE"/>
    <w:pPr>
      <w:spacing w:after="120"/>
      <w:ind w:left="1440" w:right="1440"/>
    </w:pPr>
  </w:style>
  <w:style w:type="character" w:customStyle="1" w:styleId="Subscript">
    <w:name w:val="Subscript"/>
    <w:rsid w:val="007009CE"/>
    <w:rPr>
      <w:sz w:val="16"/>
      <w:vertAlign w:val="subscript"/>
    </w:rPr>
  </w:style>
  <w:style w:type="character" w:customStyle="1" w:styleId="Superscript">
    <w:name w:val="Superscript"/>
    <w:rsid w:val="007009CE"/>
    <w:rPr>
      <w:sz w:val="16"/>
      <w:vertAlign w:val="superscript"/>
    </w:rPr>
  </w:style>
  <w:style w:type="character" w:customStyle="1" w:styleId="Symbols">
    <w:name w:val="Symbols"/>
    <w:rsid w:val="007009CE"/>
    <w:rPr>
      <w:rFonts w:ascii="Symbol" w:hAnsi="Symbol"/>
    </w:rPr>
  </w:style>
  <w:style w:type="character" w:customStyle="1" w:styleId="MenuOptions">
    <w:name w:val="Menu Options"/>
    <w:rsid w:val="007009CE"/>
    <w:rPr>
      <w:rFonts w:ascii="Arial Narrow" w:hAnsi="Arial Narrow"/>
      <w:smallCaps/>
    </w:rPr>
  </w:style>
  <w:style w:type="character" w:customStyle="1" w:styleId="Buttons">
    <w:name w:val="Buttons"/>
    <w:rsid w:val="007009CE"/>
    <w:rPr>
      <w:b/>
    </w:rPr>
  </w:style>
  <w:style w:type="character" w:customStyle="1" w:styleId="Underlined">
    <w:name w:val="Underlined"/>
    <w:rsid w:val="007009CE"/>
    <w:rPr>
      <w:u w:val="single"/>
    </w:rPr>
  </w:style>
  <w:style w:type="paragraph" w:customStyle="1" w:styleId="TableBodyTextRight">
    <w:name w:val="Table Body Text Right"/>
    <w:basedOn w:val="TableBodyText"/>
    <w:rsid w:val="007009CE"/>
    <w:pPr>
      <w:widowControl w:val="0"/>
      <w:autoSpaceDE w:val="0"/>
      <w:autoSpaceDN w:val="0"/>
      <w:adjustRightInd w:val="0"/>
      <w:jc w:val="right"/>
    </w:pPr>
    <w:rPr>
      <w:rFonts w:cs="Arial"/>
      <w:szCs w:val="18"/>
    </w:rPr>
  </w:style>
  <w:style w:type="paragraph" w:customStyle="1" w:styleId="CopyrightText">
    <w:name w:val="Copyright Text"/>
    <w:basedOn w:val="BodyText"/>
    <w:rsid w:val="007009CE"/>
    <w:rPr>
      <w:sz w:val="18"/>
    </w:rPr>
  </w:style>
  <w:style w:type="paragraph" w:customStyle="1" w:styleId="BodySmallRight">
    <w:name w:val="Body Small Right"/>
    <w:basedOn w:val="BodyTextRight"/>
    <w:rsid w:val="007009CE"/>
    <w:rPr>
      <w:sz w:val="18"/>
      <w:szCs w:val="18"/>
    </w:rPr>
  </w:style>
  <w:style w:type="paragraph" w:customStyle="1" w:styleId="MarginEdition">
    <w:name w:val="Margin Edition"/>
    <w:basedOn w:val="MarginNote"/>
    <w:rsid w:val="007009CE"/>
    <w:pPr>
      <w:spacing w:before="0" w:after="0"/>
    </w:pPr>
    <w:rPr>
      <w:rFonts w:ascii="Times New Roman" w:hAnsi="Times New Roman"/>
      <w:color w:val="999999"/>
    </w:rPr>
  </w:style>
  <w:style w:type="paragraph" w:customStyle="1" w:styleId="Spacer">
    <w:name w:val="Spacer"/>
    <w:basedOn w:val="Normal"/>
    <w:rsid w:val="007009CE"/>
    <w:rPr>
      <w:sz w:val="2"/>
      <w:szCs w:val="2"/>
    </w:rPr>
  </w:style>
  <w:style w:type="character" w:customStyle="1" w:styleId="Small">
    <w:name w:val="Small"/>
    <w:rsid w:val="007009CE"/>
    <w:rPr>
      <w:sz w:val="16"/>
    </w:rPr>
  </w:style>
  <w:style w:type="paragraph" w:customStyle="1" w:styleId="WideTable">
    <w:name w:val="Wide Table"/>
    <w:basedOn w:val="Normal"/>
    <w:rsid w:val="007009CE"/>
    <w:pPr>
      <w:ind w:left="-1418"/>
    </w:pPr>
    <w:rPr>
      <w:sz w:val="2"/>
      <w:szCs w:val="2"/>
    </w:rPr>
  </w:style>
  <w:style w:type="character" w:styleId="PageNumber">
    <w:name w:val="page number"/>
    <w:rsid w:val="007009CE"/>
  </w:style>
  <w:style w:type="paragraph" w:styleId="Quote">
    <w:name w:val="Quote"/>
    <w:basedOn w:val="Heading1"/>
    <w:link w:val="QuoteChar"/>
    <w:qFormat/>
    <w:rsid w:val="007009CE"/>
    <w:rPr>
      <w:b w:val="0"/>
      <w:sz w:val="72"/>
      <w:szCs w:val="72"/>
      <w:lang w:val="en-NZ"/>
    </w:rPr>
  </w:style>
  <w:style w:type="character" w:customStyle="1" w:styleId="QuoteChar">
    <w:name w:val="Quote Char"/>
    <w:link w:val="Quote"/>
    <w:rsid w:val="00700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9CE"/>
    <w:pPr>
      <w:pageBreakBefore/>
    </w:pPr>
  </w:style>
  <w:style w:type="paragraph" w:customStyle="1" w:styleId="Border">
    <w:name w:val="Border"/>
    <w:basedOn w:val="Normal"/>
    <w:qFormat/>
    <w:rsid w:val="007009CE"/>
    <w:pPr>
      <w:pBdr>
        <w:top w:val="single" w:sz="18" w:space="1" w:color="auto"/>
      </w:pBdr>
    </w:pPr>
    <w:rPr>
      <w:rFonts w:ascii="Times New Roman" w:hAnsi="Times New Roman"/>
      <w:color w:val="FFFFFF"/>
      <w:sz w:val="2"/>
    </w:rPr>
  </w:style>
  <w:style w:type="character" w:styleId="IntenseEmphasis">
    <w:name w:val="Intense Emphasis"/>
    <w:uiPriority w:val="21"/>
    <w:qFormat/>
    <w:rsid w:val="007009CE"/>
    <w:rPr>
      <w:b/>
      <w:bCs/>
      <w:i/>
      <w:iCs/>
      <w:color w:val="auto"/>
    </w:rPr>
  </w:style>
  <w:style w:type="paragraph" w:styleId="IntenseQuote">
    <w:name w:val="Intense Quote"/>
    <w:basedOn w:val="Normal"/>
    <w:next w:val="Normal"/>
    <w:link w:val="IntenseQuoteChar"/>
    <w:uiPriority w:val="30"/>
    <w:qFormat/>
    <w:rsid w:val="007009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009CE"/>
    <w:rPr>
      <w:rFonts w:ascii="Courier New" w:eastAsia="Times New Roman" w:hAnsi="Courier New" w:cs="Times New Roman"/>
      <w:b/>
      <w:bCs/>
      <w:i/>
      <w:iCs/>
      <w:szCs w:val="20"/>
      <w:lang w:val="en-US" w:eastAsia="en-US"/>
    </w:rPr>
  </w:style>
  <w:style w:type="character" w:styleId="SubtleReference">
    <w:name w:val="Subtle Reference"/>
    <w:uiPriority w:val="31"/>
    <w:qFormat/>
    <w:rsid w:val="007009CE"/>
    <w:rPr>
      <w:smallCaps/>
      <w:color w:val="auto"/>
      <w:u w:val="single"/>
    </w:rPr>
  </w:style>
  <w:style w:type="character" w:styleId="IntenseReference">
    <w:name w:val="Intense Reference"/>
    <w:uiPriority w:val="32"/>
    <w:qFormat/>
    <w:rsid w:val="007009CE"/>
    <w:rPr>
      <w:b/>
      <w:bCs/>
      <w:smallCaps/>
      <w:color w:val="auto"/>
      <w:spacing w:val="5"/>
      <w:u w:val="single"/>
    </w:rPr>
  </w:style>
  <w:style w:type="paragraph" w:customStyle="1" w:styleId="2ColumnHeading">
    <w:name w:val="2Column Heading"/>
    <w:basedOn w:val="BodyText"/>
    <w:qFormat/>
    <w:rsid w:val="007009CE"/>
    <w:pPr>
      <w:spacing w:after="60"/>
      <w:ind w:left="-2268"/>
    </w:pPr>
    <w:rPr>
      <w:b/>
    </w:rPr>
  </w:style>
  <w:style w:type="paragraph" w:customStyle="1" w:styleId="Heading1TOC">
    <w:name w:val="Heading1 TOC"/>
    <w:basedOn w:val="Normal"/>
    <w:qFormat/>
    <w:rsid w:val="007009CE"/>
    <w:pPr>
      <w:spacing w:before="240" w:after="120"/>
    </w:pPr>
    <w:rPr>
      <w:rFonts w:ascii="Times New Roman" w:hAnsi="Times New Roman"/>
      <w:b/>
      <w:sz w:val="32"/>
    </w:rPr>
  </w:style>
  <w:style w:type="paragraph" w:customStyle="1" w:styleId="Heading2TOC">
    <w:name w:val="Heading2 TOC"/>
    <w:basedOn w:val="Normal"/>
    <w:qFormat/>
    <w:rsid w:val="007009CE"/>
    <w:pPr>
      <w:spacing w:before="240" w:after="60"/>
    </w:pPr>
    <w:rPr>
      <w:rFonts w:ascii="Times New Roman" w:hAnsi="Times New Roman"/>
      <w:b/>
      <w:sz w:val="28"/>
    </w:rPr>
  </w:style>
  <w:style w:type="character" w:customStyle="1" w:styleId="Underline">
    <w:name w:val="Underline"/>
    <w:qFormat/>
    <w:rsid w:val="007009CE"/>
    <w:rPr>
      <w:u w:val="single"/>
    </w:rPr>
  </w:style>
  <w:style w:type="character" w:customStyle="1" w:styleId="BoldandItalics">
    <w:name w:val="Bold and Italics"/>
    <w:qFormat/>
    <w:rsid w:val="007009CE"/>
    <w:rPr>
      <w:b/>
      <w:i/>
      <w:u w:val="none"/>
    </w:rPr>
  </w:style>
  <w:style w:type="paragraph" w:styleId="BalloonText">
    <w:name w:val="Balloon Text"/>
    <w:basedOn w:val="Normal"/>
    <w:link w:val="BalloonTextChar"/>
    <w:rsid w:val="007009CE"/>
    <w:rPr>
      <w:rFonts w:ascii="Tahoma" w:hAnsi="Tahoma" w:cs="Tahoma"/>
      <w:sz w:val="16"/>
      <w:szCs w:val="16"/>
    </w:rPr>
  </w:style>
  <w:style w:type="character" w:customStyle="1" w:styleId="BalloonTextChar">
    <w:name w:val="Balloon Text Char"/>
    <w:link w:val="BalloonText"/>
    <w:rsid w:val="007009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09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009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2052</Words>
  <Characters>12852</Characters>
  <Application>Microsoft Office Word</Application>
  <DocSecurity>0</DocSecurity>
  <Lines>465</Lines>
  <Paragraphs>203</Paragraphs>
  <ScaleCrop>false</ScaleCrop>
  <Company>Author-it Software Corporation Ltd.</Company>
  <LinksUpToDate>false</LinksUpToDate>
  <CharactersWithSpaces>14832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UEENEEJ040B Manage refrigeration and air conditioning projects</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2012-05-26T11:28:00Z</dcterms:created>
  <dcterms:modified xsi:type="dcterms:W3CDTF">2012-05-26T11:28:00Z</dcterms:modified>
</cp:coreProperties>
</file>