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B766A" w:rsidP="00FB766A">
      <w:pPr>
        <w:pStyle w:val="Title"/>
      </w:pPr>
      <w:bookmarkStart w:id="0" w:name="_GoBack"/>
      <w:bookmarkEnd w:id="0"/>
      <w:r>
        <w:fldChar w:fldCharType="begin"/>
      </w:r>
      <w:r>
        <w:instrText xml:space="preserve"> TITLE   \* MERGEFORMAT </w:instrText>
      </w:r>
      <w:r>
        <w:fldChar w:fldCharType="separate"/>
      </w:r>
      <w:r>
        <w:t>UEENEEJ021B Monitor and adjust energy management systems on refrigeration systems</w:t>
      </w:r>
      <w:r>
        <w:fldChar w:fldCharType="end"/>
      </w:r>
    </w:p>
    <w:p w:rsidR="00FB766A" w:rsidP="00FB766A">
      <w:pPr>
        <w:pStyle w:val="Version"/>
        <w:sectPr w:rsidSect="00663C1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63C17" w:rsidP="00663C17">
      <w:pPr>
        <w:pStyle w:val="SuperHeading"/>
      </w:pPr>
      <w:r w:rsidRPr="00663C17">
        <w:t>UEENEEJ021B Monitor and adjust energy management systems on refrigeration systems</w:t>
      </w:r>
    </w:p>
    <w:p w:rsidR="00000000" w:rsidRPr="00663C17" w:rsidP="00663C17">
      <w:pPr>
        <w:pStyle w:val="Heading1"/>
      </w:pPr>
      <w:bookmarkStart w:id="1" w:name="O_274827"/>
      <w:bookmarkEnd w:id="1"/>
      <w:r w:rsidRPr="00663C17">
        <w:t>Modification History</w:t>
      </w:r>
    </w:p>
    <w:p w:rsidR="00000000" w:rsidRPr="00663C17" w:rsidP="00663C17">
      <w:pPr>
        <w:pStyle w:val="BodyText"/>
      </w:pPr>
      <w:r w:rsidRPr="00663C17">
        <w:t>Not Applicable</w:t>
      </w:r>
    </w:p>
    <w:p w:rsidR="00000000" w:rsidRPr="00663C17" w:rsidP="00663C17">
      <w:pPr>
        <w:pStyle w:val="AllowPageBreak"/>
      </w:pPr>
    </w:p>
    <w:p w:rsidR="00000000" w:rsidRPr="00663C17" w:rsidP="00663C17">
      <w:pPr>
        <w:pStyle w:val="Heading1"/>
      </w:pPr>
      <w:bookmarkStart w:id="2" w:name="O_227544"/>
      <w:bookmarkEnd w:id="2"/>
      <w:r w:rsidRPr="00663C17">
        <w:t>Unit Descriptor</w:t>
      </w:r>
    </w:p>
    <w:tbl>
      <w:tblPr>
        <w:tblW w:w="0" w:type="auto"/>
        <w:tblLayout w:type="fixed"/>
        <w:tblCellMar>
          <w:left w:w="62" w:type="dxa"/>
          <w:right w:w="62" w:type="dxa"/>
        </w:tblCellMar>
        <w:tblLook w:val="0000"/>
      </w:tblPr>
      <w:tblGrid>
        <w:gridCol w:w="2700"/>
        <w:gridCol w:w="5760"/>
      </w:tblGrid>
      <w:tr w:rsidTr="00FB766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63C17" w:rsidP="00663C17">
            <w:pPr>
              <w:pStyle w:val="BodyText"/>
            </w:pPr>
            <w:r w:rsidRPr="00663C17">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663C17" w:rsidP="00663C17">
            <w:pPr>
              <w:pStyle w:val="BodyText"/>
            </w:pPr>
            <w:r w:rsidRPr="00663C17">
              <w:rPr>
                <w:rStyle w:val="SpecialBold"/>
              </w:rPr>
              <w:t>1</w:t>
            </w:r>
            <w:r w:rsidRPr="00663C17">
              <w:t xml:space="preserve">) </w:t>
            </w:r>
          </w:p>
          <w:p w:rsidR="00000000" w:rsidP="00663C17">
            <w:pPr>
              <w:pStyle w:val="BodyText"/>
              <w:rPr>
                <w:lang w:val="en-NZ"/>
              </w:rPr>
            </w:pPr>
            <w:r w:rsidRPr="00663C17">
              <w:rPr>
                <w:rStyle w:val="SpecialBold"/>
              </w:rPr>
              <w:t>1</w:t>
            </w:r>
            <w:r w:rsidRPr="00663C17">
              <w:t>.</w:t>
            </w:r>
            <w:r w:rsidRPr="00663C17">
              <w:rPr>
                <w:rStyle w:val="SpecialBold"/>
              </w:rPr>
              <w:t>1</w:t>
            </w:r>
            <w:r w:rsidRPr="00663C17">
              <w:t xml:space="preserve">) </w:t>
            </w:r>
            <w:r w:rsidRPr="00663C17">
              <w:rPr>
                <w:rStyle w:val="SpecialBold"/>
              </w:rPr>
              <w:t>Descriptor</w:t>
            </w:r>
          </w:p>
        </w:tc>
      </w:tr>
      <w:tr w:rsidTr="00FB766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63C17" w:rsidP="00663C17">
            <w:pPr>
              <w:pStyle w:val="BodyText"/>
            </w:pPr>
            <w:r w:rsidRPr="00663C17">
              <w:t xml:space="preserve">This unit covers the setting-up and adjusting energy management systems on refrigeration systems for effective energy use. It encompasses safe working practices, system parameter testing and analysis, adjusting equipment and controls, following procedures </w:t>
            </w:r>
            <w:r w:rsidRPr="00663C17">
              <w:t>and documenting final operating parameters and settings.</w:t>
            </w:r>
          </w:p>
        </w:tc>
      </w:tr>
    </w:tbl>
    <w:p w:rsidR="00FB766A" w:rsidP="00663C17">
      <w:pPr>
        <w:pStyle w:val="BodyText"/>
      </w:pPr>
    </w:p>
    <w:p w:rsidR="00FB766A" w:rsidP="00663C17">
      <w:pPr>
        <w:pStyle w:val="BodyText"/>
      </w:pPr>
    </w:p>
    <w:p w:rsidR="00000000" w:rsidRPr="00663C17" w:rsidP="00663C17">
      <w:pPr>
        <w:pStyle w:val="Heading1"/>
      </w:pPr>
      <w:bookmarkStart w:id="3" w:name="O_227549"/>
      <w:bookmarkEnd w:id="3"/>
      <w:r w:rsidRPr="00663C17">
        <w:t>Application of the Unit</w:t>
      </w:r>
    </w:p>
    <w:tbl>
      <w:tblPr>
        <w:tblW w:w="0" w:type="auto"/>
        <w:tblLayout w:type="fixed"/>
        <w:tblCellMar>
          <w:left w:w="62" w:type="dxa"/>
          <w:right w:w="62" w:type="dxa"/>
        </w:tblCellMar>
        <w:tblLook w:val="0000"/>
      </w:tblPr>
      <w:tblGrid>
        <w:gridCol w:w="2700"/>
        <w:gridCol w:w="5760"/>
      </w:tblGrid>
      <w:tr w:rsidTr="00FB766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63C17" w:rsidP="00663C17">
            <w:pPr>
              <w:pStyle w:val="BodyText"/>
            </w:pPr>
            <w:r w:rsidRPr="00663C17">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663C17">
            <w:pPr>
              <w:pStyle w:val="BodyText"/>
              <w:rPr>
                <w:lang w:val="en-NZ"/>
              </w:rPr>
            </w:pPr>
            <w:r w:rsidRPr="00663C17">
              <w:rPr>
                <w:rStyle w:val="SpecialBold"/>
              </w:rPr>
              <w:t>4</w:t>
            </w:r>
            <w:r w:rsidRPr="00663C17">
              <w:t>)</w:t>
            </w:r>
          </w:p>
        </w:tc>
      </w:tr>
      <w:tr w:rsidTr="00FB766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63C17" w:rsidP="00663C17">
            <w:pPr>
              <w:pStyle w:val="BodyText"/>
            </w:pPr>
            <w:r w:rsidRPr="00663C17">
              <w:t>This unit is intended to augment formally acquired competencies. It is suitable for employment-based programs under an approve</w:t>
            </w:r>
            <w:r w:rsidRPr="00663C17">
              <w:t>d contract of training or institutional based delivery. It applies to any formal recognition for this standard at the aligned AQF 4 level.</w:t>
            </w:r>
          </w:p>
        </w:tc>
      </w:tr>
    </w:tbl>
    <w:p w:rsidR="00FB766A" w:rsidP="00663C17">
      <w:pPr>
        <w:pStyle w:val="BodyText"/>
      </w:pPr>
    </w:p>
    <w:p w:rsidR="00FB766A" w:rsidP="00663C17">
      <w:pPr>
        <w:pStyle w:val="BodyText"/>
      </w:pPr>
    </w:p>
    <w:p w:rsidR="00000000" w:rsidRPr="00663C17" w:rsidP="00663C17">
      <w:pPr>
        <w:pStyle w:val="Heading1"/>
      </w:pPr>
      <w:bookmarkStart w:id="4" w:name="O_227545"/>
      <w:bookmarkEnd w:id="4"/>
      <w:r w:rsidRPr="00663C17">
        <w:t>Licensing/Regulatory Information</w:t>
      </w:r>
    </w:p>
    <w:tbl>
      <w:tblPr>
        <w:tblW w:w="0" w:type="auto"/>
        <w:tblLayout w:type="fixed"/>
        <w:tblCellMar>
          <w:left w:w="62" w:type="dxa"/>
          <w:right w:w="62" w:type="dxa"/>
        </w:tblCellMar>
        <w:tblLook w:val="0000"/>
      </w:tblPr>
      <w:tblGrid>
        <w:gridCol w:w="8460"/>
      </w:tblGrid>
      <w:tr w:rsidTr="00FB766A">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663C17">
            <w:pPr>
              <w:pStyle w:val="BodyText"/>
              <w:rPr>
                <w:lang w:val="en-NZ"/>
              </w:rPr>
            </w:pPr>
            <w:r w:rsidRPr="00663C17">
              <w:rPr>
                <w:rStyle w:val="SpecialBold"/>
              </w:rPr>
              <w:t>1</w:t>
            </w:r>
            <w:r w:rsidRPr="00663C17">
              <w:t>.</w:t>
            </w:r>
            <w:r w:rsidRPr="00663C17">
              <w:rPr>
                <w:rStyle w:val="SpecialBold"/>
              </w:rPr>
              <w:t>2</w:t>
            </w:r>
            <w:r w:rsidRPr="00663C17">
              <w:t xml:space="preserve">) </w:t>
            </w:r>
            <w:r w:rsidRPr="00663C17">
              <w:rPr>
                <w:rStyle w:val="SpecialBold"/>
              </w:rPr>
              <w:t>License to practice</w:t>
            </w:r>
          </w:p>
        </w:tc>
      </w:tr>
      <w:tr w:rsidTr="00FB766A">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663C17" w:rsidP="00663C17">
            <w:pPr>
              <w:pStyle w:val="BodyText"/>
            </w:pPr>
            <w:r w:rsidRPr="00663C17">
              <w:t>Th</w:t>
            </w:r>
            <w:r w:rsidRPr="00663C17">
              <w:t xml:space="preserve">e skills and knowledge described in this unit require a license to practice in the workplace where plant and equipment operate at voltage above 50 V a.c. or 120 V d.c. In some States/Territories a licence is required to practise this unit in the workplace </w:t>
            </w:r>
            <w:r w:rsidRPr="00663C17">
              <w:t>subject to regulations for undertaking refrigeration and air conditioning work and in particular working with refrigerants. Practice in workplace and during training is also subject to regulations directly related to occupational health and safety and wher</w:t>
            </w:r>
            <w:r w:rsidRPr="00663C17">
              <w:t>e applicable contracts of training such as apprenticeships.</w:t>
            </w:r>
          </w:p>
          <w:p w:rsidR="00000000" w:rsidRPr="00663C17" w:rsidP="00663C17">
            <w:pPr>
              <w:pStyle w:val="BodyText"/>
            </w:pPr>
            <w:r w:rsidRPr="00663C17">
              <w:t xml:space="preserve">Note: </w:t>
            </w:r>
            <w:r w:rsidRPr="00663C17">
              <w:br/>
              <w:t>1. Compliance with permits may be required in various jurisdictions and typically relates to the operation of plant, machinery and equipment such as elevating work platforms, powder operate</w:t>
            </w:r>
            <w:r w:rsidRPr="00663C17">
              <w:t>d fixing tools, power operated tools, vehicles, road signage and traffic control, lifting equipment. Permits may also be required for some work environments such as confined spaces, working aloft, near live electrical apparatus and site rehabilitation.</w:t>
            </w:r>
            <w:r w:rsidRPr="00663C17">
              <w:br/>
              <w:t xml:space="preserve">2. </w:t>
            </w:r>
            <w:r w:rsidRPr="00663C17">
              <w:t>Compliance may be required in various jurisdictions relating to currency in First Aid, confined space, lifting and risk safety measures.</w:t>
            </w:r>
          </w:p>
        </w:tc>
      </w:tr>
    </w:tbl>
    <w:p w:rsidR="00FB766A" w:rsidP="00663C17">
      <w:pPr>
        <w:pStyle w:val="BodyText"/>
      </w:pPr>
    </w:p>
    <w:p w:rsidR="00FB766A" w:rsidP="00663C17">
      <w:pPr>
        <w:pStyle w:val="BodyText"/>
      </w:pPr>
    </w:p>
    <w:p w:rsidR="00000000" w:rsidRPr="00663C17" w:rsidP="00663C17">
      <w:pPr>
        <w:pStyle w:val="Heading1"/>
      </w:pPr>
      <w:bookmarkStart w:id="5" w:name="O_227546"/>
      <w:bookmarkEnd w:id="5"/>
      <w:r w:rsidRPr="00663C17">
        <w:t>Pre-Requisites</w:t>
      </w:r>
    </w:p>
    <w:tbl>
      <w:tblPr>
        <w:tblW w:w="0" w:type="auto"/>
        <w:tblLayout w:type="fixed"/>
        <w:tblCellMar>
          <w:left w:w="62" w:type="dxa"/>
          <w:right w:w="62" w:type="dxa"/>
        </w:tblCellMar>
        <w:tblLook w:val="0000"/>
      </w:tblPr>
      <w:tblGrid>
        <w:gridCol w:w="2700"/>
        <w:gridCol w:w="5760"/>
      </w:tblGrid>
      <w:tr w:rsidTr="00FB766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63C17" w:rsidP="00663C17">
            <w:pPr>
              <w:pStyle w:val="BodyText"/>
            </w:pPr>
            <w:r w:rsidRPr="00663C17">
              <w:rPr>
                <w:rStyle w:val="SpecialBold"/>
              </w:rPr>
              <w:t>Prerequisite Unit</w:t>
            </w:r>
            <w:r w:rsidRPr="00663C17">
              <w:t>(</w:t>
            </w:r>
            <w:r w:rsidRPr="00663C17">
              <w:rPr>
                <w:rStyle w:val="SpecialBold"/>
              </w:rPr>
              <w:t>s</w:t>
            </w:r>
            <w:r w:rsidRPr="00663C17">
              <w:t>)</w:t>
            </w:r>
          </w:p>
        </w:tc>
        <w:tc>
          <w:tcPr>
            <w:tcW w:w="5760" w:type="dxa"/>
            <w:tcBorders>
              <w:top w:val="nil"/>
              <w:left w:val="nil"/>
              <w:bottom w:val="nil"/>
              <w:right w:val="nil"/>
            </w:tcBorders>
            <w:tcMar>
              <w:top w:w="0" w:type="dxa"/>
              <w:left w:w="62" w:type="dxa"/>
              <w:bottom w:w="0" w:type="dxa"/>
              <w:right w:w="62" w:type="dxa"/>
            </w:tcMar>
          </w:tcPr>
          <w:p w:rsidR="00000000" w:rsidP="00663C17">
            <w:pPr>
              <w:pStyle w:val="BodyText"/>
              <w:rPr>
                <w:lang w:val="en-NZ"/>
              </w:rPr>
            </w:pPr>
            <w:r w:rsidRPr="00663C17">
              <w:rPr>
                <w:rStyle w:val="SpecialBold"/>
              </w:rPr>
              <w:t>2</w:t>
            </w:r>
            <w:r w:rsidRPr="00663C17">
              <w:t xml:space="preserve">) </w:t>
            </w:r>
          </w:p>
        </w:tc>
      </w:tr>
      <w:tr w:rsidTr="00FB766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663C17">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663C17">
            <w:pPr>
              <w:pStyle w:val="BodyText"/>
              <w:rPr>
                <w:lang w:val="en-NZ"/>
              </w:rPr>
            </w:pPr>
            <w:r w:rsidRPr="00663C17">
              <w:rPr>
                <w:rStyle w:val="SpecialBold"/>
              </w:rPr>
              <w:t>2</w:t>
            </w:r>
            <w:r w:rsidRPr="00663C17">
              <w:t>.</w:t>
            </w:r>
            <w:r w:rsidRPr="00663C17">
              <w:rPr>
                <w:rStyle w:val="SpecialBold"/>
              </w:rPr>
              <w:t>1</w:t>
            </w:r>
            <w:r w:rsidRPr="00663C17">
              <w:t xml:space="preserve">) </w:t>
            </w:r>
            <w:r w:rsidRPr="00663C17">
              <w:rPr>
                <w:rStyle w:val="SpecialBold"/>
              </w:rPr>
              <w:t>Competencies</w:t>
            </w:r>
          </w:p>
        </w:tc>
      </w:tr>
      <w:tr w:rsidTr="00FB766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63C17" w:rsidP="00663C17">
            <w:pPr>
              <w:pStyle w:val="BodyText"/>
            </w:pPr>
            <w:r w:rsidRPr="00663C17">
              <w:t>Granting competency in this unit shall be made only after competency in the following unit(s) has/have been confirmed.</w:t>
            </w:r>
          </w:p>
          <w:p w:rsidR="00000000" w:rsidRPr="00663C17" w:rsidP="00663C17">
            <w:pPr>
              <w:pStyle w:val="BodyText"/>
            </w:pPr>
            <w:r w:rsidRPr="00663C17">
              <w:t>UEENEEJ009B Verify compliance and functionality of refrigeration and air conditioning installations</w:t>
            </w:r>
          </w:p>
          <w:p w:rsidR="00000000" w:rsidRPr="00663C17" w:rsidP="00663C17">
            <w:pPr>
              <w:pStyle w:val="BodyText"/>
            </w:pPr>
            <w:r w:rsidRPr="00663C17">
              <w:t>UEENEEE001B Apply OHS practices in th</w:t>
            </w:r>
            <w:r w:rsidRPr="00663C17">
              <w:t>e workplace</w:t>
            </w:r>
          </w:p>
          <w:p w:rsidR="00000000" w:rsidRPr="00663C17" w:rsidP="00663C17">
            <w:pPr>
              <w:pStyle w:val="BodyText"/>
            </w:pPr>
            <w:r w:rsidRPr="00663C17">
              <w:t>UEENEEE002B Dismantle, assemble and fabricate electrotechnology components</w:t>
            </w:r>
          </w:p>
          <w:p w:rsidR="00000000" w:rsidRPr="00663C17" w:rsidP="00663C17">
            <w:pPr>
              <w:pStyle w:val="BodyText"/>
            </w:pPr>
            <w:r w:rsidRPr="00663C17">
              <w:t>UEENEEE003B Solve problems in extra-low voltage single path circuits</w:t>
            </w:r>
          </w:p>
          <w:p w:rsidR="00000000" w:rsidRPr="00663C17" w:rsidP="00663C17">
            <w:pPr>
              <w:pStyle w:val="BodyText"/>
            </w:pPr>
            <w:r w:rsidRPr="00663C17">
              <w:t>UEENEEE005B Fix and secure equipment</w:t>
            </w:r>
          </w:p>
          <w:p w:rsidR="00000000" w:rsidRPr="00663C17" w:rsidP="00663C17">
            <w:pPr>
              <w:pStyle w:val="BodyText"/>
            </w:pPr>
            <w:r w:rsidRPr="00663C17">
              <w:t xml:space="preserve">UEENEEE007B Use drawings, diagrams, schedules and </w:t>
            </w:r>
            <w:r w:rsidRPr="00663C17">
              <w:t>manuals</w:t>
            </w:r>
          </w:p>
          <w:p w:rsidR="00000000" w:rsidRPr="00663C17" w:rsidP="00663C17">
            <w:pPr>
              <w:pStyle w:val="BodyText"/>
            </w:pPr>
            <w:r w:rsidRPr="00663C17">
              <w:t>UEENE</w:t>
            </w:r>
            <w:r w:rsidRPr="00663C17">
              <w:t>EE037B Document occupational hazards and risks in electrotechnology</w:t>
            </w:r>
          </w:p>
          <w:p w:rsidR="00000000" w:rsidRPr="00663C17" w:rsidP="00663C17">
            <w:pPr>
              <w:pStyle w:val="BodyText"/>
            </w:pPr>
            <w:r w:rsidRPr="00663C17">
              <w:t>UEENEEE038B Participate in development and follow a personal competency development plan</w:t>
            </w:r>
          </w:p>
          <w:p w:rsidR="00000000" w:rsidRPr="00663C17" w:rsidP="00663C17">
            <w:pPr>
              <w:pStyle w:val="BodyText"/>
            </w:pPr>
            <w:r w:rsidRPr="00663C17">
              <w:t>UEENEEJ002B Prepare refrigerant tubing and fittings</w:t>
            </w:r>
          </w:p>
          <w:p w:rsidR="00000000" w:rsidRPr="00663C17" w:rsidP="00663C17">
            <w:pPr>
              <w:pStyle w:val="BodyText"/>
            </w:pPr>
            <w:r w:rsidRPr="00663C17">
              <w:t>UEENEEJ003B Determine the basic operating condi</w:t>
            </w:r>
            <w:r w:rsidRPr="00663C17">
              <w:t>tions of vapour compression systems</w:t>
            </w:r>
          </w:p>
          <w:p w:rsidR="00000000" w:rsidRPr="00663C17" w:rsidP="00663C17">
            <w:pPr>
              <w:pStyle w:val="BodyText"/>
            </w:pPr>
            <w:r w:rsidRPr="00663C17">
              <w:t>UEENEEJ004B Determine the basic operating conditions of air conditioning systems</w:t>
            </w:r>
          </w:p>
          <w:p w:rsidR="00000000" w:rsidRPr="00663C17" w:rsidP="00663C17">
            <w:pPr>
              <w:pStyle w:val="BodyText"/>
            </w:pPr>
            <w:r w:rsidRPr="00663C17">
              <w:t>UEENEEJ006B Install pipe work for refrigeration and air conditioning systems</w:t>
            </w:r>
          </w:p>
          <w:p w:rsidR="00000000" w:rsidRPr="00663C17" w:rsidP="00663C17">
            <w:pPr>
              <w:pStyle w:val="BodyText"/>
            </w:pPr>
            <w:r w:rsidRPr="00663C17">
              <w:t>UEENEEJ007B Install refrigeration and air conditioning systems, major components and associated equipment</w:t>
            </w:r>
          </w:p>
          <w:p w:rsidR="00000000" w:rsidRPr="00663C17" w:rsidP="00663C17">
            <w:pPr>
              <w:pStyle w:val="BodyText"/>
            </w:pPr>
            <w:r w:rsidRPr="00663C17">
              <w:t>UEENEEJ008B Recover, pressure and leak test, evacuate and charge refrigerants</w:t>
            </w:r>
          </w:p>
          <w:p w:rsidR="00000000" w:rsidRPr="00663C17" w:rsidP="00663C17">
            <w:pPr>
              <w:pStyle w:val="BodyText"/>
            </w:pPr>
            <w:r w:rsidRPr="00663C17">
              <w:t>UEENEEJ010B Select refrigerant pipe/tube, accessories and associated con</w:t>
            </w:r>
            <w:r w:rsidRPr="00663C17">
              <w:t>trols</w:t>
            </w:r>
          </w:p>
          <w:p w:rsidR="00000000" w:rsidRPr="00663C17" w:rsidP="00663C17">
            <w:pPr>
              <w:pStyle w:val="BodyText"/>
            </w:pPr>
            <w:r w:rsidRPr="00663C17">
              <w:t>UEENEEJ011B Diagnose and rectify faults in refrigeration and air conditioning systems and components</w:t>
            </w:r>
          </w:p>
          <w:p w:rsidR="00000000" w:rsidRPr="00663C17" w:rsidP="00663C17">
            <w:pPr>
              <w:pStyle w:val="BodyText"/>
            </w:pPr>
            <w:r w:rsidRPr="00663C17">
              <w:t>UEENEEJ013B Commission refrigeration and air conditioning systems</w:t>
            </w:r>
          </w:p>
          <w:p w:rsidR="00000000" w:rsidRPr="00663C17" w:rsidP="00663C17">
            <w:pPr>
              <w:pStyle w:val="BodyText"/>
            </w:pPr>
            <w:r w:rsidRPr="00663C17">
              <w:t>UEENEEJ036B Monitor and adjust energy management systems on refrigeration systems</w:t>
            </w:r>
          </w:p>
          <w:p w:rsidR="00000000" w:rsidRPr="00663C17" w:rsidP="00663C17">
            <w:pPr>
              <w:pStyle w:val="BodyText"/>
            </w:pPr>
            <w:r w:rsidRPr="00663C17">
              <w:t>U</w:t>
            </w:r>
            <w:r w:rsidRPr="00663C17">
              <w:t>EENEEJ070B Diagnose and rectify faults in refrigeration and air conditioning control systems</w:t>
            </w:r>
          </w:p>
          <w:p w:rsidR="00000000" w:rsidRPr="00663C17" w:rsidP="00663C17">
            <w:pPr>
              <w:pStyle w:val="BodyText"/>
            </w:pPr>
            <w:r w:rsidRPr="00663C17">
              <w:t>UEENEEP001B Disconnect and reconnect fixed wired electrical equipment connected to a Low Voltage supply</w:t>
            </w:r>
          </w:p>
          <w:p w:rsidR="00000000" w:rsidRPr="00663C17" w:rsidP="00663C17">
            <w:pPr>
              <w:pStyle w:val="BodyText"/>
            </w:pPr>
            <w:r w:rsidRPr="00663C17">
              <w:t xml:space="preserve">UEENEEP002B Attach cords and plugs to electrical equipment </w:t>
            </w:r>
            <w:r w:rsidRPr="00663C17">
              <w:t>for connection to a single phase 250 Volt supply</w:t>
            </w:r>
          </w:p>
          <w:p w:rsidR="00000000" w:rsidRPr="00663C17" w:rsidP="00663C17">
            <w:pPr>
              <w:pStyle w:val="BodyText"/>
            </w:pPr>
            <w:r w:rsidRPr="00663C17">
              <w:t>UEENEEP003B Attach cords and plugs to electrical equipment for connection to 1000 Va.c. or 1500 Vd.c. supply</w:t>
            </w:r>
          </w:p>
          <w:p w:rsidR="00000000" w:rsidRPr="00663C17" w:rsidP="00663C17">
            <w:pPr>
              <w:pStyle w:val="BodyText"/>
            </w:pPr>
            <w:r w:rsidRPr="00663C17">
              <w:t>UEENEEP007B Locate and rectify faults in electrical low voltage equipment following prescribed pro</w:t>
            </w:r>
            <w:r w:rsidRPr="00663C17">
              <w:t>cedures</w:t>
            </w:r>
          </w:p>
          <w:p w:rsidR="00000000" w:rsidRPr="00663C17" w:rsidP="00663C17">
            <w:pPr>
              <w:pStyle w:val="BodyText"/>
            </w:pPr>
            <w:r w:rsidRPr="00663C17">
              <w:t>For the full prerequisite chain details for this unit please refer to Table 2 in Volume 1, Part 2</w:t>
            </w:r>
          </w:p>
        </w:tc>
      </w:tr>
    </w:tbl>
    <w:p w:rsidR="00FB766A" w:rsidP="00663C17">
      <w:pPr>
        <w:pStyle w:val="BodyText"/>
      </w:pPr>
    </w:p>
    <w:p w:rsidR="00FB766A" w:rsidP="00663C17">
      <w:pPr>
        <w:pStyle w:val="BodyText"/>
      </w:pPr>
    </w:p>
    <w:p w:rsidR="00000000" w:rsidRPr="00663C17" w:rsidP="00663C17">
      <w:pPr>
        <w:pStyle w:val="Heading1"/>
      </w:pPr>
      <w:bookmarkStart w:id="6" w:name="O_227548"/>
      <w:bookmarkEnd w:id="6"/>
      <w:r w:rsidRPr="00663C17">
        <w:t>Employability Skills Information</w:t>
      </w:r>
    </w:p>
    <w:tbl>
      <w:tblPr>
        <w:tblW w:w="0" w:type="auto"/>
        <w:tblLayout w:type="fixed"/>
        <w:tblCellMar>
          <w:left w:w="62" w:type="dxa"/>
          <w:right w:w="62" w:type="dxa"/>
        </w:tblCellMar>
        <w:tblLook w:val="0000"/>
      </w:tblPr>
      <w:tblGrid>
        <w:gridCol w:w="2700"/>
        <w:gridCol w:w="5760"/>
      </w:tblGrid>
      <w:tr w:rsidTr="00FB766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663C17" w:rsidP="00663C17">
            <w:pPr>
              <w:pStyle w:val="BodyText"/>
            </w:pPr>
            <w:r w:rsidRPr="00663C17">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663C17" w:rsidP="00663C17">
            <w:pPr>
              <w:pStyle w:val="BodyText"/>
            </w:pPr>
            <w:r w:rsidRPr="00663C17">
              <w:rPr>
                <w:rStyle w:val="SpecialBold"/>
              </w:rPr>
              <w:t>3</w:t>
            </w:r>
            <w:r w:rsidRPr="00663C17">
              <w:t>)</w:t>
            </w:r>
          </w:p>
          <w:p w:rsidR="00000000" w:rsidRPr="00663C17" w:rsidP="00663C17">
            <w:pPr>
              <w:pStyle w:val="BodyText"/>
            </w:pPr>
            <w:r w:rsidRPr="00663C17">
              <w:t>This unit contains Employability Skills</w:t>
            </w:r>
          </w:p>
          <w:p w:rsidR="00000000" w:rsidRPr="00663C17" w:rsidP="00663C17">
            <w:pPr>
              <w:pStyle w:val="BodyText"/>
            </w:pPr>
            <w:r w:rsidRPr="00663C17">
              <w:t>The required outcomes described i</w:t>
            </w:r>
            <w:r w:rsidRPr="00663C17">
              <w:t>n this unit of competency contain applicable facets of Employability Skills. The Employability Skills Summary of the qualification in which this unit of competency is packaged will assist in identifying Employability Skill requirements.</w:t>
            </w:r>
          </w:p>
        </w:tc>
      </w:tr>
    </w:tbl>
    <w:p w:rsidR="00FB766A" w:rsidP="00663C17">
      <w:pPr>
        <w:pStyle w:val="BodyText"/>
      </w:pPr>
    </w:p>
    <w:p w:rsidR="00FB766A" w:rsidP="00663C17">
      <w:pPr>
        <w:pStyle w:val="BodyText"/>
      </w:pPr>
    </w:p>
    <w:p w:rsidR="00000000" w:rsidRPr="00663C17" w:rsidP="00663C17">
      <w:pPr>
        <w:pStyle w:val="Heading1"/>
      </w:pPr>
      <w:bookmarkStart w:id="7" w:name="O_292873"/>
      <w:bookmarkEnd w:id="7"/>
      <w:r w:rsidRPr="00663C17">
        <w:t>Elements and Performance Criteria Pre-Content</w:t>
      </w:r>
    </w:p>
    <w:tbl>
      <w:tblPr>
        <w:tblW w:w="0" w:type="auto"/>
        <w:tblLayout w:type="fixed"/>
        <w:tblCellMar>
          <w:left w:w="62" w:type="dxa"/>
          <w:right w:w="62" w:type="dxa"/>
        </w:tblCellMar>
        <w:tblLook w:val="0000"/>
      </w:tblPr>
      <w:tblGrid>
        <w:gridCol w:w="2700"/>
        <w:gridCol w:w="5760"/>
      </w:tblGrid>
      <w:tr w:rsidTr="00FB766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663C17">
            <w:pPr>
              <w:pStyle w:val="BodyText"/>
              <w:rPr>
                <w:lang w:val="en-NZ"/>
              </w:rPr>
            </w:pPr>
            <w:r w:rsidRPr="00663C17">
              <w:rPr>
                <w:rStyle w:val="SpecialBold"/>
              </w:rPr>
              <w:t>6</w:t>
            </w:r>
            <w:r w:rsidRPr="00663C17">
              <w:t>) Elements describe the essential outcomes of a unit</w:t>
            </w:r>
          </w:p>
        </w:tc>
        <w:tc>
          <w:tcPr>
            <w:tcW w:w="5760" w:type="dxa"/>
            <w:tcBorders>
              <w:top w:val="nil"/>
              <w:left w:val="nil"/>
              <w:bottom w:val="nil"/>
              <w:right w:val="nil"/>
            </w:tcBorders>
            <w:tcMar>
              <w:top w:w="0" w:type="dxa"/>
              <w:left w:w="62" w:type="dxa"/>
              <w:bottom w:w="0" w:type="dxa"/>
              <w:right w:w="62" w:type="dxa"/>
            </w:tcMar>
          </w:tcPr>
          <w:p w:rsidR="00000000" w:rsidRPr="00663C17" w:rsidP="00663C17">
            <w:pPr>
              <w:pStyle w:val="BodyText"/>
            </w:pPr>
            <w:r w:rsidRPr="00663C17">
              <w:t>Performance criteria describe the required performance needed to demonstrate achievement of the element. Assessment of performance is to be consiste</w:t>
            </w:r>
            <w:r w:rsidRPr="00663C17">
              <w:t>nt with the evidence guide.</w:t>
            </w:r>
          </w:p>
        </w:tc>
      </w:tr>
    </w:tbl>
    <w:p w:rsidR="00000000" w:rsidRPr="00663C17" w:rsidP="00663C17">
      <w:pPr>
        <w:pStyle w:val="BodyText"/>
      </w:pPr>
    </w:p>
    <w:p w:rsidR="00000000" w:rsidRPr="00663C17" w:rsidP="00663C17">
      <w:pPr>
        <w:pStyle w:val="AllowPageBreak"/>
      </w:pPr>
    </w:p>
    <w:p w:rsidR="00000000" w:rsidRPr="00663C17" w:rsidP="00663C17">
      <w:pPr>
        <w:pStyle w:val="Heading1"/>
      </w:pPr>
      <w:bookmarkStart w:id="8" w:name="O_239541"/>
      <w:bookmarkEnd w:id="8"/>
      <w:r w:rsidRPr="00663C17">
        <w:t>Elements and Performance Criteria</w:t>
      </w:r>
    </w:p>
    <w:tbl>
      <w:tblPr>
        <w:tblW w:w="0" w:type="auto"/>
        <w:tblLayout w:type="fixed"/>
        <w:tblCellMar>
          <w:left w:w="62" w:type="dxa"/>
          <w:right w:w="62" w:type="dxa"/>
        </w:tblCellMar>
        <w:tblLook w:val="0000"/>
      </w:tblPr>
      <w:tblGrid>
        <w:gridCol w:w="360"/>
        <w:gridCol w:w="2340"/>
        <w:gridCol w:w="900"/>
        <w:gridCol w:w="4860"/>
      </w:tblGrid>
      <w:tr w:rsidTr="00FB766A">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663C17" w:rsidP="00663C17">
            <w:pPr>
              <w:pStyle w:val="BodyText"/>
            </w:pPr>
            <w:r w:rsidRPr="00663C17">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663C17">
            <w:pPr>
              <w:pStyle w:val="BodyText"/>
              <w:rPr>
                <w:lang w:val="en-NZ"/>
              </w:rPr>
            </w:pPr>
            <w:r w:rsidRPr="00663C17">
              <w:rPr>
                <w:rStyle w:val="SpecialBold"/>
              </w:rPr>
              <w:t>PERFORMANCE CRITERIA</w:t>
            </w:r>
          </w:p>
        </w:tc>
      </w:tr>
      <w:tr w:rsidTr="00FB766A">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rsidP="00663C17">
            <w:pPr>
              <w:pStyle w:val="BodyText"/>
              <w:rPr>
                <w:lang w:val="en-NZ"/>
              </w:rPr>
            </w:pPr>
            <w:r w:rsidRPr="00663C17">
              <w:t>1</w:t>
            </w:r>
          </w:p>
        </w:tc>
        <w:tc>
          <w:tcPr>
            <w:tcW w:w="2340" w:type="dxa"/>
            <w:vMerge w:val="restart"/>
            <w:tcBorders>
              <w:top w:val="nil"/>
              <w:left w:val="nil"/>
              <w:bottom w:val="nil"/>
              <w:right w:val="nil"/>
            </w:tcBorders>
            <w:tcMar>
              <w:top w:w="0" w:type="dxa"/>
              <w:left w:w="62" w:type="dxa"/>
              <w:bottom w:w="0" w:type="dxa"/>
              <w:right w:w="62" w:type="dxa"/>
            </w:tcMar>
          </w:tcPr>
          <w:p w:rsidR="00000000" w:rsidP="00663C17">
            <w:pPr>
              <w:pStyle w:val="BodyText"/>
              <w:rPr>
                <w:lang w:val="en-NZ"/>
              </w:rPr>
            </w:pPr>
            <w:r w:rsidRPr="00663C17">
              <w:t>Prepare to monitor and adjust energy management systems on refrigeration systems.</w:t>
            </w:r>
          </w:p>
        </w:tc>
        <w:tc>
          <w:tcPr>
            <w:tcW w:w="900" w:type="dxa"/>
            <w:tcBorders>
              <w:top w:val="nil"/>
              <w:left w:val="nil"/>
              <w:bottom w:val="nil"/>
              <w:right w:val="nil"/>
            </w:tcBorders>
            <w:tcMar>
              <w:top w:w="0" w:type="dxa"/>
              <w:left w:w="62" w:type="dxa"/>
              <w:bottom w:w="0" w:type="dxa"/>
              <w:right w:w="62" w:type="dxa"/>
            </w:tcMar>
          </w:tcPr>
          <w:p w:rsidR="00000000" w:rsidP="00663C17">
            <w:pPr>
              <w:pStyle w:val="BodyText"/>
              <w:rPr>
                <w:lang w:val="en-NZ"/>
              </w:rPr>
            </w:pPr>
            <w:r w:rsidRPr="00663C17">
              <w:t>1.1</w:t>
            </w:r>
          </w:p>
        </w:tc>
        <w:tc>
          <w:tcPr>
            <w:tcW w:w="4860" w:type="dxa"/>
            <w:tcBorders>
              <w:top w:val="nil"/>
              <w:left w:val="nil"/>
              <w:bottom w:val="nil"/>
              <w:right w:val="nil"/>
            </w:tcBorders>
            <w:tcMar>
              <w:top w:w="0" w:type="dxa"/>
              <w:left w:w="62" w:type="dxa"/>
              <w:bottom w:w="0" w:type="dxa"/>
              <w:right w:w="62" w:type="dxa"/>
            </w:tcMar>
          </w:tcPr>
          <w:p w:rsidR="00000000" w:rsidP="00663C17">
            <w:pPr>
              <w:pStyle w:val="BodyText"/>
              <w:rPr>
                <w:lang w:val="en-NZ"/>
              </w:rPr>
            </w:pPr>
            <w:r w:rsidRPr="00663C17">
              <w:t>OHS procedures for a given work area are identified, obtained and understood</w:t>
            </w:r>
          </w:p>
        </w:tc>
      </w:tr>
      <w:tr w:rsidTr="00FB766A">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63C17">
            <w:pPr>
              <w:pStyle w:val="BodyText"/>
              <w:rPr>
                <w:lang w:val="en-NZ"/>
              </w:rPr>
            </w:pPr>
            <w:r w:rsidRPr="00663C17">
              <w:t>1.2</w:t>
            </w:r>
          </w:p>
        </w:tc>
        <w:tc>
          <w:tcPr>
            <w:tcW w:w="4860" w:type="dxa"/>
            <w:tcBorders>
              <w:top w:val="nil"/>
              <w:left w:val="nil"/>
              <w:bottom w:val="nil"/>
              <w:right w:val="nil"/>
            </w:tcBorders>
            <w:tcMar>
              <w:top w:w="0" w:type="dxa"/>
              <w:left w:w="62" w:type="dxa"/>
              <w:bottom w:w="0" w:type="dxa"/>
              <w:right w:w="62" w:type="dxa"/>
            </w:tcMar>
          </w:tcPr>
          <w:p w:rsidR="00000000" w:rsidP="00663C17">
            <w:pPr>
              <w:pStyle w:val="BodyText"/>
              <w:rPr>
                <w:lang w:val="en-NZ"/>
              </w:rPr>
            </w:pPr>
            <w:r w:rsidRPr="00663C17">
              <w:t>Established OHS risk control measures and procedures are followed in preparation for the work.</w:t>
            </w:r>
          </w:p>
        </w:tc>
      </w:tr>
      <w:tr w:rsidTr="00FB766A">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63C17">
            <w:pPr>
              <w:pStyle w:val="BodyText"/>
              <w:rPr>
                <w:lang w:val="en-NZ"/>
              </w:rPr>
            </w:pPr>
            <w:r w:rsidRPr="00663C17">
              <w:t>1.3</w:t>
            </w:r>
          </w:p>
        </w:tc>
        <w:tc>
          <w:tcPr>
            <w:tcW w:w="4860" w:type="dxa"/>
            <w:tcBorders>
              <w:top w:val="nil"/>
              <w:left w:val="nil"/>
              <w:bottom w:val="nil"/>
              <w:right w:val="nil"/>
            </w:tcBorders>
            <w:tcMar>
              <w:top w:w="0" w:type="dxa"/>
              <w:left w:w="62" w:type="dxa"/>
              <w:bottom w:w="0" w:type="dxa"/>
              <w:right w:w="62" w:type="dxa"/>
            </w:tcMar>
          </w:tcPr>
          <w:p w:rsidR="00000000" w:rsidP="00663C17">
            <w:pPr>
              <w:pStyle w:val="BodyText"/>
              <w:rPr>
                <w:lang w:val="en-NZ"/>
              </w:rPr>
            </w:pPr>
            <w:r w:rsidRPr="00663C17">
              <w:t>Safety hazards which have not previously been identified are noted and established risk control measures are implemented.</w:t>
            </w:r>
          </w:p>
        </w:tc>
      </w:tr>
      <w:tr w:rsidTr="00FB766A">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63C17">
            <w:pPr>
              <w:pStyle w:val="BodyText"/>
              <w:rPr>
                <w:lang w:val="en-NZ"/>
              </w:rPr>
            </w:pPr>
            <w:r w:rsidRPr="00663C17">
              <w:t>1.4</w:t>
            </w:r>
          </w:p>
        </w:tc>
        <w:tc>
          <w:tcPr>
            <w:tcW w:w="4860" w:type="dxa"/>
            <w:tcBorders>
              <w:top w:val="nil"/>
              <w:left w:val="nil"/>
              <w:bottom w:val="nil"/>
              <w:right w:val="nil"/>
            </w:tcBorders>
            <w:tcMar>
              <w:top w:w="0" w:type="dxa"/>
              <w:left w:w="62" w:type="dxa"/>
              <w:bottom w:w="0" w:type="dxa"/>
              <w:right w:w="62" w:type="dxa"/>
            </w:tcMar>
          </w:tcPr>
          <w:p w:rsidR="00000000" w:rsidP="00663C17">
            <w:pPr>
              <w:pStyle w:val="BodyText"/>
              <w:rPr>
                <w:lang w:val="en-NZ"/>
              </w:rPr>
            </w:pPr>
            <w:r w:rsidRPr="00663C17">
              <w:t>Appropriate personnel are consulted to ensure the work is coordinated effectively with others involved on the work site.</w:t>
            </w:r>
          </w:p>
        </w:tc>
      </w:tr>
      <w:tr w:rsidTr="00FB766A">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63C17">
            <w:pPr>
              <w:pStyle w:val="BodyText"/>
              <w:rPr>
                <w:lang w:val="en-NZ"/>
              </w:rPr>
            </w:pPr>
            <w:r w:rsidRPr="00663C17">
              <w:t>1.5</w:t>
            </w:r>
          </w:p>
        </w:tc>
        <w:tc>
          <w:tcPr>
            <w:tcW w:w="4860" w:type="dxa"/>
            <w:tcBorders>
              <w:top w:val="nil"/>
              <w:left w:val="nil"/>
              <w:bottom w:val="nil"/>
              <w:right w:val="nil"/>
            </w:tcBorders>
            <w:tcMar>
              <w:top w:w="0" w:type="dxa"/>
              <w:left w:w="62" w:type="dxa"/>
              <w:bottom w:w="0" w:type="dxa"/>
              <w:right w:w="62" w:type="dxa"/>
            </w:tcMar>
          </w:tcPr>
          <w:p w:rsidR="00000000" w:rsidP="00663C17">
            <w:pPr>
              <w:pStyle w:val="BodyText"/>
              <w:rPr>
                <w:lang w:val="en-NZ"/>
              </w:rPr>
            </w:pPr>
            <w:r w:rsidRPr="00663C17">
              <w:t>System energy parameters are identified by reviewing system specifications and component technical data.</w:t>
            </w:r>
          </w:p>
        </w:tc>
      </w:tr>
      <w:tr w:rsidTr="00FB766A">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63C17">
            <w:pPr>
              <w:pStyle w:val="BodyText"/>
              <w:rPr>
                <w:lang w:val="en-NZ"/>
              </w:rPr>
            </w:pPr>
            <w:r w:rsidRPr="00663C17">
              <w:t>1.6</w:t>
            </w:r>
          </w:p>
        </w:tc>
        <w:tc>
          <w:tcPr>
            <w:tcW w:w="4860" w:type="dxa"/>
            <w:tcBorders>
              <w:top w:val="nil"/>
              <w:left w:val="nil"/>
              <w:bottom w:val="nil"/>
              <w:right w:val="nil"/>
            </w:tcBorders>
            <w:tcMar>
              <w:top w:w="0" w:type="dxa"/>
              <w:left w:w="62" w:type="dxa"/>
              <w:bottom w:w="0" w:type="dxa"/>
              <w:right w:w="62" w:type="dxa"/>
            </w:tcMar>
          </w:tcPr>
          <w:p w:rsidR="00000000" w:rsidP="00663C17">
            <w:pPr>
              <w:pStyle w:val="BodyText"/>
              <w:rPr>
                <w:lang w:val="en-NZ"/>
              </w:rPr>
            </w:pPr>
            <w:r w:rsidRPr="00663C17">
              <w:t>Tools, equipment and testing devices needed to carry out the work are obtained and checked for correct operation and safety.</w:t>
            </w:r>
          </w:p>
        </w:tc>
      </w:tr>
      <w:tr w:rsidTr="00FB766A">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63C17">
            <w:pPr>
              <w:pStyle w:val="BodyText"/>
              <w:rPr>
                <w:lang w:val="en-NZ"/>
              </w:rPr>
            </w:pPr>
            <w:r w:rsidRPr="00663C17">
              <w:t>1.7</w:t>
            </w:r>
          </w:p>
        </w:tc>
        <w:tc>
          <w:tcPr>
            <w:tcW w:w="4860" w:type="dxa"/>
            <w:tcBorders>
              <w:top w:val="nil"/>
              <w:left w:val="nil"/>
              <w:bottom w:val="nil"/>
              <w:right w:val="nil"/>
            </w:tcBorders>
            <w:tcMar>
              <w:top w:w="0" w:type="dxa"/>
              <w:left w:w="62" w:type="dxa"/>
              <w:bottom w:w="0" w:type="dxa"/>
              <w:right w:w="62" w:type="dxa"/>
            </w:tcMar>
          </w:tcPr>
          <w:p w:rsidR="00000000" w:rsidP="00663C17">
            <w:pPr>
              <w:pStyle w:val="BodyText"/>
              <w:rPr>
                <w:lang w:val="en-NZ"/>
              </w:rPr>
            </w:pPr>
            <w:r w:rsidRPr="00663C17">
              <w:t>Preparatory work is checked to ensure no damage has occurred and complies with requirements</w:t>
            </w:r>
          </w:p>
        </w:tc>
      </w:tr>
      <w:tr w:rsidTr="00FB766A">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63C17">
            <w:pPr>
              <w:pStyle w:val="BodyText"/>
              <w:rPr>
                <w:lang w:val="en-NZ"/>
              </w:rPr>
            </w:pPr>
            <w:r w:rsidRPr="00663C17">
              <w:t>1.8</w:t>
            </w:r>
          </w:p>
        </w:tc>
        <w:tc>
          <w:tcPr>
            <w:tcW w:w="4860" w:type="dxa"/>
            <w:tcBorders>
              <w:top w:val="nil"/>
              <w:left w:val="nil"/>
              <w:bottom w:val="nil"/>
              <w:right w:val="nil"/>
            </w:tcBorders>
            <w:tcMar>
              <w:top w:w="0" w:type="dxa"/>
              <w:left w:w="62" w:type="dxa"/>
              <w:bottom w:w="0" w:type="dxa"/>
              <w:right w:w="62" w:type="dxa"/>
            </w:tcMar>
          </w:tcPr>
          <w:p w:rsidR="00000000" w:rsidP="00663C17">
            <w:pPr>
              <w:pStyle w:val="BodyText"/>
              <w:rPr>
                <w:lang w:val="en-NZ"/>
              </w:rPr>
            </w:pPr>
            <w:r w:rsidRPr="00663C17">
              <w:t>The need to test or measure live is determined in strict accordance with OHS requirements and when necessary conducted within established safety procedures.</w:t>
            </w:r>
          </w:p>
        </w:tc>
      </w:tr>
      <w:tr w:rsidTr="00FB766A">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63C17">
            <w:pPr>
              <w:pStyle w:val="BodyText"/>
              <w:rPr>
                <w:lang w:val="en-NZ"/>
              </w:rPr>
            </w:pPr>
            <w:r w:rsidRPr="00663C17">
              <w:t>1.9</w:t>
            </w:r>
          </w:p>
        </w:tc>
        <w:tc>
          <w:tcPr>
            <w:tcW w:w="4860" w:type="dxa"/>
            <w:tcBorders>
              <w:top w:val="nil"/>
              <w:left w:val="nil"/>
              <w:bottom w:val="nil"/>
              <w:right w:val="nil"/>
            </w:tcBorders>
            <w:tcMar>
              <w:top w:w="0" w:type="dxa"/>
              <w:left w:w="62" w:type="dxa"/>
              <w:bottom w:w="0" w:type="dxa"/>
              <w:right w:w="62" w:type="dxa"/>
            </w:tcMar>
          </w:tcPr>
          <w:p w:rsidR="00000000" w:rsidP="00663C17">
            <w:pPr>
              <w:pStyle w:val="BodyText"/>
              <w:rPr>
                <w:lang w:val="en-NZ"/>
              </w:rPr>
            </w:pPr>
            <w:r w:rsidRPr="00663C17">
              <w:t>Circuits are checked as being isolated where necessary in strict accordance OHS requirements and procedures.</w:t>
            </w:r>
          </w:p>
        </w:tc>
      </w:tr>
      <w:tr w:rsidTr="00FB766A">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rsidP="00663C17">
            <w:pPr>
              <w:pStyle w:val="BodyText"/>
              <w:rPr>
                <w:lang w:val="en-NZ"/>
              </w:rPr>
            </w:pPr>
            <w:r w:rsidRPr="00663C17">
              <w:t>2</w:t>
            </w:r>
          </w:p>
        </w:tc>
        <w:tc>
          <w:tcPr>
            <w:tcW w:w="2340" w:type="dxa"/>
            <w:vMerge w:val="restart"/>
            <w:tcBorders>
              <w:top w:val="nil"/>
              <w:left w:val="nil"/>
              <w:bottom w:val="nil"/>
              <w:right w:val="nil"/>
            </w:tcBorders>
            <w:tcMar>
              <w:top w:w="0" w:type="dxa"/>
              <w:left w:w="62" w:type="dxa"/>
              <w:bottom w:w="0" w:type="dxa"/>
              <w:right w:w="62" w:type="dxa"/>
            </w:tcMar>
          </w:tcPr>
          <w:p w:rsidR="00000000" w:rsidP="00663C17">
            <w:pPr>
              <w:pStyle w:val="BodyText"/>
              <w:rPr>
                <w:lang w:val="en-NZ"/>
              </w:rPr>
            </w:pPr>
            <w:r w:rsidRPr="00663C17">
              <w:t>Monitor and adjust energy management systems on refrigeration systems.</w:t>
            </w:r>
          </w:p>
        </w:tc>
        <w:tc>
          <w:tcPr>
            <w:tcW w:w="900" w:type="dxa"/>
            <w:tcBorders>
              <w:top w:val="nil"/>
              <w:left w:val="nil"/>
              <w:bottom w:val="nil"/>
              <w:right w:val="nil"/>
            </w:tcBorders>
            <w:tcMar>
              <w:top w:w="0" w:type="dxa"/>
              <w:left w:w="62" w:type="dxa"/>
              <w:bottom w:w="0" w:type="dxa"/>
              <w:right w:w="62" w:type="dxa"/>
            </w:tcMar>
          </w:tcPr>
          <w:p w:rsidR="00000000" w:rsidP="00663C17">
            <w:pPr>
              <w:pStyle w:val="BodyText"/>
              <w:rPr>
                <w:lang w:val="en-NZ"/>
              </w:rPr>
            </w:pPr>
            <w:r w:rsidRPr="00663C17">
              <w:t>2.1</w:t>
            </w:r>
          </w:p>
        </w:tc>
        <w:tc>
          <w:tcPr>
            <w:tcW w:w="4860" w:type="dxa"/>
            <w:tcBorders>
              <w:top w:val="nil"/>
              <w:left w:val="nil"/>
              <w:bottom w:val="nil"/>
              <w:right w:val="nil"/>
            </w:tcBorders>
            <w:tcMar>
              <w:top w:w="0" w:type="dxa"/>
              <w:left w:w="62" w:type="dxa"/>
              <w:bottom w:w="0" w:type="dxa"/>
              <w:right w:w="62" w:type="dxa"/>
            </w:tcMar>
          </w:tcPr>
          <w:p w:rsidR="00000000" w:rsidP="00663C17">
            <w:pPr>
              <w:pStyle w:val="BodyText"/>
              <w:rPr>
                <w:lang w:val="en-NZ"/>
              </w:rPr>
            </w:pPr>
            <w:r w:rsidRPr="00663C17">
              <w:t>OHS risk control measures and procedures for carrying out the work are followed.</w:t>
            </w:r>
          </w:p>
        </w:tc>
      </w:tr>
      <w:tr w:rsidTr="00FB766A">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63C17">
            <w:pPr>
              <w:pStyle w:val="BodyText"/>
              <w:rPr>
                <w:lang w:val="en-NZ"/>
              </w:rPr>
            </w:pPr>
            <w:r w:rsidRPr="00663C17">
              <w:t>2.2</w:t>
            </w:r>
          </w:p>
        </w:tc>
        <w:tc>
          <w:tcPr>
            <w:tcW w:w="4860" w:type="dxa"/>
            <w:tcBorders>
              <w:top w:val="nil"/>
              <w:left w:val="nil"/>
              <w:bottom w:val="nil"/>
              <w:right w:val="nil"/>
            </w:tcBorders>
            <w:tcMar>
              <w:top w:w="0" w:type="dxa"/>
              <w:left w:w="62" w:type="dxa"/>
              <w:bottom w:w="0" w:type="dxa"/>
              <w:right w:w="62" w:type="dxa"/>
            </w:tcMar>
          </w:tcPr>
          <w:p w:rsidR="00000000" w:rsidP="00663C17">
            <w:pPr>
              <w:pStyle w:val="BodyText"/>
              <w:rPr>
                <w:lang w:val="en-NZ"/>
              </w:rPr>
            </w:pPr>
            <w:r w:rsidRPr="00663C17">
              <w:t>Testing/measuring devices are connected and set up in accordance with requirements for a particular system.</w:t>
            </w:r>
          </w:p>
        </w:tc>
      </w:tr>
      <w:tr w:rsidTr="00FB766A">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63C17">
            <w:pPr>
              <w:pStyle w:val="BodyText"/>
              <w:rPr>
                <w:lang w:val="en-NZ"/>
              </w:rPr>
            </w:pPr>
            <w:r w:rsidRPr="00663C17">
              <w:t>2.3</w:t>
            </w:r>
          </w:p>
        </w:tc>
        <w:tc>
          <w:tcPr>
            <w:tcW w:w="4860" w:type="dxa"/>
            <w:tcBorders>
              <w:top w:val="nil"/>
              <w:left w:val="nil"/>
              <w:bottom w:val="nil"/>
              <w:right w:val="nil"/>
            </w:tcBorders>
            <w:tcMar>
              <w:top w:w="0" w:type="dxa"/>
              <w:left w:w="62" w:type="dxa"/>
              <w:bottom w:w="0" w:type="dxa"/>
              <w:right w:w="62" w:type="dxa"/>
            </w:tcMar>
          </w:tcPr>
          <w:p w:rsidR="00000000" w:rsidP="00663C17">
            <w:pPr>
              <w:pStyle w:val="BodyText"/>
              <w:rPr>
                <w:lang w:val="en-NZ"/>
              </w:rPr>
            </w:pPr>
            <w:r w:rsidRPr="00663C17">
              <w:t>Monitoring and adjustments are made to equipment comp</w:t>
            </w:r>
            <w:r w:rsidRPr="00663C17">
              <w:t>onents and controls to provide effective energy use in accordance with system specifications and regulatory requirements.</w:t>
            </w:r>
          </w:p>
        </w:tc>
      </w:tr>
      <w:tr w:rsidTr="00FB766A">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63C17">
            <w:pPr>
              <w:pStyle w:val="BodyText"/>
              <w:rPr>
                <w:lang w:val="en-NZ"/>
              </w:rPr>
            </w:pPr>
            <w:r w:rsidRPr="00663C17">
              <w:t>2.4</w:t>
            </w:r>
          </w:p>
        </w:tc>
        <w:tc>
          <w:tcPr>
            <w:tcW w:w="4860" w:type="dxa"/>
            <w:tcBorders>
              <w:top w:val="nil"/>
              <w:left w:val="nil"/>
              <w:bottom w:val="nil"/>
              <w:right w:val="nil"/>
            </w:tcBorders>
            <w:tcMar>
              <w:top w:w="0" w:type="dxa"/>
              <w:left w:w="62" w:type="dxa"/>
              <w:bottom w:w="0" w:type="dxa"/>
              <w:right w:w="62" w:type="dxa"/>
            </w:tcMar>
          </w:tcPr>
          <w:p w:rsidR="00000000" w:rsidP="00663C17">
            <w:pPr>
              <w:pStyle w:val="BodyText"/>
              <w:rPr>
                <w:lang w:val="en-NZ"/>
              </w:rPr>
            </w:pPr>
            <w:r w:rsidRPr="00663C17">
              <w:t>Decisions for dealing with unexpected situations are made from discussions with appropriate persons and job specifications and requirements.</w:t>
            </w:r>
          </w:p>
        </w:tc>
      </w:tr>
      <w:tr w:rsidTr="00FB766A">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63C17">
            <w:pPr>
              <w:pStyle w:val="BodyText"/>
              <w:rPr>
                <w:lang w:val="en-NZ"/>
              </w:rPr>
            </w:pPr>
            <w:r w:rsidRPr="00663C17">
              <w:t>2.5</w:t>
            </w:r>
          </w:p>
        </w:tc>
        <w:tc>
          <w:tcPr>
            <w:tcW w:w="4860" w:type="dxa"/>
            <w:tcBorders>
              <w:top w:val="nil"/>
              <w:left w:val="nil"/>
              <w:bottom w:val="nil"/>
              <w:right w:val="nil"/>
            </w:tcBorders>
            <w:tcMar>
              <w:top w:w="0" w:type="dxa"/>
              <w:left w:w="62" w:type="dxa"/>
              <w:bottom w:w="0" w:type="dxa"/>
              <w:right w:w="62" w:type="dxa"/>
            </w:tcMar>
          </w:tcPr>
          <w:p w:rsidR="00000000" w:rsidP="00663C17">
            <w:pPr>
              <w:pStyle w:val="BodyText"/>
              <w:rPr>
                <w:lang w:val="en-NZ"/>
              </w:rPr>
            </w:pPr>
            <w:r w:rsidRPr="00663C17">
              <w:t>Methods for dealing with unexpected situations are selected on the basis of safety and specified work outcom</w:t>
            </w:r>
            <w:r w:rsidRPr="00663C17">
              <w:t>es.</w:t>
            </w:r>
          </w:p>
        </w:tc>
      </w:tr>
      <w:tr w:rsidTr="00FB766A">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63C17">
            <w:pPr>
              <w:pStyle w:val="BodyText"/>
              <w:rPr>
                <w:lang w:val="en-NZ"/>
              </w:rPr>
            </w:pPr>
            <w:r w:rsidRPr="00663C17">
              <w:t>2.6</w:t>
            </w:r>
          </w:p>
        </w:tc>
        <w:tc>
          <w:tcPr>
            <w:tcW w:w="4860" w:type="dxa"/>
            <w:tcBorders>
              <w:top w:val="nil"/>
              <w:left w:val="nil"/>
              <w:bottom w:val="nil"/>
              <w:right w:val="nil"/>
            </w:tcBorders>
            <w:tcMar>
              <w:top w:w="0" w:type="dxa"/>
              <w:left w:w="62" w:type="dxa"/>
              <w:bottom w:w="0" w:type="dxa"/>
              <w:right w:w="62" w:type="dxa"/>
            </w:tcMar>
          </w:tcPr>
          <w:p w:rsidR="00000000" w:rsidP="00663C17">
            <w:pPr>
              <w:pStyle w:val="BodyText"/>
              <w:rPr>
                <w:lang w:val="en-NZ"/>
              </w:rPr>
            </w:pPr>
            <w:r w:rsidRPr="00663C17">
              <w:t>Monitoring and adjusting is carried out efficiently without waste of materials or damage to apparatus, the surrounding environment or services and using sustainable energy principles.</w:t>
            </w:r>
          </w:p>
        </w:tc>
      </w:tr>
      <w:tr w:rsidTr="00FB766A">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rsidP="00663C17">
            <w:pPr>
              <w:pStyle w:val="BodyText"/>
              <w:rPr>
                <w:lang w:val="en-NZ"/>
              </w:rPr>
            </w:pPr>
            <w:r w:rsidRPr="00663C17">
              <w:t>3</w:t>
            </w:r>
          </w:p>
        </w:tc>
        <w:tc>
          <w:tcPr>
            <w:tcW w:w="2340" w:type="dxa"/>
            <w:tcBorders>
              <w:top w:val="nil"/>
              <w:left w:val="nil"/>
              <w:bottom w:val="nil"/>
              <w:right w:val="nil"/>
            </w:tcBorders>
            <w:tcMar>
              <w:top w:w="0" w:type="dxa"/>
              <w:left w:w="62" w:type="dxa"/>
              <w:bottom w:w="0" w:type="dxa"/>
              <w:right w:w="62" w:type="dxa"/>
            </w:tcMar>
          </w:tcPr>
          <w:p w:rsidR="00000000" w:rsidP="00663C17">
            <w:pPr>
              <w:pStyle w:val="BodyText"/>
              <w:rPr>
                <w:lang w:val="en-NZ"/>
              </w:rPr>
            </w:pPr>
            <w:r w:rsidRPr="00663C17">
              <w:t>Completion and report monitoring adjusting activities.</w:t>
            </w:r>
          </w:p>
        </w:tc>
        <w:tc>
          <w:tcPr>
            <w:tcW w:w="900" w:type="dxa"/>
            <w:tcBorders>
              <w:top w:val="nil"/>
              <w:left w:val="nil"/>
              <w:bottom w:val="nil"/>
              <w:right w:val="nil"/>
            </w:tcBorders>
            <w:tcMar>
              <w:top w:w="0" w:type="dxa"/>
              <w:left w:w="62" w:type="dxa"/>
              <w:bottom w:w="0" w:type="dxa"/>
              <w:right w:w="62" w:type="dxa"/>
            </w:tcMar>
          </w:tcPr>
          <w:p w:rsidR="00000000" w:rsidP="00663C17">
            <w:pPr>
              <w:pStyle w:val="BodyText"/>
              <w:rPr>
                <w:lang w:val="en-NZ"/>
              </w:rPr>
            </w:pPr>
            <w:r w:rsidRPr="00663C17">
              <w:t>3.1</w:t>
            </w:r>
          </w:p>
        </w:tc>
        <w:tc>
          <w:tcPr>
            <w:tcW w:w="4860" w:type="dxa"/>
            <w:tcBorders>
              <w:top w:val="nil"/>
              <w:left w:val="nil"/>
              <w:bottom w:val="nil"/>
              <w:right w:val="nil"/>
            </w:tcBorders>
            <w:tcMar>
              <w:top w:w="0" w:type="dxa"/>
              <w:left w:w="62" w:type="dxa"/>
              <w:bottom w:w="0" w:type="dxa"/>
              <w:right w:w="62" w:type="dxa"/>
            </w:tcMar>
          </w:tcPr>
          <w:p w:rsidR="00000000" w:rsidP="00663C17">
            <w:pPr>
              <w:pStyle w:val="BodyText"/>
              <w:rPr>
                <w:lang w:val="en-NZ"/>
              </w:rPr>
            </w:pPr>
            <w:r w:rsidRPr="00663C17">
              <w:t>OHS risk control work completion measures and procedures are followed.</w:t>
            </w:r>
          </w:p>
        </w:tc>
      </w:tr>
      <w:tr w:rsidTr="00FB766A">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63C17">
            <w:pPr>
              <w:pStyle w:val="BodyText"/>
              <w:rPr>
                <w:lang w:val="en-NZ"/>
              </w:rPr>
            </w:pPr>
            <w:r w:rsidRPr="00663C17">
              <w:t>3.2</w:t>
            </w:r>
          </w:p>
        </w:tc>
        <w:tc>
          <w:tcPr>
            <w:tcW w:w="4860" w:type="dxa"/>
            <w:tcBorders>
              <w:top w:val="nil"/>
              <w:left w:val="nil"/>
              <w:bottom w:val="nil"/>
              <w:right w:val="nil"/>
            </w:tcBorders>
            <w:tcMar>
              <w:top w:w="0" w:type="dxa"/>
              <w:left w:w="62" w:type="dxa"/>
              <w:bottom w:w="0" w:type="dxa"/>
              <w:right w:w="62" w:type="dxa"/>
            </w:tcMar>
          </w:tcPr>
          <w:p w:rsidR="00000000" w:rsidP="00663C17">
            <w:pPr>
              <w:pStyle w:val="BodyText"/>
              <w:rPr>
                <w:lang w:val="en-NZ"/>
              </w:rPr>
            </w:pPr>
            <w:r w:rsidRPr="00663C17">
              <w:t>Work site is cleaned and made safe in accordance with established procedures.</w:t>
            </w:r>
          </w:p>
        </w:tc>
      </w:tr>
      <w:tr w:rsidTr="00FB766A">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63C17">
            <w:pPr>
              <w:pStyle w:val="BodyText"/>
              <w:rPr>
                <w:lang w:val="en-NZ"/>
              </w:rPr>
            </w:pPr>
            <w:r w:rsidRPr="00663C17">
              <w:t>3.3</w:t>
            </w:r>
          </w:p>
        </w:tc>
        <w:tc>
          <w:tcPr>
            <w:tcW w:w="4860" w:type="dxa"/>
            <w:tcBorders>
              <w:top w:val="nil"/>
              <w:left w:val="nil"/>
              <w:bottom w:val="nil"/>
              <w:right w:val="nil"/>
            </w:tcBorders>
            <w:tcMar>
              <w:top w:w="0" w:type="dxa"/>
              <w:left w:w="62" w:type="dxa"/>
              <w:bottom w:w="0" w:type="dxa"/>
              <w:right w:w="62" w:type="dxa"/>
            </w:tcMar>
          </w:tcPr>
          <w:p w:rsidR="00000000" w:rsidRPr="00663C17" w:rsidP="00663C17">
            <w:pPr>
              <w:pStyle w:val="BodyText"/>
            </w:pPr>
            <w:r w:rsidRPr="00663C17">
              <w:t>Monitoring and adjustment settings are documented and an appropriate person or persons notified in accordance with established procedures.</w:t>
            </w:r>
          </w:p>
        </w:tc>
      </w:tr>
    </w:tbl>
    <w:p w:rsidR="00FB766A" w:rsidP="00663C17">
      <w:pPr>
        <w:pStyle w:val="BodyText"/>
      </w:pPr>
    </w:p>
    <w:p w:rsidR="00FB766A" w:rsidP="00663C17">
      <w:pPr>
        <w:pStyle w:val="BodyText"/>
      </w:pPr>
    </w:p>
    <w:p w:rsidR="00000000" w:rsidRPr="00663C17" w:rsidP="00663C17">
      <w:pPr>
        <w:pStyle w:val="Heading1"/>
      </w:pPr>
      <w:bookmarkStart w:id="9" w:name="O_263332"/>
      <w:bookmarkEnd w:id="9"/>
      <w:r w:rsidRPr="00663C17">
        <w:t>Required Skills and Knowledge</w:t>
      </w:r>
    </w:p>
    <w:tbl>
      <w:tblPr>
        <w:tblW w:w="0" w:type="auto"/>
        <w:tblLayout w:type="fixed"/>
        <w:tblCellMar>
          <w:left w:w="62" w:type="dxa"/>
          <w:right w:w="62" w:type="dxa"/>
        </w:tblCellMar>
        <w:tblLook w:val="0000"/>
      </w:tblPr>
      <w:tblGrid>
        <w:gridCol w:w="2700"/>
        <w:gridCol w:w="1080"/>
        <w:gridCol w:w="4680"/>
      </w:tblGrid>
      <w:tr w:rsidTr="00FB766A">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663C17">
            <w:pPr>
              <w:pStyle w:val="BodyText"/>
              <w:rPr>
                <w:lang w:val="en-NZ"/>
              </w:rPr>
            </w:pPr>
            <w:r w:rsidRPr="00663C17">
              <w:rPr>
                <w:rStyle w:val="SpecialBold"/>
              </w:rPr>
              <w:t>REQUIRED SKILLS AND KNOWLEDGE</w:t>
            </w:r>
          </w:p>
        </w:tc>
      </w:tr>
      <w:tr w:rsidTr="00FB766A">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663C17">
            <w:pPr>
              <w:pStyle w:val="BodyText"/>
              <w:rPr>
                <w:lang w:val="en-NZ"/>
              </w:rPr>
            </w:pPr>
            <w:r w:rsidRPr="00663C17">
              <w:rPr>
                <w:rStyle w:val="SpecialBold"/>
              </w:rPr>
              <w:t>7</w:t>
            </w:r>
            <w:r w:rsidRPr="00663C17">
              <w:t>) This describes the essential skills and knowledge and their level, required for this unit.</w:t>
            </w:r>
          </w:p>
        </w:tc>
      </w:tr>
      <w:tr w:rsidTr="00FB766A">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663C17" w:rsidP="00663C17">
            <w:pPr>
              <w:pStyle w:val="BodyText"/>
            </w:pPr>
            <w:r w:rsidRPr="00663C17">
              <w:t xml:space="preserve">Evidence shall show that knowledge has been acquired of safe working practices and monitoring and adjusting energy management systems on refrigeration systems. </w:t>
            </w:r>
          </w:p>
          <w:p w:rsidR="00000000" w:rsidRPr="00663C17" w:rsidP="00663C17">
            <w:pPr>
              <w:pStyle w:val="BodyText"/>
            </w:pPr>
            <w:r w:rsidRPr="00663C17">
              <w:t>All knowledge and skills detailed in this unit should be contextualised to current industry practices and technologies.</w:t>
            </w:r>
          </w:p>
          <w:p w:rsidR="00000000" w:rsidP="00663C17">
            <w:pPr>
              <w:pStyle w:val="BodyText"/>
              <w:rPr>
                <w:lang w:val="en-NZ"/>
              </w:rPr>
            </w:pPr>
            <w:r w:rsidRPr="00663C17">
              <w:t>The extent of the essential knowledge and associated skills (EKAS) required is given in Volume 2 - Part 2.2 EKAS.  It forms an integral</w:t>
            </w:r>
            <w:r w:rsidRPr="00663C17">
              <w:t xml:space="preserve"> part of this unit.</w:t>
            </w:r>
          </w:p>
        </w:tc>
      </w:tr>
      <w:tr w:rsidTr="00FB766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663C17">
            <w:pPr>
              <w:pStyle w:val="BodyText"/>
              <w:rPr>
                <w:lang w:val="en-NZ"/>
              </w:rPr>
            </w:pPr>
            <w:r w:rsidRPr="00663C17">
              <w:t>2.15.16</w:t>
            </w:r>
          </w:p>
        </w:tc>
        <w:tc>
          <w:tcPr>
            <w:tcW w:w="4680" w:type="dxa"/>
            <w:tcBorders>
              <w:top w:val="nil"/>
              <w:left w:val="nil"/>
              <w:bottom w:val="nil"/>
              <w:right w:val="nil"/>
            </w:tcBorders>
            <w:tcMar>
              <w:top w:w="0" w:type="dxa"/>
              <w:left w:w="62" w:type="dxa"/>
              <w:bottom w:w="0" w:type="dxa"/>
              <w:right w:w="62" w:type="dxa"/>
            </w:tcMar>
          </w:tcPr>
          <w:p w:rsidR="00000000" w:rsidP="00663C17">
            <w:pPr>
              <w:pStyle w:val="BodyText"/>
              <w:rPr>
                <w:lang w:val="en-NZ"/>
              </w:rPr>
            </w:pPr>
            <w:r w:rsidRPr="00663C17">
              <w:t>Energy management systems for commercial refrigeration</w:t>
            </w:r>
          </w:p>
        </w:tc>
      </w:tr>
      <w:tr w:rsidTr="00FB766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680" w:type="dxa"/>
            <w:tcBorders>
              <w:top w:val="nil"/>
              <w:left w:val="nil"/>
              <w:bottom w:val="nil"/>
              <w:right w:val="nil"/>
            </w:tcBorders>
            <w:tcMar>
              <w:top w:w="0" w:type="dxa"/>
              <w:left w:w="62" w:type="dxa"/>
              <w:bottom w:w="0" w:type="dxa"/>
              <w:right w:w="62" w:type="dxa"/>
            </w:tcMar>
          </w:tcPr>
          <w:p w:rsidR="00000000" w:rsidRPr="00663C17" w:rsidP="00663C17">
            <w:pPr>
              <w:pStyle w:val="BodyText"/>
            </w:pPr>
          </w:p>
        </w:tc>
      </w:tr>
    </w:tbl>
    <w:p w:rsidR="00FB766A" w:rsidP="00663C17">
      <w:pPr>
        <w:pStyle w:val="BodyText"/>
      </w:pPr>
    </w:p>
    <w:p w:rsidR="00FB766A" w:rsidP="00663C17">
      <w:pPr>
        <w:pStyle w:val="BodyText"/>
      </w:pPr>
    </w:p>
    <w:p w:rsidR="00000000" w:rsidRPr="00663C17" w:rsidP="00663C17">
      <w:pPr>
        <w:pStyle w:val="Heading1"/>
      </w:pPr>
      <w:bookmarkStart w:id="10" w:name="O_247525"/>
      <w:bookmarkEnd w:id="10"/>
      <w:r w:rsidRPr="00663C17">
        <w:t>Evidence Guide</w:t>
      </w:r>
    </w:p>
    <w:tbl>
      <w:tblPr>
        <w:tblW w:w="0" w:type="auto"/>
        <w:tblLayout w:type="fixed"/>
        <w:tblCellMar>
          <w:left w:w="62" w:type="dxa"/>
          <w:right w:w="62" w:type="dxa"/>
        </w:tblCellMar>
        <w:tblLook w:val="0000"/>
      </w:tblPr>
      <w:tblGrid>
        <w:gridCol w:w="2160"/>
        <w:gridCol w:w="720"/>
        <w:gridCol w:w="540"/>
        <w:gridCol w:w="5040"/>
      </w:tblGrid>
      <w:tr w:rsidTr="00FB766A">
        <w:tblPrEx>
          <w:tblW w:w="0" w:type="auto"/>
          <w:tblLayout w:type="fixed"/>
          <w:tblCellMar>
            <w:left w:w="62" w:type="dxa"/>
            <w:right w:w="62" w:type="dxa"/>
          </w:tblCellMar>
          <w:tblLook w:val="0000"/>
        </w:tblPrEx>
        <w:trPr>
          <w:tblHeader/>
        </w:trPr>
        <w:tc>
          <w:tcPr>
            <w:tcW w:w="8460" w:type="dxa"/>
            <w:gridSpan w:val="4"/>
            <w:tcBorders>
              <w:top w:val="nil"/>
              <w:left w:val="nil"/>
              <w:bottom w:val="nil"/>
              <w:right w:val="nil"/>
            </w:tcBorders>
            <w:tcMar>
              <w:top w:w="0" w:type="dxa"/>
              <w:left w:w="62" w:type="dxa"/>
              <w:bottom w:w="0" w:type="dxa"/>
              <w:right w:w="62" w:type="dxa"/>
            </w:tcMar>
          </w:tcPr>
          <w:p w:rsidR="00000000" w:rsidP="00663C17">
            <w:pPr>
              <w:pStyle w:val="BodyText"/>
              <w:rPr>
                <w:lang w:val="en-NZ"/>
              </w:rPr>
            </w:pPr>
            <w:r w:rsidRPr="00663C17">
              <w:rPr>
                <w:rStyle w:val="SpecialBold"/>
              </w:rPr>
              <w:t>EVIDENCE GUIDE</w:t>
            </w:r>
          </w:p>
        </w:tc>
      </w:tr>
      <w:tr w:rsidTr="00FB766A">
        <w:tblPrEx>
          <w:tblW w:w="0" w:type="auto"/>
          <w:tblLayout w:type="fixed"/>
          <w:tblCellMar>
            <w:left w:w="62" w:type="dxa"/>
            <w:right w:w="62" w:type="dxa"/>
          </w:tblCellMar>
          <w:tblLook w:val="0000"/>
        </w:tblPrEx>
        <w:tc>
          <w:tcPr>
            <w:tcW w:w="8460" w:type="dxa"/>
            <w:gridSpan w:val="4"/>
            <w:tcBorders>
              <w:top w:val="nil"/>
              <w:left w:val="nil"/>
              <w:bottom w:val="nil"/>
              <w:right w:val="nil"/>
            </w:tcBorders>
            <w:tcMar>
              <w:top w:w="0" w:type="dxa"/>
              <w:left w:w="62" w:type="dxa"/>
              <w:bottom w:w="0" w:type="dxa"/>
              <w:right w:w="62" w:type="dxa"/>
            </w:tcMar>
          </w:tcPr>
          <w:p w:rsidR="00000000" w:rsidRPr="00663C17" w:rsidP="00663C17">
            <w:pPr>
              <w:pStyle w:val="BodyText"/>
            </w:pPr>
            <w:r w:rsidRPr="00663C17">
              <w:rPr>
                <w:rStyle w:val="SpecialBold"/>
              </w:rPr>
              <w:t>9</w:t>
            </w:r>
            <w:r w:rsidRPr="00663C17">
              <w:t xml:space="preserve">) The evidence guide provides advice on assessment and must be read in conjunction with the Performance </w:t>
            </w:r>
            <w:r w:rsidRPr="00663C17">
              <w:t>Criteria, Required Skills and Knowledge, the Range Statement and the Assessment Guidelines for this Training Package. .</w:t>
            </w:r>
          </w:p>
          <w:p w:rsidR="00000000" w:rsidP="00663C17">
            <w:pPr>
              <w:pStyle w:val="BodyText"/>
              <w:rPr>
                <w:lang w:val="en-NZ"/>
              </w:rPr>
            </w:pPr>
            <w:r w:rsidRPr="00663C17">
              <w:t>The Evidence Guide forms an integral part of this Unit. It must be used in conjunction with all parts of this unit and performed in acco</w:t>
            </w:r>
            <w:r w:rsidRPr="00663C17">
              <w:t>rdance with the Assessment Guidelines of this Training Package.</w:t>
            </w:r>
          </w:p>
        </w:tc>
      </w:tr>
      <w:tr w:rsidTr="00FB766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663C17" w:rsidP="00663C17">
            <w:pPr>
              <w:pStyle w:val="BodyText"/>
            </w:pPr>
            <w:r w:rsidRPr="00663C17">
              <w:rPr>
                <w:rStyle w:val="SpecialBold"/>
              </w:rPr>
              <w:t>Overview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663C17" w:rsidP="00663C17">
            <w:pPr>
              <w:pStyle w:val="BodyText"/>
            </w:pPr>
            <w:r w:rsidRPr="00663C17">
              <w:rPr>
                <w:rStyle w:val="SpecialBold"/>
              </w:rPr>
              <w:t>9</w:t>
            </w:r>
            <w:r w:rsidRPr="00663C17">
              <w:t>.</w:t>
            </w:r>
            <w:r w:rsidRPr="00663C17">
              <w:rPr>
                <w:rStyle w:val="SpecialBold"/>
              </w:rPr>
              <w:t>1</w:t>
            </w:r>
            <w:r w:rsidRPr="00663C17">
              <w:t xml:space="preserve">) </w:t>
            </w:r>
          </w:p>
          <w:p w:rsidR="00000000" w:rsidRPr="00663C17" w:rsidP="00663C17">
            <w:pPr>
              <w:pStyle w:val="BodyText"/>
            </w:pPr>
            <w:r w:rsidRPr="00663C17">
              <w:t>Longitudinal competency development approaches to assessment, such as Profiling, require data to be reliably gathered in a form that can be consistently interpreted over time. This approach is best utilised in Apprenticeship programs and reduces assessment</w:t>
            </w:r>
            <w:r w:rsidRPr="00663C17">
              <w:t xml:space="preserve"> intervention. It is the industry-preferred model for apprenticeships. However, where summative (or final) assessment is used it is to include the application of the competency in the normal work environment or, at a minimum, the application of the compete</w:t>
            </w:r>
            <w:r w:rsidRPr="00663C17">
              <w:t>ncy in a realistically simulated work environment. In some circumstances, assessment in part or full can occur outside the workplace. However, it must be in accordance with industry and regulatory policy.</w:t>
            </w:r>
          </w:p>
          <w:p w:rsidR="00000000" w:rsidRPr="00663C17" w:rsidP="00663C17">
            <w:pPr>
              <w:pStyle w:val="BodyText"/>
            </w:pPr>
            <w:r w:rsidRPr="00663C17">
              <w:t xml:space="preserve">Methods chosen for a particular assessment will be </w:t>
            </w:r>
            <w:r w:rsidRPr="00663C17">
              <w:t>influenced by various factors. These include the extent of the assessment, the most effective locations for the assessment activities to take place, access to physical resources, additional safety measures that may be required and the critical nature of th</w:t>
            </w:r>
            <w:r w:rsidRPr="00663C17">
              <w:t>e competencies being assessed.</w:t>
            </w:r>
          </w:p>
          <w:p w:rsidR="00000000" w:rsidRPr="00663C17" w:rsidP="00663C17">
            <w:pPr>
              <w:pStyle w:val="BodyText"/>
            </w:pPr>
            <w:r w:rsidRPr="00663C17">
              <w:t>The critical safety nature of working with electricity, electrical equipment, gas or any other hazardous substance/material carries risk in deeming a person competent. Sources of evidence need to be 'rich' in nature to minimi</w:t>
            </w:r>
            <w:r w:rsidRPr="00663C17">
              <w:t>se error in judgment.</w:t>
            </w:r>
          </w:p>
          <w:p w:rsidR="00000000" w:rsidP="00663C17">
            <w:pPr>
              <w:pStyle w:val="BodyText"/>
              <w:rPr>
                <w:lang w:val="en-NZ"/>
              </w:rPr>
            </w:pPr>
            <w:r w:rsidRPr="00663C17">
              <w:t>Activities associated with normal everyday work influence decisions about how/how much the data gathered will contribute to its 'richness'. Some skills are more critical to safety and operational requirements while the same skills may</w:t>
            </w:r>
            <w:r w:rsidRPr="00663C17">
              <w:t xml:space="preserve"> be more or less frequently practised. These points are raised for the assessors to consider when choosing an assessment method and developing assessment instruments. Sample assessment instruments are included for Assessors in the Assessment Guidelines of </w:t>
            </w:r>
            <w:r w:rsidRPr="00663C17">
              <w:t>this Training Package.</w:t>
            </w:r>
          </w:p>
        </w:tc>
      </w:tr>
      <w:tr w:rsidTr="00FB766A">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663C17" w:rsidP="00663C17">
            <w:pPr>
              <w:pStyle w:val="BodyText"/>
            </w:pPr>
            <w:r w:rsidRPr="00663C17">
              <w:rPr>
                <w:rStyle w:val="SpecialBold"/>
              </w:rPr>
              <w:t xml:space="preserve">Critical aspects of evidence required to demonstrate competency </w:t>
            </w:r>
            <w:r w:rsidRPr="00663C17">
              <w:rPr>
                <w:rStyle w:val="SpecialBold"/>
              </w:rPr>
              <w:t>in this unit</w:t>
            </w:r>
          </w:p>
        </w:tc>
        <w:tc>
          <w:tcPr>
            <w:tcW w:w="6300" w:type="dxa"/>
            <w:gridSpan w:val="3"/>
            <w:tcBorders>
              <w:top w:val="nil"/>
              <w:left w:val="nil"/>
              <w:bottom w:val="nil"/>
              <w:right w:val="nil"/>
            </w:tcBorders>
            <w:tcMar>
              <w:top w:w="0" w:type="dxa"/>
              <w:left w:w="62" w:type="dxa"/>
              <w:bottom w:w="0" w:type="dxa"/>
              <w:right w:w="62" w:type="dxa"/>
            </w:tcMar>
          </w:tcPr>
          <w:p w:rsidR="00000000" w:rsidRPr="00663C17" w:rsidP="00663C17">
            <w:pPr>
              <w:pStyle w:val="BodyText"/>
            </w:pPr>
            <w:r w:rsidRPr="00663C17">
              <w:rPr>
                <w:rStyle w:val="SpecialBold"/>
              </w:rPr>
              <w:t>9</w:t>
            </w:r>
            <w:r w:rsidRPr="00663C17">
              <w:t>.</w:t>
            </w:r>
            <w:r w:rsidRPr="00663C17">
              <w:rPr>
                <w:rStyle w:val="SpecialBold"/>
              </w:rPr>
              <w:t>2</w:t>
            </w:r>
            <w:r w:rsidRPr="00663C17">
              <w:t xml:space="preserve">) </w:t>
            </w:r>
          </w:p>
          <w:p w:rsidR="00000000" w:rsidP="00663C17">
            <w:pPr>
              <w:pStyle w:val="BodyText"/>
              <w:rPr>
                <w:lang w:val="en-NZ"/>
              </w:rPr>
            </w:pPr>
            <w:r w:rsidRPr="00663C17">
              <w:t>Before the critical aspects of evidence are considered all prerequisites must be met.</w:t>
            </w:r>
          </w:p>
        </w:tc>
      </w:tr>
      <w:tr w:rsidTr="00FB766A">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663C17" w:rsidP="00663C17">
            <w:pPr>
              <w:pStyle w:val="BodyText"/>
            </w:pPr>
            <w:r w:rsidRPr="00663C17">
              <w:t>Evidence for competence in this unit shall be considered holistically.  Each Element and associated performance criteria shall be demonstrated on at least two occasions in accordance with the 'Assessment Guidelines - UEE07'.  Evidence shall also comprise:</w:t>
            </w:r>
          </w:p>
          <w:p w:rsidR="00000000" w:rsidP="00663C17">
            <w:pPr>
              <w:pStyle w:val="ListBullet"/>
              <w:rPr>
                <w:lang w:val="en-NZ"/>
              </w:rPr>
            </w:pPr>
            <w:r w:rsidRPr="00663C17">
              <w:t>A representative body of work performance demonstrated within the timeframes typically expected of the discipline, work function and industrial environment. In particular this shall incorporate evidence that shows a candidate is able to:</w:t>
            </w:r>
          </w:p>
        </w:tc>
      </w:tr>
      <w:tr w:rsidTr="00FB766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663C17">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663C17" w:rsidP="00663C17">
            <w:pPr>
              <w:pStyle w:val="ListBullet2"/>
            </w:pPr>
            <w:r w:rsidRPr="00663C17">
              <w:t>Implement Occ</w:t>
            </w:r>
            <w:r w:rsidRPr="00663C17">
              <w:t>upational Health and Safety workplace procedures and practices including the use of risk control measures as specified in the performance criteria and range statement</w:t>
            </w:r>
          </w:p>
          <w:p w:rsidR="00000000" w:rsidRPr="00663C17" w:rsidP="00663C17">
            <w:pPr>
              <w:pStyle w:val="ListBullet2"/>
            </w:pPr>
            <w:r w:rsidRPr="00663C17">
              <w:t>Apply sustainable energy principles and practices as specified in the performance criteria and range statement</w:t>
            </w:r>
          </w:p>
          <w:p w:rsidR="00000000" w:rsidRPr="00663C17" w:rsidP="00663C17">
            <w:pPr>
              <w:pStyle w:val="ListBullet2"/>
            </w:pPr>
            <w:r w:rsidRPr="00663C17">
              <w:t>Demonstrate an understanding of the essential knowledge and associated skills as described in this unit.  It may be required by some jurisdiction</w:t>
            </w:r>
            <w:r w:rsidRPr="00663C17">
              <w:t>s that RTOs provide a percentile graded result for the purpose of regulatory or licensing requirements.</w:t>
            </w:r>
          </w:p>
          <w:p w:rsidR="00000000" w:rsidRPr="00663C17" w:rsidP="00663C17">
            <w:pPr>
              <w:pStyle w:val="ListBullet2"/>
            </w:pPr>
            <w:r w:rsidRPr="00663C17">
              <w:t>Demonstrate an appropriate level of skills enabling employment</w:t>
            </w:r>
          </w:p>
          <w:p w:rsidR="00000000" w:rsidP="00663C17">
            <w:pPr>
              <w:pStyle w:val="ListBullet2"/>
              <w:rPr>
                <w:lang w:val="en-NZ"/>
              </w:rPr>
            </w:pPr>
            <w:r w:rsidRPr="00663C17">
              <w:t>Conduct work observing the relevant Anti Discrimination legislation, regulations, polices</w:t>
            </w:r>
            <w:r w:rsidRPr="00663C17">
              <w:t xml:space="preserve"> and workplace procedures</w:t>
            </w:r>
          </w:p>
        </w:tc>
      </w:tr>
      <w:tr w:rsidTr="00FB766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663C17">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663C17">
            <w:pPr>
              <w:pStyle w:val="ListBullet"/>
              <w:rPr>
                <w:lang w:val="en-NZ"/>
              </w:rPr>
            </w:pPr>
            <w:r w:rsidRPr="00663C17">
              <w:t>Demonstrated consistent performance across a representative range of contexts from the prescribed items below:</w:t>
            </w:r>
          </w:p>
        </w:tc>
      </w:tr>
      <w:tr w:rsidTr="00FB766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663C17">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663C17">
            <w:pPr>
              <w:pStyle w:val="ListBullet2"/>
              <w:rPr>
                <w:lang w:val="en-NZ"/>
              </w:rPr>
            </w:pPr>
            <w:r w:rsidRPr="00663C17">
              <w:t>Monitor and adjust energy management systems on refrigeration systems as described in 8) and including:</w:t>
            </w:r>
          </w:p>
        </w:tc>
      </w:tr>
      <w:tr w:rsidTr="00FB766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663C17">
            <w:pPr>
              <w:pStyle w:val="BodyText"/>
              <w:rPr>
                <w:lang w:val="en-NZ"/>
              </w:rPr>
            </w:pPr>
            <w:r w:rsidRPr="00663C17">
              <w:t>A</w:t>
            </w:r>
          </w:p>
        </w:tc>
        <w:tc>
          <w:tcPr>
            <w:tcW w:w="5040" w:type="dxa"/>
            <w:tcBorders>
              <w:top w:val="nil"/>
              <w:left w:val="nil"/>
              <w:bottom w:val="nil"/>
              <w:right w:val="nil"/>
            </w:tcBorders>
            <w:tcMar>
              <w:top w:w="0" w:type="dxa"/>
              <w:left w:w="62" w:type="dxa"/>
              <w:bottom w:w="0" w:type="dxa"/>
              <w:right w:w="62" w:type="dxa"/>
            </w:tcMar>
          </w:tcPr>
          <w:p w:rsidR="00000000" w:rsidP="00663C17">
            <w:pPr>
              <w:pStyle w:val="BodyText"/>
              <w:rPr>
                <w:lang w:val="en-NZ"/>
              </w:rPr>
            </w:pPr>
            <w:r w:rsidRPr="00663C17">
              <w:t>Identifying system energy parameters</w:t>
            </w:r>
          </w:p>
        </w:tc>
      </w:tr>
      <w:tr w:rsidTr="00FB766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663C17">
            <w:pPr>
              <w:pStyle w:val="BodyText"/>
              <w:rPr>
                <w:lang w:val="en-NZ"/>
              </w:rPr>
            </w:pPr>
            <w:r w:rsidRPr="00663C17">
              <w:t>B</w:t>
            </w:r>
          </w:p>
        </w:tc>
        <w:tc>
          <w:tcPr>
            <w:tcW w:w="5040" w:type="dxa"/>
            <w:tcBorders>
              <w:top w:val="nil"/>
              <w:left w:val="nil"/>
              <w:bottom w:val="nil"/>
              <w:right w:val="nil"/>
            </w:tcBorders>
            <w:tcMar>
              <w:top w:w="0" w:type="dxa"/>
              <w:left w:w="62" w:type="dxa"/>
              <w:bottom w:w="0" w:type="dxa"/>
              <w:right w:w="62" w:type="dxa"/>
            </w:tcMar>
          </w:tcPr>
          <w:p w:rsidR="00000000" w:rsidP="00663C17">
            <w:pPr>
              <w:pStyle w:val="BodyText"/>
              <w:rPr>
                <w:lang w:val="en-NZ"/>
              </w:rPr>
            </w:pPr>
            <w:r w:rsidRPr="00663C17">
              <w:t>Monitoring and adjusting system components and controls to provide effective energy use</w:t>
            </w:r>
          </w:p>
        </w:tc>
      </w:tr>
      <w:tr w:rsidTr="00FB766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663C17">
            <w:pPr>
              <w:pStyle w:val="BodyText"/>
              <w:rPr>
                <w:lang w:val="en-NZ"/>
              </w:rPr>
            </w:pPr>
            <w:r w:rsidRPr="00663C17">
              <w:t>C</w:t>
            </w:r>
          </w:p>
        </w:tc>
        <w:tc>
          <w:tcPr>
            <w:tcW w:w="5040" w:type="dxa"/>
            <w:tcBorders>
              <w:top w:val="nil"/>
              <w:left w:val="nil"/>
              <w:bottom w:val="nil"/>
              <w:right w:val="nil"/>
            </w:tcBorders>
            <w:tcMar>
              <w:top w:w="0" w:type="dxa"/>
              <w:left w:w="62" w:type="dxa"/>
              <w:bottom w:w="0" w:type="dxa"/>
              <w:right w:w="62" w:type="dxa"/>
            </w:tcMar>
          </w:tcPr>
          <w:p w:rsidR="00000000" w:rsidP="00663C17">
            <w:pPr>
              <w:pStyle w:val="BodyText"/>
              <w:rPr>
                <w:lang w:val="en-NZ"/>
              </w:rPr>
            </w:pPr>
            <w:r w:rsidRPr="00663C17">
              <w:t>Ensuring system energy use is accordance with requirements</w:t>
            </w:r>
          </w:p>
        </w:tc>
      </w:tr>
      <w:tr w:rsidTr="00FB766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663C17">
            <w:pPr>
              <w:pStyle w:val="BodyText"/>
              <w:rPr>
                <w:lang w:val="en-NZ"/>
              </w:rPr>
            </w:pPr>
            <w:r w:rsidRPr="00663C17">
              <w:t>D</w:t>
            </w:r>
          </w:p>
        </w:tc>
        <w:tc>
          <w:tcPr>
            <w:tcW w:w="5040" w:type="dxa"/>
            <w:tcBorders>
              <w:top w:val="nil"/>
              <w:left w:val="nil"/>
              <w:bottom w:val="nil"/>
              <w:right w:val="nil"/>
            </w:tcBorders>
            <w:tcMar>
              <w:top w:w="0" w:type="dxa"/>
              <w:left w:w="62" w:type="dxa"/>
              <w:bottom w:w="0" w:type="dxa"/>
              <w:right w:w="62" w:type="dxa"/>
            </w:tcMar>
          </w:tcPr>
          <w:p w:rsidR="00000000" w:rsidP="00663C17">
            <w:pPr>
              <w:pStyle w:val="BodyText"/>
              <w:rPr>
                <w:lang w:val="en-NZ"/>
              </w:rPr>
            </w:pPr>
            <w:r w:rsidRPr="00663C17">
              <w:t>Documenting adjustment settings with established procedures</w:t>
            </w:r>
          </w:p>
        </w:tc>
      </w:tr>
      <w:tr w:rsidTr="00FB766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663C17">
            <w:pPr>
              <w:pStyle w:val="BodyText"/>
              <w:rPr>
                <w:lang w:val="en-NZ"/>
              </w:rPr>
            </w:pPr>
            <w:r w:rsidRPr="00663C17">
              <w:t>E</w:t>
            </w:r>
          </w:p>
        </w:tc>
        <w:tc>
          <w:tcPr>
            <w:tcW w:w="5040" w:type="dxa"/>
            <w:tcBorders>
              <w:top w:val="nil"/>
              <w:left w:val="nil"/>
              <w:bottom w:val="nil"/>
              <w:right w:val="nil"/>
            </w:tcBorders>
            <w:tcMar>
              <w:top w:w="0" w:type="dxa"/>
              <w:left w:w="62" w:type="dxa"/>
              <w:bottom w:w="0" w:type="dxa"/>
              <w:right w:w="62" w:type="dxa"/>
            </w:tcMar>
          </w:tcPr>
          <w:p w:rsidR="00000000" w:rsidP="00663C17">
            <w:pPr>
              <w:pStyle w:val="BodyText"/>
              <w:rPr>
                <w:lang w:val="en-NZ"/>
              </w:rPr>
            </w:pPr>
            <w:r w:rsidRPr="00663C17">
              <w:t>Dealing with unplanned events by drawing on essential knowledge and skills to provide appropriate solutions incorporated in the holistic assessment with the above listed items</w:t>
            </w:r>
          </w:p>
        </w:tc>
      </w:tr>
      <w:tr w:rsidTr="00FB766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663C17">
            <w:pPr>
              <w:pStyle w:val="BodyText"/>
              <w:rPr>
                <w:lang w:val="en-NZ"/>
              </w:rPr>
            </w:pPr>
            <w:r w:rsidRPr="00663C17">
              <w:t xml:space="preserve">Note: </w:t>
            </w:r>
            <w:r w:rsidRPr="00663C17">
              <w:br/>
            </w:r>
            <w:r w:rsidRPr="00663C17">
              <w:t>Successful completion of relevant vendor training may be used to contribute to evidence on which competency is deemed. In these cases the alignment of outcomes of vendor training with performance criteria and critical aspects of evidence shall be clearly i</w:t>
            </w:r>
            <w:r w:rsidRPr="00663C17">
              <w:t>dentified</w:t>
            </w:r>
          </w:p>
        </w:tc>
      </w:tr>
      <w:tr w:rsidTr="00FB766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663C17" w:rsidP="00663C17">
            <w:pPr>
              <w:pStyle w:val="BodyText"/>
            </w:pPr>
            <w:r w:rsidRPr="00663C17">
              <w:rPr>
                <w:rStyle w:val="SpecialBold"/>
              </w:rPr>
              <w:t>Context of and specific resources for assessment</w:t>
            </w:r>
          </w:p>
        </w:tc>
        <w:tc>
          <w:tcPr>
            <w:tcW w:w="6300" w:type="dxa"/>
            <w:gridSpan w:val="3"/>
            <w:tcBorders>
              <w:top w:val="nil"/>
              <w:left w:val="nil"/>
              <w:bottom w:val="nil"/>
              <w:right w:val="nil"/>
            </w:tcBorders>
            <w:tcMar>
              <w:top w:w="0" w:type="dxa"/>
              <w:left w:w="62" w:type="dxa"/>
              <w:bottom w:w="0" w:type="dxa"/>
              <w:right w:w="62" w:type="dxa"/>
            </w:tcMar>
          </w:tcPr>
          <w:p w:rsidR="00000000" w:rsidRPr="00663C17" w:rsidP="00663C17">
            <w:pPr>
              <w:pStyle w:val="BodyText"/>
            </w:pPr>
            <w:r w:rsidRPr="00663C17">
              <w:rPr>
                <w:rStyle w:val="SpecialBold"/>
              </w:rPr>
              <w:t>9</w:t>
            </w:r>
            <w:r w:rsidRPr="00663C17">
              <w:t>.</w:t>
            </w:r>
            <w:r w:rsidRPr="00663C17">
              <w:rPr>
                <w:rStyle w:val="SpecialBold"/>
              </w:rPr>
              <w:t>3</w:t>
            </w:r>
            <w:r w:rsidRPr="00663C17">
              <w:t xml:space="preserve">) </w:t>
            </w:r>
          </w:p>
          <w:p w:rsidR="00000000" w:rsidRPr="00663C17" w:rsidP="00663C17">
            <w:pPr>
              <w:pStyle w:val="BodyText"/>
            </w:pPr>
            <w:r w:rsidRPr="00663C17">
              <w:t>This unit should be assessed as it relates to normal work practice using procedures, information and resources typical of a workplace. This should include:</w:t>
            </w:r>
          </w:p>
          <w:p w:rsidR="00000000" w:rsidRPr="00663C17" w:rsidP="00663C17">
            <w:pPr>
              <w:pStyle w:val="ListBullet"/>
            </w:pPr>
            <w:r w:rsidRPr="00663C17">
              <w:t>OHS policy and work procedures a</w:t>
            </w:r>
            <w:r w:rsidRPr="00663C17">
              <w:t>nd instructions.</w:t>
            </w:r>
          </w:p>
          <w:p w:rsidR="00000000" w:rsidRPr="00663C17" w:rsidP="00663C17">
            <w:pPr>
              <w:pStyle w:val="ListBullet"/>
            </w:pPr>
            <w:r w:rsidRPr="00663C17">
              <w:t>Suitable work environment, facilities, equipment and materials to undertake actual work as prescribed by this unit.</w:t>
            </w:r>
          </w:p>
          <w:p w:rsidR="00000000" w:rsidRPr="00663C17" w:rsidP="00663C17">
            <w:pPr>
              <w:pStyle w:val="BodyText"/>
            </w:pPr>
            <w:r w:rsidRPr="00663C17">
              <w:t>These should be part of the formal learning/assessment environment.</w:t>
            </w:r>
          </w:p>
          <w:p w:rsidR="00000000" w:rsidRPr="00663C17" w:rsidP="00663C17">
            <w:pPr>
              <w:pStyle w:val="BodyText"/>
            </w:pPr>
            <w:r w:rsidRPr="00663C17">
              <w:t>Note:</w:t>
            </w:r>
          </w:p>
          <w:p w:rsidR="00000000" w:rsidP="00663C17">
            <w:pPr>
              <w:pStyle w:val="BodyText"/>
              <w:rPr>
                <w:lang w:val="en-NZ"/>
              </w:rPr>
            </w:pPr>
            <w:r w:rsidRPr="00663C17">
              <w:t>Where simulation is considered a suitable strateg</w:t>
            </w:r>
            <w:r w:rsidRPr="00663C17">
              <w:t>y for assessment, conditions must be authentic and as far as possible reproduce and replicate the workplace and be consistent with the approved industry simulation policy.</w:t>
            </w:r>
          </w:p>
        </w:tc>
      </w:tr>
      <w:tr w:rsidTr="00FB766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663C17">
            <w:pPr>
              <w:pStyle w:val="BodyText"/>
              <w:rPr>
                <w:lang w:val="en-NZ"/>
              </w:rPr>
            </w:pPr>
            <w:r w:rsidRPr="00663C17">
              <w:t>Evidence should show demonstrated competency in monitoring and adjusting energy management systems on refrigeration systems.</w:t>
            </w:r>
          </w:p>
        </w:tc>
      </w:tr>
      <w:tr w:rsidTr="00FB766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663C17" w:rsidP="00663C17">
            <w:pPr>
              <w:pStyle w:val="BodyText"/>
            </w:pPr>
            <w:r w:rsidRPr="00663C17">
              <w:rPr>
                <w:rStyle w:val="SpecialBold"/>
              </w:rPr>
              <w:t>Method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663C17" w:rsidP="00663C17">
            <w:pPr>
              <w:pStyle w:val="BodyText"/>
            </w:pPr>
            <w:r w:rsidRPr="00663C17">
              <w:rPr>
                <w:rStyle w:val="SpecialBold"/>
              </w:rPr>
              <w:t>9</w:t>
            </w:r>
            <w:r w:rsidRPr="00663C17">
              <w:t>.</w:t>
            </w:r>
            <w:r w:rsidRPr="00663C17">
              <w:rPr>
                <w:rStyle w:val="SpecialBold"/>
              </w:rPr>
              <w:t>4</w:t>
            </w:r>
            <w:r w:rsidRPr="00663C17">
              <w:t xml:space="preserve">) </w:t>
            </w:r>
          </w:p>
          <w:p w:rsidR="00000000" w:rsidRPr="00663C17" w:rsidP="00663C17">
            <w:pPr>
              <w:pStyle w:val="BodyText"/>
            </w:pPr>
            <w:r w:rsidRPr="00663C17">
              <w:t>This unit shall be assessed by methods given in Volume 1, Part 3 'Assessment Guidelines'.</w:t>
            </w:r>
          </w:p>
          <w:p w:rsidR="00000000" w:rsidP="00663C17">
            <w:pPr>
              <w:pStyle w:val="BodyText"/>
              <w:rPr>
                <w:lang w:val="en-NZ"/>
              </w:rPr>
            </w:pPr>
            <w:r w:rsidRPr="00663C17">
              <w:t xml:space="preserve">Note: </w:t>
            </w:r>
            <w:r w:rsidRPr="00663C17">
              <w:br/>
              <w:t>Comp</w:t>
            </w:r>
            <w:r w:rsidRPr="00663C17">
              <w:t>etent performance with inherent safe working practices is expected in the Industry to which this unit applies. This requires assessment in a structured environment which is intended primarily for learning/assessment and incorporates all necessary equipment</w:t>
            </w:r>
            <w:r w:rsidRPr="00663C17">
              <w:t xml:space="preserve"> and facilities for learners to develop and demonstrate the essential knowledge and skills described in this unit.</w:t>
            </w:r>
          </w:p>
        </w:tc>
      </w:tr>
      <w:tr w:rsidTr="00FB766A">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663C17" w:rsidP="00663C17">
            <w:pPr>
              <w:pStyle w:val="BodyText"/>
            </w:pPr>
            <w:r w:rsidRPr="00663C17">
              <w:rPr>
                <w:rStyle w:val="SpecialBold"/>
              </w:rPr>
              <w:t>Concurrent assessment and relationship with other units</w:t>
            </w:r>
          </w:p>
        </w:tc>
        <w:tc>
          <w:tcPr>
            <w:tcW w:w="6300" w:type="dxa"/>
            <w:gridSpan w:val="3"/>
            <w:tcBorders>
              <w:top w:val="nil"/>
              <w:left w:val="nil"/>
              <w:bottom w:val="nil"/>
              <w:right w:val="nil"/>
            </w:tcBorders>
            <w:tcMar>
              <w:top w:w="0" w:type="dxa"/>
              <w:left w:w="62" w:type="dxa"/>
              <w:bottom w:w="0" w:type="dxa"/>
              <w:right w:w="62" w:type="dxa"/>
            </w:tcMar>
          </w:tcPr>
          <w:p w:rsidR="00000000" w:rsidP="00663C17">
            <w:pPr>
              <w:pStyle w:val="BodyText"/>
              <w:rPr>
                <w:lang w:val="en-NZ"/>
              </w:rPr>
            </w:pPr>
            <w:r w:rsidRPr="00663C17">
              <w:rPr>
                <w:rStyle w:val="SpecialBold"/>
              </w:rPr>
              <w:t>9</w:t>
            </w:r>
            <w:r w:rsidRPr="00663C17">
              <w:t>.</w:t>
            </w:r>
            <w:r w:rsidRPr="00663C17">
              <w:rPr>
                <w:rStyle w:val="SpecialBold"/>
              </w:rPr>
              <w:t>5</w:t>
            </w:r>
            <w:r w:rsidRPr="00663C17">
              <w:t>)</w:t>
            </w:r>
          </w:p>
        </w:tc>
      </w:tr>
      <w:tr w:rsidTr="00FB766A">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663C17" w:rsidP="00663C17">
            <w:pPr>
              <w:pStyle w:val="BodyText"/>
            </w:pPr>
            <w:r w:rsidRPr="00663C17">
              <w:t>There are no concurrent assessment recommendations for this unit.</w:t>
            </w:r>
          </w:p>
        </w:tc>
      </w:tr>
    </w:tbl>
    <w:p w:rsidR="00FB766A" w:rsidP="00663C17">
      <w:pPr>
        <w:pStyle w:val="BodyText"/>
      </w:pPr>
    </w:p>
    <w:p w:rsidR="00FB766A" w:rsidP="00663C17">
      <w:pPr>
        <w:pStyle w:val="BodyText"/>
      </w:pPr>
    </w:p>
    <w:p w:rsidR="00000000" w:rsidRPr="00663C17" w:rsidP="00663C17">
      <w:pPr>
        <w:pStyle w:val="Heading1"/>
      </w:pPr>
      <w:bookmarkStart w:id="11" w:name="O_255508"/>
      <w:bookmarkEnd w:id="11"/>
      <w:r w:rsidRPr="00663C17">
        <w:t>Range Statement</w:t>
      </w:r>
    </w:p>
    <w:tbl>
      <w:tblPr>
        <w:tblW w:w="0" w:type="auto"/>
        <w:tblLayout w:type="fixed"/>
        <w:tblCellMar>
          <w:left w:w="62" w:type="dxa"/>
          <w:right w:w="62" w:type="dxa"/>
        </w:tblCellMar>
        <w:tblLook w:val="0000"/>
      </w:tblPr>
      <w:tblGrid>
        <w:gridCol w:w="8460"/>
      </w:tblGrid>
      <w:tr w:rsidTr="00FB766A">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663C17">
            <w:pPr>
              <w:pStyle w:val="BodyText"/>
              <w:rPr>
                <w:lang w:val="en-NZ"/>
              </w:rPr>
            </w:pPr>
            <w:r w:rsidRPr="00663C17">
              <w:rPr>
                <w:rStyle w:val="SpecialBold"/>
              </w:rPr>
              <w:t>RANGE STATEMENT</w:t>
            </w:r>
          </w:p>
        </w:tc>
      </w:tr>
      <w:tr w:rsidTr="00FB766A">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663C17">
            <w:pPr>
              <w:pStyle w:val="BodyText"/>
              <w:rPr>
                <w:lang w:val="en-NZ"/>
              </w:rPr>
            </w:pPr>
            <w:r w:rsidRPr="00663C17">
              <w:rPr>
                <w:rStyle w:val="SpecialBold"/>
              </w:rPr>
              <w:t>8</w:t>
            </w:r>
            <w:r w:rsidRPr="00663C17">
              <w:t>) This relates to the unit as a whole providing the range of contexts and conditions to which the p</w:t>
            </w:r>
            <w:r w:rsidRPr="00663C17">
              <w:t>erformance criteria apply. It allows for different work environments and situations that will affect performance.</w:t>
            </w:r>
          </w:p>
        </w:tc>
      </w:tr>
      <w:tr w:rsidTr="00FB766A">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663C17">
            <w:pPr>
              <w:pStyle w:val="BodyText"/>
              <w:rPr>
                <w:lang w:val="en-NZ"/>
              </w:rPr>
            </w:pPr>
            <w:r w:rsidRPr="00663C17">
              <w:t>This unit must be demonstrated in relation to monitoring and adjusting two different types of energy management systems for refrigeration sys</w:t>
            </w:r>
            <w:r w:rsidRPr="00663C17">
              <w:t>tems.</w:t>
            </w:r>
          </w:p>
        </w:tc>
      </w:tr>
      <w:tr w:rsidTr="00FB766A">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663C17" w:rsidP="00663C17">
            <w:pPr>
              <w:pStyle w:val="BodyText"/>
            </w:pPr>
            <w:r w:rsidRPr="00663C17">
              <w:t>Generic terms used throughout this Vocational Standard shall be regarded as part of the Range Statement in which competency is demonstrated. The definition of these and other terms that apply are given in Volume 2, Part 2.1.</w:t>
            </w:r>
          </w:p>
        </w:tc>
      </w:tr>
    </w:tbl>
    <w:p w:rsidR="00FB766A" w:rsidP="00663C17">
      <w:pPr>
        <w:pStyle w:val="BodyText"/>
      </w:pPr>
    </w:p>
    <w:p w:rsidR="00FB766A" w:rsidP="00663C17">
      <w:pPr>
        <w:pStyle w:val="BodyText"/>
      </w:pPr>
    </w:p>
    <w:p w:rsidR="00000000" w:rsidRPr="00663C17" w:rsidP="00663C17">
      <w:pPr>
        <w:pStyle w:val="Heading1"/>
      </w:pPr>
      <w:bookmarkStart w:id="12" w:name="O_296521"/>
      <w:bookmarkEnd w:id="12"/>
      <w:r w:rsidRPr="00663C17">
        <w:t>Unit</w:t>
      </w:r>
      <w:r w:rsidRPr="00663C17">
        <w:t xml:space="preserve"> Sector(s)</w:t>
      </w:r>
    </w:p>
    <w:p w:rsidR="00000000" w:rsidRPr="00663C17" w:rsidP="00663C17">
      <w:pPr>
        <w:pStyle w:val="BodyText"/>
      </w:pPr>
      <w:r w:rsidRPr="00663C17">
        <w:t>Not Applicable</w:t>
      </w:r>
    </w:p>
    <w:p w:rsidR="00000000" w:rsidRPr="00663C17" w:rsidP="00663C17">
      <w:pPr>
        <w:pStyle w:val="AllowPageBreak"/>
      </w:pPr>
    </w:p>
    <w:p w:rsidR="00000000" w:rsidRPr="00663C17" w:rsidP="00663C17">
      <w:pPr>
        <w:pStyle w:val="Heading1"/>
      </w:pPr>
      <w:bookmarkStart w:id="13" w:name="O_227547"/>
      <w:bookmarkEnd w:id="13"/>
      <w:r w:rsidRPr="00663C17">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FB766A">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663C17" w:rsidP="00663C17">
            <w:pPr>
              <w:pStyle w:val="BodyText"/>
            </w:pPr>
            <w:r w:rsidRPr="00663C17">
              <w:rPr>
                <w:rStyle w:val="SpecialBold"/>
              </w:rPr>
              <w:t>2</w:t>
            </w:r>
            <w:r w:rsidRPr="00663C17">
              <w:t>.</w:t>
            </w:r>
            <w:r w:rsidRPr="00663C17">
              <w:rPr>
                <w:rStyle w:val="SpecialBold"/>
              </w:rPr>
              <w:t>2</w:t>
            </w:r>
            <w:r w:rsidRPr="00663C17">
              <w:t xml:space="preserve">) </w:t>
            </w:r>
            <w:r w:rsidRPr="00663C17">
              <w:rPr>
                <w:rStyle w:val="SpecialBold"/>
              </w:rPr>
              <w:t>Literacy and numeracy skills</w:t>
            </w:r>
          </w:p>
          <w:p w:rsidR="00000000" w:rsidP="00663C17">
            <w:pPr>
              <w:pStyle w:val="BodyText"/>
              <w:rPr>
                <w:lang w:val="en-NZ"/>
              </w:rPr>
            </w:pPr>
            <w:r w:rsidRPr="00663C17">
              <w:t>Participants are best equipped to achieve competency in this unit if they have reading, writing and numeracy skills indicated by the following scales. Description</w:t>
            </w:r>
            <w:r w:rsidRPr="00663C17">
              <w:t xml:space="preserve"> of each scale is given in Volume 2, Part 3 'Literacy and Numeracy'</w:t>
            </w:r>
          </w:p>
        </w:tc>
      </w:tr>
      <w:tr w:rsidTr="00FB766A">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663C17">
            <w:pPr>
              <w:pStyle w:val="BodyText"/>
              <w:rPr>
                <w:lang w:val="en-NZ"/>
              </w:rPr>
            </w:pPr>
            <w:r w:rsidRPr="00663C17">
              <w:t>Reading</w:t>
            </w:r>
          </w:p>
        </w:tc>
        <w:tc>
          <w:tcPr>
            <w:tcW w:w="1182" w:type="dxa"/>
            <w:tcBorders>
              <w:top w:val="nil"/>
              <w:left w:val="nil"/>
              <w:bottom w:val="nil"/>
              <w:right w:val="nil"/>
            </w:tcBorders>
            <w:tcMar>
              <w:top w:w="0" w:type="dxa"/>
              <w:left w:w="62" w:type="dxa"/>
              <w:bottom w:w="0" w:type="dxa"/>
              <w:right w:w="62" w:type="dxa"/>
            </w:tcMar>
          </w:tcPr>
          <w:p w:rsidR="00000000" w:rsidP="00663C17">
            <w:pPr>
              <w:pStyle w:val="BodyText"/>
              <w:rPr>
                <w:lang w:val="en-NZ"/>
              </w:rPr>
            </w:pPr>
            <w:r w:rsidRPr="00663C17">
              <w:t>4</w:t>
            </w:r>
          </w:p>
        </w:tc>
        <w:tc>
          <w:tcPr>
            <w:tcW w:w="1739" w:type="dxa"/>
            <w:tcBorders>
              <w:top w:val="nil"/>
              <w:left w:val="nil"/>
              <w:bottom w:val="nil"/>
              <w:right w:val="nil"/>
            </w:tcBorders>
            <w:tcMar>
              <w:top w:w="0" w:type="dxa"/>
              <w:left w:w="62" w:type="dxa"/>
              <w:bottom w:w="0" w:type="dxa"/>
              <w:right w:w="62" w:type="dxa"/>
            </w:tcMar>
          </w:tcPr>
          <w:p w:rsidR="00000000" w:rsidP="00663C17">
            <w:pPr>
              <w:pStyle w:val="BodyText"/>
              <w:rPr>
                <w:lang w:val="en-NZ"/>
              </w:rPr>
            </w:pPr>
            <w:r w:rsidRPr="00663C17">
              <w:t>Writing</w:t>
            </w:r>
          </w:p>
        </w:tc>
        <w:tc>
          <w:tcPr>
            <w:tcW w:w="1182" w:type="dxa"/>
            <w:tcBorders>
              <w:top w:val="nil"/>
              <w:left w:val="nil"/>
              <w:bottom w:val="nil"/>
              <w:right w:val="nil"/>
            </w:tcBorders>
            <w:tcMar>
              <w:top w:w="0" w:type="dxa"/>
              <w:left w:w="62" w:type="dxa"/>
              <w:bottom w:w="0" w:type="dxa"/>
              <w:right w:w="62" w:type="dxa"/>
            </w:tcMar>
          </w:tcPr>
          <w:p w:rsidR="00000000" w:rsidP="00663C17">
            <w:pPr>
              <w:pStyle w:val="BodyText"/>
              <w:rPr>
                <w:lang w:val="en-NZ"/>
              </w:rPr>
            </w:pPr>
            <w:r w:rsidRPr="00663C17">
              <w:t>4</w:t>
            </w:r>
          </w:p>
        </w:tc>
        <w:tc>
          <w:tcPr>
            <w:tcW w:w="1721" w:type="dxa"/>
            <w:tcBorders>
              <w:top w:val="nil"/>
              <w:left w:val="nil"/>
              <w:bottom w:val="nil"/>
              <w:right w:val="nil"/>
            </w:tcBorders>
            <w:tcMar>
              <w:top w:w="0" w:type="dxa"/>
              <w:left w:w="62" w:type="dxa"/>
              <w:bottom w:w="0" w:type="dxa"/>
              <w:right w:w="62" w:type="dxa"/>
            </w:tcMar>
          </w:tcPr>
          <w:p w:rsidR="00000000" w:rsidP="00663C17">
            <w:pPr>
              <w:pStyle w:val="BodyText"/>
              <w:rPr>
                <w:lang w:val="en-NZ"/>
              </w:rPr>
            </w:pPr>
            <w:r w:rsidRPr="00663C17">
              <w:t>Numeracy</w:t>
            </w:r>
          </w:p>
        </w:tc>
        <w:tc>
          <w:tcPr>
            <w:tcW w:w="1182" w:type="dxa"/>
            <w:tcBorders>
              <w:top w:val="nil"/>
              <w:left w:val="nil"/>
              <w:bottom w:val="nil"/>
              <w:right w:val="nil"/>
            </w:tcBorders>
            <w:tcMar>
              <w:top w:w="0" w:type="dxa"/>
              <w:left w:w="62" w:type="dxa"/>
              <w:bottom w:w="0" w:type="dxa"/>
              <w:right w:w="62" w:type="dxa"/>
            </w:tcMar>
          </w:tcPr>
          <w:p w:rsidR="00000000" w:rsidRPr="00663C17" w:rsidP="00663C17">
            <w:pPr>
              <w:pStyle w:val="BodyText"/>
            </w:pPr>
            <w:r w:rsidRPr="00663C17">
              <w:t>4</w:t>
            </w:r>
          </w:p>
        </w:tc>
      </w:tr>
    </w:tbl>
    <w:p w:rsidR="00FB766A" w:rsidP="00663C17">
      <w:pPr>
        <w:pStyle w:val="BodyText"/>
      </w:pPr>
    </w:p>
    <w:p w:rsidR="00FB766A" w:rsidP="00663C17">
      <w:pPr>
        <w:pStyle w:val="BodyText"/>
      </w:pPr>
    </w:p>
    <w:p w:rsidR="00000000" w:rsidRPr="00663C17" w:rsidP="00663C17">
      <w:pPr>
        <w:pStyle w:val="Heading1"/>
      </w:pPr>
      <w:bookmarkStart w:id="14" w:name="O_227550"/>
      <w:bookmarkEnd w:id="14"/>
      <w:r w:rsidRPr="00663C17">
        <w:t>Custom Content Section</w:t>
      </w:r>
    </w:p>
    <w:tbl>
      <w:tblPr>
        <w:tblW w:w="0" w:type="auto"/>
        <w:tblLayout w:type="fixed"/>
        <w:tblCellMar>
          <w:left w:w="62" w:type="dxa"/>
          <w:right w:w="62" w:type="dxa"/>
        </w:tblCellMar>
        <w:tblLook w:val="0000"/>
      </w:tblPr>
      <w:tblGrid>
        <w:gridCol w:w="2700"/>
        <w:gridCol w:w="5760"/>
      </w:tblGrid>
      <w:tr w:rsidTr="00FB766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63C17" w:rsidP="00663C17">
            <w:pPr>
              <w:pStyle w:val="BodyText"/>
            </w:pPr>
            <w:r w:rsidRPr="00663C17">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663C17">
            <w:pPr>
              <w:pStyle w:val="BodyText"/>
              <w:rPr>
                <w:lang w:val="en-NZ"/>
              </w:rPr>
            </w:pPr>
            <w:r w:rsidRPr="00663C17">
              <w:rPr>
                <w:rStyle w:val="SpecialBold"/>
              </w:rPr>
              <w:t>5</w:t>
            </w:r>
            <w:r w:rsidRPr="00663C17">
              <w:t>)</w:t>
            </w:r>
          </w:p>
        </w:tc>
      </w:tr>
      <w:tr w:rsidTr="00FB766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63C17" w:rsidP="00663C17">
            <w:pPr>
              <w:pStyle w:val="BodyText"/>
            </w:pPr>
            <w:r w:rsidRPr="00663C17">
              <w:t>Refrigeration and Air Conditioning</w:t>
            </w:r>
          </w:p>
        </w:tc>
      </w:tr>
    </w:tbl>
    <w:p w:rsidR="00FB766A" w:rsidP="00663C17">
      <w:pPr>
        <w:pStyle w:val="BodyText"/>
      </w:pPr>
    </w:p>
    <w:p w:rsidR="00FB766A" w:rsidP="00663C17">
      <w:pPr>
        <w:pStyle w:val="BodyText"/>
      </w:pPr>
    </w:p>
    <w:p w:rsidR="00000000" w:rsidRPr="00663C17" w:rsidP="00663C17"/>
    <w:sectPr w:rsidSect="00663C1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3C1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B766A" w:rsidP="00FB766A">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3C1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766A" w:rsidP="00663C17">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FB766A" w:rsidP="00663C1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FB766A" w:rsidP="00663C1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3C1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3C17" w:rsidRPr="00FB766A" w:rsidP="00FB766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3C1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766A" w:rsidRPr="002D2AF8" w:rsidP="00663C17">
    <w:pPr>
      <w:pStyle w:val="Header"/>
      <w:framePr w:wrap="around"/>
    </w:pPr>
    <w:r>
      <w:fldChar w:fldCharType="begin"/>
    </w:r>
    <w:r>
      <w:instrText xml:space="preserve"> TITLE   \* MERGEFORMAT </w:instrText>
    </w:r>
    <w:r>
      <w:fldChar w:fldCharType="separate"/>
    </w:r>
    <w:r>
      <w:t>UEENEEJ021B Monitor and adjust energy management systems on refrigeration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October 2012</w:t>
    </w:r>
    <w:r>
      <w:fldChar w:fldCharType="end"/>
    </w:r>
  </w:p>
  <w:p w:rsidR="00FB766A" w:rsidP="00663C1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0528C3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F4872E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DCED7A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3C1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63C17"/>
    <w:pPr>
      <w:spacing w:before="360" w:after="60"/>
      <w:outlineLvl w:val="0"/>
    </w:pPr>
    <w:rPr>
      <w:sz w:val="32"/>
    </w:rPr>
  </w:style>
  <w:style w:type="paragraph" w:styleId="Heading2">
    <w:name w:val="heading 2"/>
    <w:basedOn w:val="HeadingBase"/>
    <w:next w:val="BodyText"/>
    <w:link w:val="Heading2Char"/>
    <w:qFormat/>
    <w:rsid w:val="00663C17"/>
    <w:pPr>
      <w:keepLines/>
      <w:spacing w:before="240" w:after="120"/>
      <w:outlineLvl w:val="1"/>
    </w:pPr>
    <w:rPr>
      <w:sz w:val="28"/>
      <w:szCs w:val="40"/>
    </w:rPr>
  </w:style>
  <w:style w:type="paragraph" w:styleId="Heading3">
    <w:name w:val="heading 3"/>
    <w:basedOn w:val="HeadingBase"/>
    <w:next w:val="BodyText"/>
    <w:link w:val="Heading3Char"/>
    <w:qFormat/>
    <w:rsid w:val="00663C17"/>
    <w:pPr>
      <w:spacing w:before="180" w:after="120"/>
      <w:outlineLvl w:val="2"/>
    </w:pPr>
    <w:rPr>
      <w:spacing w:val="-10"/>
      <w:kern w:val="32"/>
    </w:rPr>
  </w:style>
  <w:style w:type="paragraph" w:styleId="Heading4">
    <w:name w:val="heading 4"/>
    <w:basedOn w:val="HeadingBase"/>
    <w:next w:val="BodyText"/>
    <w:link w:val="Heading4Char"/>
    <w:qFormat/>
    <w:rsid w:val="00663C17"/>
    <w:pPr>
      <w:spacing w:before="160" w:after="120"/>
      <w:outlineLvl w:val="3"/>
    </w:pPr>
    <w:rPr>
      <w:sz w:val="22"/>
    </w:rPr>
  </w:style>
  <w:style w:type="paragraph" w:styleId="Heading5">
    <w:name w:val="heading 5"/>
    <w:basedOn w:val="HeadingBase"/>
    <w:next w:val="Normal"/>
    <w:link w:val="Heading5Char"/>
    <w:qFormat/>
    <w:rsid w:val="00663C17"/>
    <w:pPr>
      <w:spacing w:before="80"/>
      <w:outlineLvl w:val="4"/>
    </w:pPr>
    <w:rPr>
      <w:color w:val="918585"/>
      <w:sz w:val="20"/>
    </w:rPr>
  </w:style>
  <w:style w:type="paragraph" w:styleId="Heading6">
    <w:name w:val="heading 6"/>
    <w:basedOn w:val="HeadingBase"/>
    <w:next w:val="Normal"/>
    <w:link w:val="Heading6Char"/>
    <w:qFormat/>
    <w:rsid w:val="00663C17"/>
    <w:pPr>
      <w:spacing w:before="60"/>
      <w:outlineLvl w:val="5"/>
    </w:pPr>
    <w:rPr>
      <w:color w:val="918585"/>
      <w:sz w:val="20"/>
    </w:rPr>
  </w:style>
  <w:style w:type="paragraph" w:styleId="Heading7">
    <w:name w:val="heading 7"/>
    <w:basedOn w:val="Normal"/>
    <w:next w:val="Normal"/>
    <w:link w:val="Heading7Char"/>
    <w:qFormat/>
    <w:rsid w:val="00663C17"/>
    <w:pPr>
      <w:ind w:left="720"/>
      <w:outlineLvl w:val="6"/>
    </w:pPr>
    <w:rPr>
      <w:i/>
    </w:rPr>
  </w:style>
  <w:style w:type="paragraph" w:styleId="Heading8">
    <w:name w:val="heading 8"/>
    <w:basedOn w:val="Normal"/>
    <w:next w:val="Normal"/>
    <w:link w:val="Heading8Char"/>
    <w:qFormat/>
    <w:rsid w:val="00663C17"/>
    <w:pPr>
      <w:ind w:left="720"/>
      <w:outlineLvl w:val="7"/>
    </w:pPr>
    <w:rPr>
      <w:i/>
    </w:rPr>
  </w:style>
  <w:style w:type="paragraph" w:styleId="Heading9">
    <w:name w:val="heading 9"/>
    <w:basedOn w:val="Normal"/>
    <w:next w:val="Normal"/>
    <w:link w:val="Heading9Char"/>
    <w:qFormat/>
    <w:rsid w:val="00663C17"/>
    <w:pPr>
      <w:ind w:left="720"/>
      <w:outlineLvl w:val="8"/>
    </w:pPr>
    <w:rPr>
      <w:i/>
    </w:rPr>
  </w:style>
  <w:style w:type="character" w:default="1" w:styleId="DefaultParagraphFont">
    <w:name w:val="Default Paragraph Font"/>
    <w:uiPriority w:val="1"/>
    <w:unhideWhenUsed/>
    <w:rsid w:val="00663C1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63C17"/>
  </w:style>
  <w:style w:type="character" w:customStyle="1" w:styleId="Heading1Char">
    <w:name w:val="Heading 1 Char"/>
    <w:basedOn w:val="DefaultParagraphFont"/>
    <w:link w:val="Heading1"/>
    <w:rsid w:val="00663C17"/>
    <w:rPr>
      <w:rFonts w:ascii="Times New Roman" w:eastAsia="Times New Roman" w:hAnsi="Times New Roman" w:cs="Times New Roman"/>
      <w:b/>
      <w:sz w:val="32"/>
      <w:szCs w:val="20"/>
      <w:lang w:eastAsia="en-US"/>
    </w:rPr>
  </w:style>
  <w:style w:type="paragraph" w:styleId="BodyText">
    <w:name w:val="Body Text"/>
    <w:basedOn w:val="Normal"/>
    <w:link w:val="BodyTextChar"/>
    <w:rsid w:val="00663C1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63C17"/>
    <w:rPr>
      <w:rFonts w:ascii="Times New Roman" w:eastAsia="Times New Roman" w:hAnsi="Times New Roman" w:cs="Times New Roman"/>
      <w:sz w:val="24"/>
      <w:lang w:eastAsia="en-US"/>
    </w:rPr>
  </w:style>
  <w:style w:type="paragraph" w:styleId="Footer">
    <w:name w:val="footer"/>
    <w:basedOn w:val="Normal"/>
    <w:link w:val="FooterChar"/>
    <w:rsid w:val="00663C1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63C17"/>
    <w:rPr>
      <w:rFonts w:ascii="Times New Roman" w:eastAsia="Times New Roman" w:hAnsi="Times New Roman" w:cs="Times New Roman"/>
      <w:sz w:val="16"/>
      <w:lang w:eastAsia="en-US"/>
    </w:rPr>
  </w:style>
  <w:style w:type="paragraph" w:styleId="ListBullet">
    <w:name w:val="List Bullet"/>
    <w:basedOn w:val="List"/>
    <w:rsid w:val="00663C17"/>
    <w:pPr>
      <w:numPr>
        <w:numId w:val="13"/>
      </w:numPr>
      <w:tabs>
        <w:tab w:val="clear" w:pos="340"/>
      </w:tabs>
      <w:spacing w:before="40" w:after="40"/>
    </w:pPr>
  </w:style>
  <w:style w:type="character" w:customStyle="1" w:styleId="SpecialBold">
    <w:name w:val="Special Bold"/>
    <w:basedOn w:val="DefaultParagraphFont"/>
    <w:rsid w:val="00663C17"/>
    <w:rPr>
      <w:b/>
      <w:spacing w:val="0"/>
    </w:rPr>
  </w:style>
  <w:style w:type="paragraph" w:styleId="ListBullet2">
    <w:name w:val="List Bullet 2"/>
    <w:basedOn w:val="List2"/>
    <w:rsid w:val="00663C17"/>
    <w:pPr>
      <w:numPr>
        <w:numId w:val="14"/>
      </w:numPr>
      <w:tabs>
        <w:tab w:val="clear" w:pos="680"/>
      </w:tabs>
    </w:pPr>
  </w:style>
  <w:style w:type="paragraph" w:customStyle="1" w:styleId="SuperHeading">
    <w:name w:val="SuperHeading"/>
    <w:basedOn w:val="Normal"/>
    <w:rsid w:val="00663C17"/>
    <w:pPr>
      <w:spacing w:before="240" w:after="120"/>
      <w:outlineLvl w:val="0"/>
    </w:pPr>
    <w:rPr>
      <w:rFonts w:ascii="Times New Roman" w:hAnsi="Times New Roman"/>
      <w:b/>
      <w:sz w:val="28"/>
    </w:rPr>
  </w:style>
  <w:style w:type="paragraph" w:customStyle="1" w:styleId="AllowPageBreak">
    <w:name w:val="AllowPageBreak"/>
    <w:rsid w:val="00663C1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63C1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63C1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63C1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63C1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63C1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63C1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63C1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63C17"/>
    <w:rPr>
      <w:rFonts w:ascii="Courier New" w:eastAsia="Times New Roman" w:hAnsi="Courier New" w:cs="Times New Roman"/>
      <w:i/>
      <w:szCs w:val="20"/>
      <w:lang w:eastAsia="en-US"/>
    </w:rPr>
  </w:style>
  <w:style w:type="paragraph" w:customStyle="1" w:styleId="HeadingBase">
    <w:name w:val="Heading Base"/>
    <w:rsid w:val="00663C1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63C17"/>
    <w:pPr>
      <w:tabs>
        <w:tab w:val="right" w:leader="dot" w:pos="9072"/>
      </w:tabs>
      <w:ind w:left="567"/>
    </w:pPr>
    <w:rPr>
      <w:szCs w:val="22"/>
    </w:rPr>
  </w:style>
  <w:style w:type="paragraph" w:customStyle="1" w:styleId="TOCBase">
    <w:name w:val="TOC Base"/>
    <w:rsid w:val="00663C1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63C17"/>
    <w:pPr>
      <w:tabs>
        <w:tab w:val="right" w:leader="dot" w:pos="9072"/>
      </w:tabs>
      <w:spacing w:before="40" w:after="40"/>
      <w:ind w:left="284"/>
    </w:pPr>
    <w:rPr>
      <w:rFonts w:ascii="Times New Roman" w:hAnsi="Times New Roman"/>
    </w:rPr>
  </w:style>
  <w:style w:type="paragraph" w:styleId="TOC1">
    <w:name w:val="toc 1"/>
    <w:basedOn w:val="TOCBase"/>
    <w:next w:val="Normal"/>
    <w:rsid w:val="00663C1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63C17"/>
    <w:pPr>
      <w:spacing w:before="5040"/>
      <w:jc w:val="center"/>
    </w:pPr>
    <w:rPr>
      <w:sz w:val="48"/>
      <w:szCs w:val="72"/>
      <w:lang w:val="en-US"/>
    </w:rPr>
  </w:style>
  <w:style w:type="character" w:customStyle="1" w:styleId="TitleChar">
    <w:name w:val="Title Char"/>
    <w:basedOn w:val="DefaultParagraphFont"/>
    <w:link w:val="Title"/>
    <w:rsid w:val="00663C1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63C17"/>
    <w:pPr>
      <w:tabs>
        <w:tab w:val="left" w:pos="3600"/>
        <w:tab w:val="left" w:pos="3958"/>
      </w:tabs>
    </w:pPr>
  </w:style>
  <w:style w:type="paragraph" w:styleId="List">
    <w:name w:val="List"/>
    <w:basedOn w:val="BodyText"/>
    <w:next w:val="BodyText"/>
    <w:rsid w:val="00663C17"/>
    <w:pPr>
      <w:tabs>
        <w:tab w:val="left" w:pos="340"/>
      </w:tabs>
      <w:spacing w:before="60" w:after="60"/>
      <w:ind w:left="340" w:hanging="340"/>
    </w:pPr>
  </w:style>
  <w:style w:type="paragraph" w:customStyle="1" w:styleId="Note">
    <w:name w:val="Note"/>
    <w:basedOn w:val="BodyText"/>
    <w:rsid w:val="00663C1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63C17"/>
    <w:pPr>
      <w:framePr w:wrap="auto" w:hAnchor="text" w:y="6049"/>
    </w:pPr>
    <w:rPr>
      <w:color w:val="000000"/>
      <w:sz w:val="40"/>
    </w:rPr>
  </w:style>
  <w:style w:type="paragraph" w:customStyle="1" w:styleId="TOCTitle">
    <w:name w:val="TOCTitle"/>
    <w:basedOn w:val="Heading1"/>
    <w:rsid w:val="00663C17"/>
    <w:pPr>
      <w:spacing w:after="240"/>
      <w:jc w:val="center"/>
      <w:outlineLvl w:val="9"/>
    </w:pPr>
    <w:rPr>
      <w:caps/>
    </w:rPr>
  </w:style>
  <w:style w:type="paragraph" w:customStyle="1" w:styleId="Version">
    <w:name w:val="Version"/>
    <w:rsid w:val="00663C1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63C17"/>
    <w:pPr>
      <w:keepNext w:val="0"/>
      <w:tabs>
        <w:tab w:val="right" w:pos="4176"/>
      </w:tabs>
      <w:ind w:left="198" w:hanging="198"/>
    </w:pPr>
    <w:rPr>
      <w:rFonts w:ascii="Garamond" w:hAnsi="Garamond"/>
    </w:rPr>
  </w:style>
  <w:style w:type="paragraph" w:styleId="IndexHeading">
    <w:name w:val="index heading"/>
    <w:basedOn w:val="Normal"/>
    <w:next w:val="Index1"/>
    <w:semiHidden/>
    <w:rsid w:val="00663C17"/>
    <w:pPr>
      <w:spacing w:before="120" w:after="120"/>
    </w:pPr>
    <w:rPr>
      <w:rFonts w:ascii="Arial" w:hAnsi="Arial"/>
      <w:b/>
      <w:color w:val="918585"/>
      <w:sz w:val="24"/>
    </w:rPr>
  </w:style>
  <w:style w:type="paragraph" w:styleId="Header">
    <w:name w:val="header"/>
    <w:basedOn w:val="Normal"/>
    <w:link w:val="HeaderChar"/>
    <w:rsid w:val="00663C1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63C17"/>
    <w:rPr>
      <w:rFonts w:ascii="Times New Roman" w:eastAsia="Times New Roman" w:hAnsi="Times New Roman" w:cs="Times New Roman"/>
      <w:sz w:val="16"/>
      <w:szCs w:val="20"/>
      <w:lang w:val="en-GB" w:eastAsia="en-US"/>
    </w:rPr>
  </w:style>
  <w:style w:type="paragraph" w:customStyle="1" w:styleId="Chapter">
    <w:name w:val="Chapter"/>
    <w:basedOn w:val="Normal"/>
    <w:rsid w:val="00663C17"/>
    <w:pPr>
      <w:spacing w:before="240"/>
    </w:pPr>
    <w:rPr>
      <w:rFonts w:ascii="Times New Roman" w:hAnsi="Times New Roman"/>
      <w:smallCaps/>
      <w:spacing w:val="80"/>
      <w:sz w:val="28"/>
    </w:rPr>
  </w:style>
  <w:style w:type="paragraph" w:customStyle="1" w:styleId="InChapter">
    <w:name w:val="InChapter"/>
    <w:basedOn w:val="Heading3"/>
    <w:rsid w:val="00663C17"/>
    <w:pPr>
      <w:spacing w:after="240"/>
      <w:outlineLvl w:val="9"/>
    </w:pPr>
    <w:rPr>
      <w:noProof/>
    </w:rPr>
  </w:style>
  <w:style w:type="paragraph" w:styleId="Index2">
    <w:name w:val="index 2"/>
    <w:basedOn w:val="Normal"/>
    <w:next w:val="Normal"/>
    <w:semiHidden/>
    <w:rsid w:val="00663C17"/>
    <w:pPr>
      <w:tabs>
        <w:tab w:val="right" w:pos="4176"/>
      </w:tabs>
      <w:ind w:left="568" w:hanging="284"/>
    </w:pPr>
    <w:rPr>
      <w:rFonts w:ascii="Garamond" w:hAnsi="Garamond"/>
    </w:rPr>
  </w:style>
  <w:style w:type="paragraph" w:customStyle="1" w:styleId="Byline">
    <w:name w:val="Byline"/>
    <w:rsid w:val="00663C1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63C17"/>
    <w:pPr>
      <w:tabs>
        <w:tab w:val="clear" w:pos="3600"/>
        <w:tab w:val="clear" w:pos="3958"/>
      </w:tabs>
      <w:jc w:val="right"/>
    </w:pPr>
  </w:style>
  <w:style w:type="character" w:styleId="Emphasis">
    <w:name w:val="Emphasis"/>
    <w:basedOn w:val="DefaultParagraphFont"/>
    <w:qFormat/>
    <w:rsid w:val="00663C17"/>
    <w:rPr>
      <w:i/>
    </w:rPr>
  </w:style>
  <w:style w:type="paragraph" w:styleId="Caption">
    <w:name w:val="caption"/>
    <w:basedOn w:val="BodyText"/>
    <w:next w:val="Normal"/>
    <w:qFormat/>
    <w:rsid w:val="00663C17"/>
    <w:pPr>
      <w:framePr w:w="2268" w:hSpace="181" w:vSpace="181" w:wrap="around" w:vAnchor="text" w:hAnchor="page" w:x="1135" w:y="285" w:anchorLock="1"/>
    </w:pPr>
    <w:rPr>
      <w:i/>
    </w:rPr>
  </w:style>
  <w:style w:type="paragraph" w:customStyle="1" w:styleId="MiniTOCTitle">
    <w:name w:val="MiniTOCTitle"/>
    <w:basedOn w:val="Heading4"/>
    <w:rsid w:val="00663C17"/>
    <w:pPr>
      <w:spacing w:before="240"/>
      <w:outlineLvl w:val="9"/>
    </w:pPr>
    <w:rPr>
      <w:noProof/>
      <w:sz w:val="24"/>
    </w:rPr>
  </w:style>
  <w:style w:type="paragraph" w:customStyle="1" w:styleId="MiniTOCItem">
    <w:name w:val="MiniTOCItem"/>
    <w:basedOn w:val="ListBullet"/>
    <w:rsid w:val="00663C17"/>
    <w:pPr>
      <w:numPr>
        <w:numId w:val="0"/>
      </w:numPr>
      <w:tabs>
        <w:tab w:val="right" w:leader="dot" w:pos="6521"/>
      </w:tabs>
      <w:spacing w:before="0" w:after="0"/>
    </w:pPr>
  </w:style>
  <w:style w:type="paragraph" w:customStyle="1" w:styleId="TOFTitle">
    <w:name w:val="TOFTitle"/>
    <w:basedOn w:val="TOCTitle"/>
    <w:rsid w:val="00663C17"/>
  </w:style>
  <w:style w:type="paragraph" w:styleId="TableofFigures">
    <w:name w:val="table of figures"/>
    <w:basedOn w:val="Normal"/>
    <w:next w:val="Normal"/>
    <w:semiHidden/>
    <w:rsid w:val="00663C17"/>
    <w:pPr>
      <w:tabs>
        <w:tab w:val="right" w:leader="dot" w:pos="9072"/>
      </w:tabs>
      <w:ind w:left="970" w:hanging="403"/>
    </w:pPr>
    <w:rPr>
      <w:rFonts w:ascii="Times New Roman" w:hAnsi="Times New Roman"/>
      <w:b/>
    </w:rPr>
  </w:style>
  <w:style w:type="paragraph" w:styleId="ListNumber">
    <w:name w:val="List Number"/>
    <w:basedOn w:val="List"/>
    <w:rsid w:val="00663C17"/>
    <w:pPr>
      <w:numPr>
        <w:numId w:val="11"/>
      </w:numPr>
    </w:pPr>
  </w:style>
  <w:style w:type="character" w:customStyle="1" w:styleId="WingdingSymbols">
    <w:name w:val="Wingding Symbols"/>
    <w:rsid w:val="00663C17"/>
    <w:rPr>
      <w:rFonts w:ascii="Wingdings" w:hAnsi="Wingdings"/>
    </w:rPr>
  </w:style>
  <w:style w:type="paragraph" w:customStyle="1" w:styleId="TableHeading">
    <w:name w:val="Table Heading"/>
    <w:basedOn w:val="HeadingBase"/>
    <w:rsid w:val="00663C17"/>
    <w:pPr>
      <w:keepLines/>
      <w:pBdr>
        <w:bottom w:val="single" w:sz="6" w:space="1" w:color="918585"/>
      </w:pBdr>
      <w:spacing w:before="240"/>
    </w:pPr>
  </w:style>
  <w:style w:type="character" w:customStyle="1" w:styleId="HotSpot">
    <w:name w:val="HotSpot"/>
    <w:rsid w:val="00663C17"/>
    <w:rPr>
      <w:color w:val="0033CC"/>
      <w:u w:val="none"/>
    </w:rPr>
  </w:style>
  <w:style w:type="paragraph" w:customStyle="1" w:styleId="BodyTextRight">
    <w:name w:val="Body Text Right"/>
    <w:basedOn w:val="BodyText"/>
    <w:rsid w:val="00663C17"/>
    <w:pPr>
      <w:spacing w:before="0" w:after="0"/>
      <w:jc w:val="right"/>
    </w:pPr>
  </w:style>
  <w:style w:type="paragraph" w:styleId="Index3">
    <w:name w:val="index 3"/>
    <w:basedOn w:val="ListNumber2"/>
    <w:next w:val="Normal"/>
    <w:semiHidden/>
    <w:rsid w:val="00663C17"/>
    <w:pPr>
      <w:numPr>
        <w:numId w:val="0"/>
      </w:numPr>
      <w:tabs>
        <w:tab w:val="right" w:leader="dot" w:pos="4176"/>
      </w:tabs>
    </w:pPr>
  </w:style>
  <w:style w:type="paragraph" w:styleId="ListNumber2">
    <w:name w:val="List Number 2"/>
    <w:basedOn w:val="List2"/>
    <w:rsid w:val="00663C17"/>
    <w:pPr>
      <w:numPr>
        <w:numId w:val="10"/>
      </w:numPr>
      <w:tabs>
        <w:tab w:val="clear" w:pos="1060"/>
      </w:tabs>
    </w:pPr>
  </w:style>
  <w:style w:type="paragraph" w:customStyle="1" w:styleId="MarginNote">
    <w:name w:val="Margin Note"/>
    <w:basedOn w:val="BodyText"/>
    <w:rsid w:val="00663C1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63C1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63C1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63C17"/>
    <w:rPr>
      <w:sz w:val="32"/>
    </w:rPr>
  </w:style>
  <w:style w:type="paragraph" w:customStyle="1" w:styleId="HeadingProcedure">
    <w:name w:val="Heading Procedure"/>
    <w:basedOn w:val="HeadingBase"/>
    <w:next w:val="Normal"/>
    <w:rsid w:val="00663C17"/>
    <w:pPr>
      <w:tabs>
        <w:tab w:val="left" w:pos="0"/>
      </w:tabs>
      <w:spacing w:before="120" w:after="60"/>
    </w:pPr>
    <w:rPr>
      <w:i/>
      <w:color w:val="918585"/>
      <w:sz w:val="22"/>
    </w:rPr>
  </w:style>
  <w:style w:type="paragraph" w:customStyle="1" w:styleId="TableBodyText">
    <w:name w:val="Table Body Text"/>
    <w:basedOn w:val="BodyText"/>
    <w:rsid w:val="00663C17"/>
    <w:pPr>
      <w:spacing w:before="60" w:after="60"/>
    </w:pPr>
  </w:style>
  <w:style w:type="paragraph" w:styleId="ListContinue">
    <w:name w:val="List Continue"/>
    <w:basedOn w:val="List"/>
    <w:rsid w:val="00663C17"/>
    <w:pPr>
      <w:ind w:firstLine="0"/>
    </w:pPr>
  </w:style>
  <w:style w:type="paragraph" w:customStyle="1" w:styleId="ListNote">
    <w:name w:val="List Note"/>
    <w:basedOn w:val="List"/>
    <w:rsid w:val="00663C17"/>
    <w:pPr>
      <w:pBdr>
        <w:top w:val="single" w:sz="6" w:space="2" w:color="918585"/>
        <w:bottom w:val="single" w:sz="6" w:space="2" w:color="918585"/>
      </w:pBdr>
      <w:tabs>
        <w:tab w:val="left" w:pos="1021"/>
      </w:tabs>
      <w:ind w:firstLine="0"/>
    </w:pPr>
  </w:style>
  <w:style w:type="paragraph" w:customStyle="1" w:styleId="Warning">
    <w:name w:val="Warning"/>
    <w:basedOn w:val="BodyText"/>
    <w:rsid w:val="00663C17"/>
    <w:pPr>
      <w:shd w:val="clear" w:color="auto" w:fill="D9D9D9"/>
      <w:tabs>
        <w:tab w:val="left" w:pos="992"/>
      </w:tabs>
      <w:ind w:left="119" w:right="119"/>
    </w:pPr>
    <w:rPr>
      <w:sz w:val="20"/>
    </w:rPr>
  </w:style>
  <w:style w:type="paragraph" w:customStyle="1" w:styleId="MarginIcons">
    <w:name w:val="Margin Icons"/>
    <w:basedOn w:val="BodyText"/>
    <w:rsid w:val="00663C1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63C17"/>
    <w:rPr>
      <w:rFonts w:ascii="Courier New" w:hAnsi="Courier New"/>
    </w:rPr>
  </w:style>
  <w:style w:type="paragraph" w:customStyle="1" w:styleId="NoteBullet">
    <w:name w:val="Note Bullet"/>
    <w:basedOn w:val="Note"/>
    <w:rsid w:val="00663C17"/>
    <w:pPr>
      <w:tabs>
        <w:tab w:val="clear" w:pos="680"/>
      </w:tabs>
      <w:spacing w:before="60" w:after="60"/>
    </w:pPr>
  </w:style>
  <w:style w:type="paragraph" w:customStyle="1" w:styleId="SubHeading2">
    <w:name w:val="SubHeading2"/>
    <w:basedOn w:val="HeadingBase"/>
    <w:rsid w:val="00663C17"/>
    <w:pPr>
      <w:spacing w:before="240" w:after="60"/>
    </w:pPr>
    <w:rPr>
      <w:sz w:val="20"/>
    </w:rPr>
  </w:style>
  <w:style w:type="paragraph" w:customStyle="1" w:styleId="SubHeading1">
    <w:name w:val="SubHeading1"/>
    <w:basedOn w:val="HeadingBase"/>
    <w:rsid w:val="00663C17"/>
    <w:pPr>
      <w:spacing w:before="240" w:after="60"/>
    </w:pPr>
    <w:rPr>
      <w:color w:val="918585"/>
      <w:sz w:val="22"/>
    </w:rPr>
  </w:style>
  <w:style w:type="paragraph" w:customStyle="1" w:styleId="SideHeading">
    <w:name w:val="Side Heading"/>
    <w:basedOn w:val="HeadingBase"/>
    <w:rsid w:val="00663C1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63C17"/>
    <w:pPr>
      <w:numPr>
        <w:numId w:val="12"/>
      </w:numPr>
    </w:pPr>
  </w:style>
  <w:style w:type="paragraph" w:styleId="PlainText">
    <w:name w:val="Plain Text"/>
    <w:basedOn w:val="Normal"/>
    <w:link w:val="PlainTextChar"/>
    <w:rsid w:val="00663C17"/>
    <w:rPr>
      <w:sz w:val="20"/>
    </w:rPr>
  </w:style>
  <w:style w:type="character" w:customStyle="1" w:styleId="PlainTextChar">
    <w:name w:val="Plain Text Char"/>
    <w:basedOn w:val="DefaultParagraphFont"/>
    <w:link w:val="PlainText"/>
    <w:rsid w:val="00663C17"/>
    <w:rPr>
      <w:rFonts w:ascii="Courier New" w:eastAsia="Times New Roman" w:hAnsi="Courier New" w:cs="Times New Roman"/>
      <w:sz w:val="20"/>
      <w:szCs w:val="20"/>
      <w:lang w:eastAsia="en-US"/>
    </w:rPr>
  </w:style>
  <w:style w:type="character" w:customStyle="1" w:styleId="MenuOption">
    <w:name w:val="Menu Option"/>
    <w:basedOn w:val="DefaultParagraphFont"/>
    <w:rsid w:val="00663C17"/>
    <w:rPr>
      <w:b/>
      <w:smallCaps/>
    </w:rPr>
  </w:style>
  <w:style w:type="paragraph" w:customStyle="1" w:styleId="TableListNumber">
    <w:name w:val="Table List Number"/>
    <w:basedOn w:val="ListNumber"/>
    <w:rsid w:val="00663C17"/>
    <w:pPr>
      <w:numPr>
        <w:numId w:val="0"/>
      </w:numPr>
    </w:pPr>
  </w:style>
  <w:style w:type="paragraph" w:styleId="TOC4">
    <w:name w:val="toc 4"/>
    <w:basedOn w:val="TOCBase"/>
    <w:next w:val="Normal"/>
    <w:semiHidden/>
    <w:rsid w:val="00663C17"/>
    <w:pPr>
      <w:tabs>
        <w:tab w:val="right" w:leader="dot" w:pos="9071"/>
      </w:tabs>
      <w:ind w:left="1701"/>
    </w:pPr>
  </w:style>
  <w:style w:type="paragraph" w:customStyle="1" w:styleId="ListAlpha">
    <w:name w:val="List Alpha"/>
    <w:basedOn w:val="List"/>
    <w:rsid w:val="00663C17"/>
    <w:pPr>
      <w:numPr>
        <w:numId w:val="9"/>
      </w:numPr>
    </w:pPr>
  </w:style>
  <w:style w:type="paragraph" w:customStyle="1" w:styleId="ListAlpha2">
    <w:name w:val="List Alpha 2"/>
    <w:basedOn w:val="List2"/>
    <w:rsid w:val="00663C17"/>
    <w:pPr>
      <w:numPr>
        <w:numId w:val="8"/>
      </w:numPr>
    </w:pPr>
  </w:style>
  <w:style w:type="paragraph" w:styleId="List2">
    <w:name w:val="List 2"/>
    <w:basedOn w:val="BodyText"/>
    <w:rsid w:val="00663C17"/>
    <w:pPr>
      <w:tabs>
        <w:tab w:val="left" w:pos="680"/>
      </w:tabs>
      <w:spacing w:before="60" w:after="60"/>
      <w:ind w:left="680" w:hanging="340"/>
    </w:pPr>
  </w:style>
  <w:style w:type="paragraph" w:styleId="List3">
    <w:name w:val="List 3"/>
    <w:basedOn w:val="BodyText"/>
    <w:rsid w:val="00663C17"/>
    <w:pPr>
      <w:tabs>
        <w:tab w:val="left" w:pos="1021"/>
      </w:tabs>
      <w:spacing w:before="60" w:after="60"/>
      <w:ind w:left="1020" w:hanging="340"/>
    </w:pPr>
  </w:style>
  <w:style w:type="paragraph" w:styleId="List4">
    <w:name w:val="List 4"/>
    <w:basedOn w:val="BodyText"/>
    <w:rsid w:val="00663C17"/>
    <w:pPr>
      <w:tabs>
        <w:tab w:val="left" w:pos="1361"/>
      </w:tabs>
      <w:spacing w:before="60" w:after="60"/>
      <w:ind w:left="1361" w:hanging="340"/>
    </w:pPr>
  </w:style>
  <w:style w:type="paragraph" w:styleId="List5">
    <w:name w:val="List 5"/>
    <w:basedOn w:val="BodyText"/>
    <w:rsid w:val="00663C17"/>
    <w:pPr>
      <w:tabs>
        <w:tab w:val="left" w:pos="1701"/>
      </w:tabs>
      <w:spacing w:before="60" w:after="60"/>
      <w:ind w:left="1701" w:hanging="340"/>
    </w:pPr>
  </w:style>
  <w:style w:type="paragraph" w:styleId="ListBullet3">
    <w:name w:val="List Bullet 3"/>
    <w:basedOn w:val="List3"/>
    <w:rsid w:val="00663C17"/>
    <w:pPr>
      <w:numPr>
        <w:numId w:val="15"/>
      </w:numPr>
      <w:tabs>
        <w:tab w:val="clear" w:pos="1021"/>
      </w:tabs>
      <w:ind w:left="1037" w:hanging="357"/>
    </w:pPr>
  </w:style>
  <w:style w:type="paragraph" w:styleId="ListBullet4">
    <w:name w:val="List Bullet 4"/>
    <w:basedOn w:val="List4"/>
    <w:rsid w:val="00663C17"/>
    <w:pPr>
      <w:numPr>
        <w:numId w:val="3"/>
      </w:numPr>
    </w:pPr>
  </w:style>
  <w:style w:type="paragraph" w:styleId="ListBullet5">
    <w:name w:val="List Bullet 5"/>
    <w:basedOn w:val="List5"/>
    <w:rsid w:val="00663C17"/>
    <w:pPr>
      <w:numPr>
        <w:numId w:val="4"/>
      </w:numPr>
    </w:pPr>
  </w:style>
  <w:style w:type="paragraph" w:styleId="ListContinue2">
    <w:name w:val="List Continue 2"/>
    <w:basedOn w:val="List2"/>
    <w:rsid w:val="00663C17"/>
    <w:pPr>
      <w:ind w:firstLine="0"/>
    </w:pPr>
  </w:style>
  <w:style w:type="paragraph" w:styleId="ListContinue3">
    <w:name w:val="List Continue 3"/>
    <w:basedOn w:val="List3"/>
    <w:rsid w:val="00663C17"/>
    <w:pPr>
      <w:ind w:left="1021" w:firstLine="0"/>
    </w:pPr>
  </w:style>
  <w:style w:type="paragraph" w:styleId="ListContinue4">
    <w:name w:val="List Continue 4"/>
    <w:basedOn w:val="List4"/>
    <w:rsid w:val="00663C17"/>
    <w:pPr>
      <w:ind w:firstLine="0"/>
    </w:pPr>
  </w:style>
  <w:style w:type="paragraph" w:styleId="ListContinue5">
    <w:name w:val="List Continue 5"/>
    <w:basedOn w:val="List5"/>
    <w:rsid w:val="00663C17"/>
    <w:pPr>
      <w:ind w:firstLine="0"/>
    </w:pPr>
  </w:style>
  <w:style w:type="paragraph" w:styleId="ListNumber3">
    <w:name w:val="List Number 3"/>
    <w:basedOn w:val="List3"/>
    <w:rsid w:val="00663C17"/>
    <w:pPr>
      <w:numPr>
        <w:numId w:val="5"/>
      </w:numPr>
    </w:pPr>
  </w:style>
  <w:style w:type="paragraph" w:styleId="ListNumber4">
    <w:name w:val="List Number 4"/>
    <w:basedOn w:val="List4"/>
    <w:rsid w:val="00663C17"/>
    <w:pPr>
      <w:numPr>
        <w:numId w:val="6"/>
      </w:numPr>
    </w:pPr>
  </w:style>
  <w:style w:type="paragraph" w:styleId="ListNumber5">
    <w:name w:val="List Number 5"/>
    <w:basedOn w:val="List5"/>
    <w:rsid w:val="00663C17"/>
    <w:pPr>
      <w:numPr>
        <w:numId w:val="7"/>
      </w:numPr>
    </w:pPr>
  </w:style>
  <w:style w:type="paragraph" w:styleId="BlockText">
    <w:name w:val="Block Text"/>
    <w:basedOn w:val="Normal"/>
    <w:rsid w:val="00663C17"/>
    <w:pPr>
      <w:spacing w:after="120"/>
      <w:ind w:left="1440" w:right="1440"/>
    </w:pPr>
  </w:style>
  <w:style w:type="character" w:customStyle="1" w:styleId="Subscript">
    <w:name w:val="Subscript"/>
    <w:basedOn w:val="DefaultParagraphFont"/>
    <w:rsid w:val="00663C17"/>
    <w:rPr>
      <w:sz w:val="16"/>
      <w:vertAlign w:val="subscript"/>
    </w:rPr>
  </w:style>
  <w:style w:type="character" w:customStyle="1" w:styleId="Superscript">
    <w:name w:val="Superscript"/>
    <w:basedOn w:val="DefaultParagraphFont"/>
    <w:rsid w:val="00663C17"/>
    <w:rPr>
      <w:sz w:val="16"/>
      <w:vertAlign w:val="superscript"/>
    </w:rPr>
  </w:style>
  <w:style w:type="character" w:customStyle="1" w:styleId="Symbols">
    <w:name w:val="Symbols"/>
    <w:basedOn w:val="DefaultParagraphFont"/>
    <w:rsid w:val="00663C17"/>
    <w:rPr>
      <w:rFonts w:ascii="Symbol" w:hAnsi="Symbol"/>
    </w:rPr>
  </w:style>
  <w:style w:type="character" w:customStyle="1" w:styleId="MenuOptions">
    <w:name w:val="Menu Options"/>
    <w:basedOn w:val="DefaultParagraphFont"/>
    <w:rsid w:val="00663C17"/>
    <w:rPr>
      <w:rFonts w:ascii="Arial Narrow" w:hAnsi="Arial Narrow"/>
      <w:smallCaps/>
    </w:rPr>
  </w:style>
  <w:style w:type="character" w:customStyle="1" w:styleId="Buttons">
    <w:name w:val="Buttons"/>
    <w:basedOn w:val="DefaultParagraphFont"/>
    <w:rsid w:val="00663C17"/>
    <w:rPr>
      <w:b/>
    </w:rPr>
  </w:style>
  <w:style w:type="character" w:customStyle="1" w:styleId="Underlined">
    <w:name w:val="Underlined"/>
    <w:basedOn w:val="DefaultParagraphFont"/>
    <w:rsid w:val="00663C17"/>
    <w:rPr>
      <w:u w:val="single"/>
    </w:rPr>
  </w:style>
  <w:style w:type="paragraph" w:customStyle="1" w:styleId="TableBodyTextRight">
    <w:name w:val="Table Body Text Right"/>
    <w:basedOn w:val="TableBodyText"/>
    <w:rsid w:val="00663C17"/>
    <w:pPr>
      <w:widowControl w:val="0"/>
      <w:autoSpaceDE w:val="0"/>
      <w:autoSpaceDN w:val="0"/>
      <w:adjustRightInd w:val="0"/>
      <w:jc w:val="right"/>
    </w:pPr>
    <w:rPr>
      <w:rFonts w:cs="Arial"/>
      <w:szCs w:val="18"/>
    </w:rPr>
  </w:style>
  <w:style w:type="paragraph" w:customStyle="1" w:styleId="CopyrightText">
    <w:name w:val="Copyright Text"/>
    <w:basedOn w:val="BodyText"/>
    <w:rsid w:val="00663C17"/>
    <w:rPr>
      <w:sz w:val="18"/>
    </w:rPr>
  </w:style>
  <w:style w:type="paragraph" w:customStyle="1" w:styleId="BodySmallRight">
    <w:name w:val="Body Small Right"/>
    <w:basedOn w:val="BodyTextRight"/>
    <w:rsid w:val="00663C17"/>
    <w:rPr>
      <w:sz w:val="18"/>
      <w:szCs w:val="18"/>
    </w:rPr>
  </w:style>
  <w:style w:type="paragraph" w:customStyle="1" w:styleId="MarginEdition">
    <w:name w:val="Margin Edition"/>
    <w:basedOn w:val="MarginNote"/>
    <w:rsid w:val="00663C17"/>
    <w:pPr>
      <w:spacing w:before="0" w:after="0"/>
    </w:pPr>
    <w:rPr>
      <w:rFonts w:ascii="Times New Roman" w:hAnsi="Times New Roman"/>
      <w:color w:val="999999"/>
    </w:rPr>
  </w:style>
  <w:style w:type="paragraph" w:customStyle="1" w:styleId="Spacer">
    <w:name w:val="Spacer"/>
    <w:basedOn w:val="Normal"/>
    <w:rsid w:val="00663C17"/>
    <w:rPr>
      <w:sz w:val="2"/>
      <w:szCs w:val="2"/>
    </w:rPr>
  </w:style>
  <w:style w:type="character" w:customStyle="1" w:styleId="Small">
    <w:name w:val="Small"/>
    <w:basedOn w:val="DefaultParagraphFont"/>
    <w:rsid w:val="00663C17"/>
    <w:rPr>
      <w:sz w:val="16"/>
    </w:rPr>
  </w:style>
  <w:style w:type="paragraph" w:customStyle="1" w:styleId="WideTable">
    <w:name w:val="Wide Table"/>
    <w:basedOn w:val="Normal"/>
    <w:rsid w:val="00663C17"/>
    <w:pPr>
      <w:ind w:left="-1418"/>
    </w:pPr>
    <w:rPr>
      <w:sz w:val="2"/>
      <w:szCs w:val="2"/>
    </w:rPr>
  </w:style>
  <w:style w:type="character" w:styleId="PageNumber">
    <w:name w:val="page number"/>
    <w:basedOn w:val="DefaultParagraphFont"/>
    <w:rsid w:val="00663C17"/>
  </w:style>
  <w:style w:type="paragraph" w:styleId="Quote">
    <w:name w:val="Quote"/>
    <w:basedOn w:val="Heading1"/>
    <w:link w:val="QuoteChar"/>
    <w:qFormat/>
    <w:rsid w:val="00663C17"/>
    <w:rPr>
      <w:b w:val="0"/>
      <w:sz w:val="72"/>
      <w:szCs w:val="72"/>
      <w:lang w:val="en-NZ"/>
    </w:rPr>
  </w:style>
  <w:style w:type="character" w:customStyle="1" w:styleId="QuoteChar">
    <w:name w:val="Quote Char"/>
    <w:basedOn w:val="DefaultParagraphFont"/>
    <w:link w:val="Quote"/>
    <w:rsid w:val="00663C1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63C17"/>
    <w:pPr>
      <w:pageBreakBefore/>
    </w:pPr>
  </w:style>
  <w:style w:type="paragraph" w:customStyle="1" w:styleId="Border">
    <w:name w:val="Border"/>
    <w:basedOn w:val="Normal"/>
    <w:qFormat/>
    <w:rsid w:val="00663C1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63C17"/>
    <w:rPr>
      <w:b/>
      <w:bCs/>
      <w:i/>
      <w:iCs/>
      <w:color w:val="auto"/>
    </w:rPr>
  </w:style>
  <w:style w:type="paragraph" w:styleId="IntenseQuote">
    <w:name w:val="Intense Quote"/>
    <w:basedOn w:val="Normal"/>
    <w:next w:val="Normal"/>
    <w:link w:val="IntenseQuoteChar"/>
    <w:uiPriority w:val="30"/>
    <w:qFormat/>
    <w:rsid w:val="00663C1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63C1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63C17"/>
    <w:rPr>
      <w:smallCaps/>
      <w:color w:val="auto"/>
      <w:u w:val="single"/>
    </w:rPr>
  </w:style>
  <w:style w:type="character" w:styleId="IntenseReference">
    <w:name w:val="Intense Reference"/>
    <w:basedOn w:val="DefaultParagraphFont"/>
    <w:uiPriority w:val="32"/>
    <w:qFormat/>
    <w:rsid w:val="00663C17"/>
    <w:rPr>
      <w:b/>
      <w:bCs/>
      <w:smallCaps/>
      <w:color w:val="auto"/>
      <w:spacing w:val="5"/>
      <w:u w:val="single"/>
    </w:rPr>
  </w:style>
  <w:style w:type="paragraph" w:customStyle="1" w:styleId="2ColumnHeading">
    <w:name w:val="2Column Heading"/>
    <w:basedOn w:val="BodyText"/>
    <w:qFormat/>
    <w:rsid w:val="00663C17"/>
    <w:pPr>
      <w:spacing w:after="60"/>
      <w:ind w:left="-2268"/>
    </w:pPr>
    <w:rPr>
      <w:b/>
    </w:rPr>
  </w:style>
  <w:style w:type="paragraph" w:customStyle="1" w:styleId="Heading1TOC">
    <w:name w:val="Heading1 TOC"/>
    <w:basedOn w:val="Normal"/>
    <w:qFormat/>
    <w:rsid w:val="00663C17"/>
    <w:pPr>
      <w:spacing w:before="240" w:after="120"/>
    </w:pPr>
    <w:rPr>
      <w:rFonts w:ascii="Times New Roman" w:hAnsi="Times New Roman"/>
      <w:b/>
      <w:sz w:val="32"/>
    </w:rPr>
  </w:style>
  <w:style w:type="paragraph" w:customStyle="1" w:styleId="Heading2TOC">
    <w:name w:val="Heading2 TOC"/>
    <w:basedOn w:val="Normal"/>
    <w:qFormat/>
    <w:rsid w:val="00663C17"/>
    <w:pPr>
      <w:spacing w:before="240" w:after="60"/>
    </w:pPr>
    <w:rPr>
      <w:rFonts w:ascii="Times New Roman" w:hAnsi="Times New Roman"/>
      <w:b/>
      <w:sz w:val="28"/>
    </w:rPr>
  </w:style>
  <w:style w:type="character" w:customStyle="1" w:styleId="Underline">
    <w:name w:val="Underline"/>
    <w:basedOn w:val="DefaultParagraphFont"/>
    <w:qFormat/>
    <w:rsid w:val="00663C17"/>
    <w:rPr>
      <w:u w:val="single"/>
    </w:rPr>
  </w:style>
  <w:style w:type="character" w:customStyle="1" w:styleId="BoldandItalics">
    <w:name w:val="Bold and Italics"/>
    <w:qFormat/>
    <w:rsid w:val="00663C17"/>
    <w:rPr>
      <w:b/>
      <w:i/>
      <w:u w:val="none"/>
    </w:rPr>
  </w:style>
  <w:style w:type="paragraph" w:styleId="BalloonText">
    <w:name w:val="Balloon Text"/>
    <w:basedOn w:val="Normal"/>
    <w:link w:val="BalloonTextChar"/>
    <w:rsid w:val="00663C17"/>
    <w:rPr>
      <w:rFonts w:ascii="Tahoma" w:hAnsi="Tahoma" w:cs="Tahoma"/>
      <w:sz w:val="16"/>
      <w:szCs w:val="16"/>
    </w:rPr>
  </w:style>
  <w:style w:type="character" w:customStyle="1" w:styleId="BalloonTextChar">
    <w:name w:val="Balloon Text Char"/>
    <w:basedOn w:val="DefaultParagraphFont"/>
    <w:link w:val="BalloonText"/>
    <w:rsid w:val="00663C1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63C1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63C1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63C17"/>
    <w:rPr>
      <w:b/>
      <w:color w:val="660033"/>
      <w:spacing w:val="0"/>
    </w:rPr>
  </w:style>
  <w:style w:type="paragraph" w:customStyle="1" w:styleId="Nameditemlist">
    <w:name w:val="Named item list"/>
    <w:basedOn w:val="BodyText"/>
    <w:qFormat/>
    <w:rsid w:val="00663C1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2136</Words>
  <Characters>12918</Characters>
  <Application>Microsoft Office Word</Application>
  <DocSecurity>0</DocSecurity>
  <Lines>471</Lines>
  <Paragraphs>177</Paragraphs>
  <ScaleCrop>false</ScaleCrop>
  <Company>Author-it Software Corporation Ltd.</Company>
  <LinksUpToDate>false</LinksUpToDate>
  <CharactersWithSpaces>14900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UEENEEJ021B Monitor and adjust energy management systems on refrigeration systems</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2012-10-10T06:41:00Z</dcterms:created>
  <dcterms:modified xsi:type="dcterms:W3CDTF">2012-10-10T06:41:00Z</dcterms:modified>
</cp:coreProperties>
</file>