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E3F7E" w:rsidP="006E3F7E">
      <w:pPr>
        <w:pStyle w:val="Title"/>
      </w:pPr>
      <w:r>
        <w:fldChar w:fldCharType="begin"/>
      </w:r>
      <w:r>
        <w:instrText xml:space="preserve"> TITLE   \* MERGEFORMAT </w:instrText>
      </w:r>
      <w:r>
        <w:fldChar w:fldCharType="separate"/>
      </w:r>
      <w:r>
        <w:t>UEENEEJ002B Prepare refrigerant tubing and fittings</w:t>
      </w:r>
      <w:r>
        <w:fldChar w:fldCharType="end"/>
      </w:r>
    </w:p>
    <w:p w:rsidR="006E3F7E" w:rsidP="006E3F7E">
      <w:pPr>
        <w:pStyle w:val="Version"/>
        <w:sectPr w:rsidSect="00A31A7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31A75" w:rsidP="00A31A75">
      <w:pPr>
        <w:pStyle w:val="SuperHeading"/>
      </w:pPr>
      <w:r w:rsidRPr="00A31A75">
        <w:t>UEENEEJ002B Prepare refrigerant tubing and fittings</w:t>
      </w:r>
    </w:p>
    <w:p w:rsidR="00000000" w:rsidRPr="00A31A75" w:rsidP="00A31A75">
      <w:pPr>
        <w:pStyle w:val="Heading1"/>
      </w:pPr>
      <w:bookmarkStart w:id="1" w:name="O_274812"/>
      <w:bookmarkEnd w:id="1"/>
      <w:r w:rsidRPr="00A31A75">
        <w:t>Modification History</w:t>
      </w:r>
    </w:p>
    <w:p w:rsidR="00000000" w:rsidRPr="00A31A75" w:rsidP="00A31A75">
      <w:pPr>
        <w:pStyle w:val="BodyText"/>
      </w:pPr>
      <w:r w:rsidRPr="00A31A75">
        <w:t>Not Applicable</w:t>
      </w:r>
    </w:p>
    <w:p w:rsidR="00000000" w:rsidRPr="00A31A75" w:rsidP="00A31A75">
      <w:pPr>
        <w:pStyle w:val="AllowPageBreak"/>
      </w:pPr>
    </w:p>
    <w:p w:rsidR="00000000" w:rsidRPr="00A31A75" w:rsidP="00A31A75">
      <w:pPr>
        <w:pStyle w:val="Heading1"/>
      </w:pPr>
      <w:bookmarkStart w:id="2" w:name="O_227439"/>
      <w:bookmarkEnd w:id="2"/>
      <w:r w:rsidRPr="00A31A75">
        <w:t>Unit Descriptor</w:t>
      </w:r>
    </w:p>
    <w:tbl>
      <w:tblPr>
        <w:tblW w:w="0" w:type="auto"/>
        <w:tblLayout w:type="fixed"/>
        <w:tblCellMar>
          <w:left w:w="62" w:type="dxa"/>
          <w:right w:w="62" w:type="dxa"/>
        </w:tblCellMar>
        <w:tblLook w:val="0000"/>
      </w:tblPr>
      <w:tblGrid>
        <w:gridCol w:w="2700"/>
        <w:gridCol w:w="5760"/>
      </w:tblGrid>
      <w:tr w:rsidTr="006E3F7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31A75" w:rsidP="00A31A75">
            <w:pPr>
              <w:pStyle w:val="BodyText"/>
            </w:pPr>
            <w:r w:rsidRPr="00A31A75">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A31A75" w:rsidP="00A31A75">
            <w:pPr>
              <w:pStyle w:val="BodyText"/>
            </w:pPr>
            <w:r w:rsidRPr="00A31A75">
              <w:rPr>
                <w:rStyle w:val="SpecialBold"/>
              </w:rPr>
              <w:t>1</w:t>
            </w:r>
            <w:r w:rsidRPr="00A31A75">
              <w:t xml:space="preserve">) </w:t>
            </w:r>
          </w:p>
          <w:p w:rsidR="00000000" w:rsidP="00A31A75">
            <w:pPr>
              <w:pStyle w:val="BodyText"/>
              <w:rPr>
                <w:lang w:val="en-NZ"/>
              </w:rPr>
            </w:pPr>
            <w:r w:rsidRPr="00A31A75">
              <w:rPr>
                <w:rStyle w:val="SpecialBold"/>
              </w:rPr>
              <w:t>1</w:t>
            </w:r>
            <w:r w:rsidRPr="00A31A75">
              <w:t>.</w:t>
            </w:r>
            <w:r w:rsidRPr="00A31A75">
              <w:rPr>
                <w:rStyle w:val="SpecialBold"/>
              </w:rPr>
              <w:t>1</w:t>
            </w:r>
            <w:r w:rsidRPr="00A31A75">
              <w:t xml:space="preserve">) </w:t>
            </w:r>
            <w:r w:rsidRPr="00A31A75">
              <w:rPr>
                <w:rStyle w:val="SpecialBold"/>
              </w:rPr>
              <w:t>Descriptor</w:t>
            </w:r>
          </w:p>
        </w:tc>
      </w:tr>
      <w:tr w:rsidTr="006E3F7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31A75" w:rsidP="00A31A75">
            <w:pPr>
              <w:pStyle w:val="BodyText"/>
            </w:pPr>
            <w:r w:rsidRPr="00A31A75">
              <w:t>This unit covers the basic connection of refrigeration and air conditioning piping/tubing and fittings. It encompasses the safe use of hand, fixed and portable power tools for cutting, flaring, bending, swaging, silver brazing copper tube to copper tube, b</w:t>
            </w:r>
            <w:r w:rsidRPr="00A31A75">
              <w:t>undy tube and brass and steel fittings, measurement and reading drawings and diagrams.</w:t>
            </w:r>
          </w:p>
        </w:tc>
      </w:tr>
    </w:tbl>
    <w:p w:rsidR="006E3F7E" w:rsidP="00A31A75">
      <w:pPr>
        <w:pStyle w:val="BodyText"/>
      </w:pPr>
    </w:p>
    <w:p w:rsidR="006E3F7E" w:rsidP="00A31A75">
      <w:pPr>
        <w:pStyle w:val="BodyText"/>
      </w:pPr>
    </w:p>
    <w:p w:rsidR="00000000" w:rsidRPr="00A31A75" w:rsidP="00A31A75">
      <w:pPr>
        <w:pStyle w:val="Heading1"/>
      </w:pPr>
      <w:bookmarkStart w:id="3" w:name="O_227444"/>
      <w:bookmarkEnd w:id="3"/>
      <w:r w:rsidRPr="00A31A75">
        <w:t>Application of the Unit</w:t>
      </w:r>
    </w:p>
    <w:tbl>
      <w:tblPr>
        <w:tblW w:w="0" w:type="auto"/>
        <w:tblLayout w:type="fixed"/>
        <w:tblCellMar>
          <w:left w:w="62" w:type="dxa"/>
          <w:right w:w="62" w:type="dxa"/>
        </w:tblCellMar>
        <w:tblLook w:val="0000"/>
      </w:tblPr>
      <w:tblGrid>
        <w:gridCol w:w="2700"/>
        <w:gridCol w:w="5760"/>
      </w:tblGrid>
      <w:tr w:rsidTr="006E3F7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31A75" w:rsidP="00A31A75">
            <w:pPr>
              <w:pStyle w:val="BodyText"/>
            </w:pPr>
            <w:r w:rsidRPr="00A31A75">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A31A75">
            <w:pPr>
              <w:pStyle w:val="BodyText"/>
              <w:rPr>
                <w:lang w:val="en-NZ"/>
              </w:rPr>
            </w:pPr>
            <w:r w:rsidRPr="00A31A75">
              <w:rPr>
                <w:rStyle w:val="SpecialBold"/>
              </w:rPr>
              <w:t>4</w:t>
            </w:r>
            <w:r w:rsidRPr="00A31A75">
              <w:t>)</w:t>
            </w:r>
          </w:p>
        </w:tc>
      </w:tr>
      <w:tr w:rsidTr="006E3F7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31A75" w:rsidP="00A31A75">
            <w:pPr>
              <w:pStyle w:val="BodyText"/>
            </w:pPr>
            <w:r w:rsidRPr="00A31A75">
              <w:t>This competenc</w:t>
            </w:r>
            <w:r w:rsidRPr="00A31A75">
              <w:t>y standard is suitable for employment-based programs under an approved contract of training at the AQF level of the qualification in which the unit is first packaged or higher.The unit may be selected as an elective from the relevant schedule (see qualific</w:t>
            </w:r>
            <w:r w:rsidRPr="00A31A75">
              <w:t>ation packaging rules) provided that all prerequisite units are undertaken or addressed through recognition processes.</w:t>
            </w:r>
          </w:p>
          <w:p w:rsidR="00000000" w:rsidRPr="00A31A75" w:rsidP="00A31A75">
            <w:pPr>
              <w:pStyle w:val="BodyText"/>
            </w:pPr>
            <w:r w:rsidRPr="00A31A75">
              <w:t>This unit may be included in a skill set provided that it is listed in the schedule of electives (see Qualification Framework) and all pr</w:t>
            </w:r>
            <w:r w:rsidRPr="00A31A75">
              <w:t>erequisite units are undertaken or addressed through recognition processes.</w:t>
            </w:r>
          </w:p>
          <w:p w:rsidR="00000000" w:rsidRPr="00A31A75" w:rsidP="00A31A75">
            <w:pPr>
              <w:pStyle w:val="BodyText"/>
            </w:pPr>
            <w:r w:rsidRPr="00A31A75">
              <w:t xml:space="preserve">Delivery and assessment of this unit should be undertaken within regard to the requirements of License to Practice (1.2 above), Prerequisite Competencies and Literacy and Numeracy </w:t>
            </w:r>
            <w:r w:rsidRPr="00A31A75">
              <w:t>skills (2 above) and the  recommendations for concurrent assessment and relationship with other units (9.5 below).</w:t>
            </w:r>
          </w:p>
          <w:p w:rsidR="00000000" w:rsidRPr="00A31A75" w:rsidP="00A31A75">
            <w:pPr>
              <w:pStyle w:val="BodyText"/>
            </w:pPr>
            <w:r w:rsidRPr="00A31A75">
              <w:t xml:space="preserve">Practice in the workplace and during training is also subject to regulations directly related to occupational </w:t>
            </w:r>
            <w:r w:rsidRPr="00A31A75">
              <w:t>health and safety and where app</w:t>
            </w:r>
            <w:r w:rsidRPr="00A31A75">
              <w:t>licable contracts of training such as apprenticeships.</w:t>
            </w:r>
          </w:p>
          <w:p w:rsidR="00000000" w:rsidRPr="00A31A75" w:rsidP="00A31A75">
            <w:pPr>
              <w:pStyle w:val="BodyText"/>
            </w:pPr>
            <w:r w:rsidRPr="00A31A75">
              <w:t xml:space="preserve">Note: </w:t>
            </w:r>
          </w:p>
          <w:p w:rsidR="00000000" w:rsidRPr="00A31A75" w:rsidP="00A31A75">
            <w:pPr>
              <w:pStyle w:val="BodyText"/>
            </w:pPr>
            <w:r w:rsidRPr="00A31A75">
              <w:t>1. Compliance with permits may be required in various jurisdictions and typically relates to the operation of plant, machinery and equipment such as elevating work platforms, powder operated fixing tools, power operated tools, vehicles, road signage and tr</w:t>
            </w:r>
            <w:r w:rsidRPr="00A31A75">
              <w:t>affic control and lifting equipment. Permits may also be required for some work environments such as confined spaces, working aloft, near live electrical apparatus and site rehabilitation.</w:t>
            </w:r>
          </w:p>
          <w:p w:rsidR="00000000" w:rsidRPr="00A31A75" w:rsidP="00A31A75">
            <w:pPr>
              <w:pStyle w:val="BodyText"/>
            </w:pPr>
            <w:r w:rsidRPr="00A31A75">
              <w:t xml:space="preserve">2. Compliance may be required in various jurisdictions relating to </w:t>
            </w:r>
            <w:r w:rsidRPr="00A31A75">
              <w:t>currency in First Aid, confined space, lifting, risk safety measures etc.</w:t>
            </w:r>
          </w:p>
        </w:tc>
      </w:tr>
    </w:tbl>
    <w:p w:rsidR="006E3F7E" w:rsidP="00A31A75">
      <w:pPr>
        <w:pStyle w:val="BodyText"/>
      </w:pPr>
    </w:p>
    <w:p w:rsidR="006E3F7E" w:rsidP="00A31A75">
      <w:pPr>
        <w:pStyle w:val="BodyText"/>
      </w:pPr>
    </w:p>
    <w:p w:rsidR="00000000" w:rsidRPr="00A31A75" w:rsidP="00A31A75">
      <w:pPr>
        <w:pStyle w:val="Heading1"/>
      </w:pPr>
      <w:bookmarkStart w:id="4" w:name="O_227440"/>
      <w:bookmarkEnd w:id="4"/>
      <w:r w:rsidRPr="00A31A75">
        <w:t>Licensing/Regulatory Information</w:t>
      </w:r>
    </w:p>
    <w:tbl>
      <w:tblPr>
        <w:tblW w:w="0" w:type="auto"/>
        <w:tblLayout w:type="fixed"/>
        <w:tblCellMar>
          <w:left w:w="62" w:type="dxa"/>
          <w:right w:w="62" w:type="dxa"/>
        </w:tblCellMar>
        <w:tblLook w:val="0000"/>
      </w:tblPr>
      <w:tblGrid>
        <w:gridCol w:w="8460"/>
      </w:tblGrid>
      <w:tr w:rsidTr="006E3F7E">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A31A75">
            <w:pPr>
              <w:pStyle w:val="BodyText"/>
              <w:rPr>
                <w:lang w:val="en-NZ"/>
              </w:rPr>
            </w:pPr>
            <w:r w:rsidRPr="00A31A75">
              <w:rPr>
                <w:rStyle w:val="SpecialBold"/>
              </w:rPr>
              <w:t>1</w:t>
            </w:r>
            <w:r w:rsidRPr="00A31A75">
              <w:t>.</w:t>
            </w:r>
            <w:r w:rsidRPr="00A31A75">
              <w:rPr>
                <w:rStyle w:val="SpecialBold"/>
              </w:rPr>
              <w:t>2</w:t>
            </w:r>
            <w:r w:rsidRPr="00A31A75">
              <w:t xml:space="preserve">) </w:t>
            </w:r>
            <w:r w:rsidRPr="00A31A75">
              <w:rPr>
                <w:rStyle w:val="SpecialBold"/>
              </w:rPr>
              <w:t>License to practice</w:t>
            </w:r>
          </w:p>
        </w:tc>
      </w:tr>
      <w:tr w:rsidTr="006E3F7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A31A75" w:rsidP="00A31A75">
            <w:pPr>
              <w:pStyle w:val="BodyText"/>
            </w:pPr>
            <w:r w:rsidRPr="00A31A75">
              <w:t>The skills and knowledge described in this unit may, in some jurisdictions, require a license to practi</w:t>
            </w:r>
            <w:r w:rsidRPr="00A31A75">
              <w:t>ce in the workplace subject to regulations for undertaking refrigeration and air conditioning work. Practice in workplace and during training is also subject to regulations directly related to occupational health and safety and where applicable contracts o</w:t>
            </w:r>
            <w:r w:rsidRPr="00A31A75">
              <w:t>f training such as apprenticeships.</w:t>
            </w:r>
          </w:p>
          <w:p w:rsidR="00000000" w:rsidRPr="00A31A75" w:rsidP="00A31A75">
            <w:pPr>
              <w:pStyle w:val="BodyText"/>
            </w:pPr>
            <w:r w:rsidRPr="00A31A75">
              <w:t xml:space="preserve">Note: </w:t>
            </w:r>
            <w:r w:rsidRPr="00A31A75">
              <w:br/>
              <w:t>1. Compliance with permits may be required in various jurisdictions and typically relates to the operation of plant, machinery and equipment such as elevating work platforms, powder operated fixing tools, power op</w:t>
            </w:r>
            <w:r w:rsidRPr="00A31A75">
              <w:t>erated tools, vehicles, road signage and traffic control, lifting equipment. Permits may also be required for some work environments such as confined spaces, working aloft, near live electrical apparatus and site rehabilitation.</w:t>
            </w:r>
            <w:r w:rsidRPr="00A31A75">
              <w:br/>
              <w:t>2. Compliance may be requir</w:t>
            </w:r>
            <w:r w:rsidRPr="00A31A75">
              <w:t>ed in various jurisdictions relating to currency in First Aid, confined space, lifting and risk safety measures.</w:t>
            </w:r>
          </w:p>
        </w:tc>
      </w:tr>
    </w:tbl>
    <w:p w:rsidR="006E3F7E" w:rsidP="00A31A75">
      <w:pPr>
        <w:pStyle w:val="BodyText"/>
      </w:pPr>
    </w:p>
    <w:p w:rsidR="006E3F7E" w:rsidP="00A31A75">
      <w:pPr>
        <w:pStyle w:val="BodyText"/>
      </w:pPr>
    </w:p>
    <w:p w:rsidR="00000000" w:rsidRPr="00A31A75" w:rsidP="00A31A75">
      <w:pPr>
        <w:pStyle w:val="Heading1"/>
      </w:pPr>
      <w:bookmarkStart w:id="5" w:name="O_227441"/>
      <w:bookmarkEnd w:id="5"/>
      <w:r w:rsidRPr="00A31A75">
        <w:t>Pre-Requisites</w:t>
      </w:r>
    </w:p>
    <w:tbl>
      <w:tblPr>
        <w:tblW w:w="0" w:type="auto"/>
        <w:tblLayout w:type="fixed"/>
        <w:tblCellMar>
          <w:left w:w="62" w:type="dxa"/>
          <w:right w:w="62" w:type="dxa"/>
        </w:tblCellMar>
        <w:tblLook w:val="0000"/>
      </w:tblPr>
      <w:tblGrid>
        <w:gridCol w:w="2700"/>
        <w:gridCol w:w="5760"/>
      </w:tblGrid>
      <w:tr w:rsidTr="006E3F7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31A75" w:rsidP="00A31A75">
            <w:pPr>
              <w:pStyle w:val="BodyText"/>
            </w:pPr>
            <w:r w:rsidRPr="00A31A75">
              <w:rPr>
                <w:rStyle w:val="SpecialBold"/>
              </w:rPr>
              <w:t>Prerequisite Unit</w:t>
            </w:r>
            <w:r w:rsidRPr="00A31A75">
              <w:t>(</w:t>
            </w:r>
            <w:r w:rsidRPr="00A31A75">
              <w:rPr>
                <w:rStyle w:val="SpecialBold"/>
              </w:rPr>
              <w:t>s</w:t>
            </w:r>
            <w:r w:rsidRPr="00A31A75">
              <w:t>)</w:t>
            </w:r>
          </w:p>
        </w:tc>
        <w:tc>
          <w:tcPr>
            <w:tcW w:w="5760" w:type="dxa"/>
            <w:tcBorders>
              <w:top w:val="nil"/>
              <w:left w:val="nil"/>
              <w:bottom w:val="nil"/>
              <w:right w:val="nil"/>
            </w:tcBorders>
            <w:tcMar>
              <w:top w:w="0" w:type="dxa"/>
              <w:left w:w="62" w:type="dxa"/>
              <w:bottom w:w="0" w:type="dxa"/>
              <w:right w:w="62" w:type="dxa"/>
            </w:tcMar>
          </w:tcPr>
          <w:p w:rsidR="00000000" w:rsidP="00A31A75">
            <w:pPr>
              <w:pStyle w:val="BodyText"/>
              <w:rPr>
                <w:lang w:val="en-NZ"/>
              </w:rPr>
            </w:pPr>
            <w:r w:rsidRPr="00A31A75">
              <w:rPr>
                <w:rStyle w:val="SpecialBold"/>
              </w:rPr>
              <w:t>2</w:t>
            </w:r>
            <w:r w:rsidRPr="00A31A75">
              <w:t xml:space="preserve">) </w:t>
            </w:r>
          </w:p>
        </w:tc>
      </w:tr>
      <w:tr w:rsidTr="006E3F7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A31A75">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A31A75">
            <w:pPr>
              <w:pStyle w:val="BodyText"/>
              <w:rPr>
                <w:lang w:val="en-NZ"/>
              </w:rPr>
            </w:pPr>
            <w:r w:rsidRPr="00A31A75">
              <w:rPr>
                <w:rStyle w:val="SpecialBold"/>
              </w:rPr>
              <w:t>2</w:t>
            </w:r>
            <w:r w:rsidRPr="00A31A75">
              <w:t>.</w:t>
            </w:r>
            <w:r w:rsidRPr="00A31A75">
              <w:rPr>
                <w:rStyle w:val="SpecialBold"/>
              </w:rPr>
              <w:t>1</w:t>
            </w:r>
            <w:r w:rsidRPr="00A31A75">
              <w:t xml:space="preserve">) </w:t>
            </w:r>
            <w:r w:rsidRPr="00A31A75">
              <w:rPr>
                <w:rStyle w:val="SpecialBold"/>
              </w:rPr>
              <w:t>Competencies</w:t>
            </w:r>
          </w:p>
        </w:tc>
      </w:tr>
      <w:tr w:rsidTr="006E3F7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31A75" w:rsidP="00A31A75">
            <w:pPr>
              <w:pStyle w:val="BodyText"/>
            </w:pPr>
            <w:r w:rsidRPr="00A31A75">
              <w:t>Granting competency in this unit shall be made only after competency in the following unit(s) has/have been confirmed.</w:t>
            </w:r>
          </w:p>
          <w:p w:rsidR="00000000" w:rsidRPr="00A31A75" w:rsidP="00A31A75">
            <w:pPr>
              <w:pStyle w:val="BodyText"/>
            </w:pPr>
            <w:r w:rsidRPr="00A31A75">
              <w:t>UEENEEE002B Dismantle, assemble and fabricate electrotechnology components</w:t>
            </w:r>
          </w:p>
          <w:p w:rsidR="00000000" w:rsidRPr="00A31A75" w:rsidP="00A31A75">
            <w:pPr>
              <w:pStyle w:val="BodyText"/>
            </w:pPr>
            <w:r w:rsidRPr="00A31A75">
              <w:t>UEENEEE007B Use drawings, diagrams, schedules and manuals</w:t>
            </w:r>
          </w:p>
          <w:p w:rsidR="00000000" w:rsidRPr="00A31A75" w:rsidP="00A31A75">
            <w:pPr>
              <w:pStyle w:val="BodyText"/>
            </w:pPr>
            <w:r w:rsidRPr="00A31A75">
              <w:t xml:space="preserve">For </w:t>
            </w:r>
            <w:r w:rsidRPr="00A31A75">
              <w:t>the full prerequisite chain details for this unit please refer to Table 2 in Volume 1, Part 2</w:t>
            </w:r>
          </w:p>
        </w:tc>
      </w:tr>
    </w:tbl>
    <w:p w:rsidR="006E3F7E" w:rsidP="00A31A75">
      <w:pPr>
        <w:pStyle w:val="BodyText"/>
      </w:pPr>
    </w:p>
    <w:p w:rsidR="006E3F7E" w:rsidP="00A31A75">
      <w:pPr>
        <w:pStyle w:val="BodyText"/>
      </w:pPr>
    </w:p>
    <w:p w:rsidR="00000000" w:rsidRPr="00A31A75" w:rsidP="00A31A75">
      <w:pPr>
        <w:pStyle w:val="Heading1"/>
      </w:pPr>
      <w:bookmarkStart w:id="6" w:name="O_227443"/>
      <w:bookmarkEnd w:id="6"/>
      <w:r w:rsidRPr="00A31A75">
        <w:t>Employability Skills Information</w:t>
      </w:r>
    </w:p>
    <w:tbl>
      <w:tblPr>
        <w:tblW w:w="0" w:type="auto"/>
        <w:tblLayout w:type="fixed"/>
        <w:tblCellMar>
          <w:left w:w="62" w:type="dxa"/>
          <w:right w:w="62" w:type="dxa"/>
        </w:tblCellMar>
        <w:tblLook w:val="0000"/>
      </w:tblPr>
      <w:tblGrid>
        <w:gridCol w:w="2700"/>
        <w:gridCol w:w="5760"/>
      </w:tblGrid>
      <w:tr w:rsidTr="006E3F7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A31A75" w:rsidP="00A31A75">
            <w:pPr>
              <w:pStyle w:val="BodyText"/>
            </w:pPr>
            <w:r w:rsidRPr="00A31A75">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A31A75" w:rsidP="00A31A75">
            <w:pPr>
              <w:pStyle w:val="BodyText"/>
            </w:pPr>
            <w:r w:rsidRPr="00A31A75">
              <w:rPr>
                <w:rStyle w:val="SpecialBold"/>
              </w:rPr>
              <w:t>3</w:t>
            </w:r>
            <w:r w:rsidRPr="00A31A75">
              <w:t>)</w:t>
            </w:r>
          </w:p>
          <w:p w:rsidR="00000000" w:rsidRPr="00A31A75" w:rsidP="00A31A75">
            <w:pPr>
              <w:pStyle w:val="BodyText"/>
            </w:pPr>
            <w:r w:rsidRPr="00A31A75">
              <w:t>This unit contains Employability Skills</w:t>
            </w:r>
          </w:p>
          <w:p w:rsidR="00000000" w:rsidRPr="00A31A75" w:rsidP="00A31A75">
            <w:pPr>
              <w:pStyle w:val="BodyText"/>
            </w:pPr>
            <w:r w:rsidRPr="00A31A75">
              <w:t xml:space="preserve">The required outcomes described in this unit </w:t>
            </w:r>
            <w:r w:rsidRPr="00A31A75">
              <w:t>of competency contain applicable facets of Employability Skills. The Employability Skills Summary of the qualification in which this unit of competency is packaged will assist in identifying Employability Skill requirements.</w:t>
            </w:r>
          </w:p>
        </w:tc>
      </w:tr>
    </w:tbl>
    <w:p w:rsidR="006E3F7E" w:rsidP="00A31A75">
      <w:pPr>
        <w:pStyle w:val="BodyText"/>
      </w:pPr>
    </w:p>
    <w:p w:rsidR="006E3F7E" w:rsidP="00A31A75">
      <w:pPr>
        <w:pStyle w:val="BodyText"/>
      </w:pPr>
    </w:p>
    <w:p w:rsidR="00000000" w:rsidRPr="00A31A75" w:rsidP="00A31A75">
      <w:pPr>
        <w:pStyle w:val="Heading1"/>
      </w:pPr>
      <w:bookmarkStart w:id="7" w:name="O_292858"/>
      <w:bookmarkEnd w:id="7"/>
      <w:r w:rsidRPr="00A31A75">
        <w:t>Elements an</w:t>
      </w:r>
      <w:r w:rsidRPr="00A31A75">
        <w:t>d Performance Criteria Pre-Content</w:t>
      </w:r>
    </w:p>
    <w:tbl>
      <w:tblPr>
        <w:tblW w:w="0" w:type="auto"/>
        <w:tblLayout w:type="fixed"/>
        <w:tblCellMar>
          <w:left w:w="62" w:type="dxa"/>
          <w:right w:w="62" w:type="dxa"/>
        </w:tblCellMar>
        <w:tblLook w:val="0000"/>
      </w:tblPr>
      <w:tblGrid>
        <w:gridCol w:w="2700"/>
        <w:gridCol w:w="5760"/>
      </w:tblGrid>
      <w:tr w:rsidTr="006E3F7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31A75">
            <w:pPr>
              <w:pStyle w:val="BodyText"/>
              <w:rPr>
                <w:lang w:val="en-NZ"/>
              </w:rPr>
            </w:pPr>
            <w:r w:rsidRPr="00A31A75">
              <w:rPr>
                <w:rStyle w:val="SpecialBold"/>
              </w:rPr>
              <w:t>6</w:t>
            </w:r>
            <w:r w:rsidRPr="00A31A75">
              <w:t>) Elements describe the essential outcomes of a unit</w:t>
            </w:r>
          </w:p>
        </w:tc>
        <w:tc>
          <w:tcPr>
            <w:tcW w:w="5760" w:type="dxa"/>
            <w:tcBorders>
              <w:top w:val="nil"/>
              <w:left w:val="nil"/>
              <w:bottom w:val="nil"/>
              <w:right w:val="nil"/>
            </w:tcBorders>
            <w:tcMar>
              <w:top w:w="0" w:type="dxa"/>
              <w:left w:w="62" w:type="dxa"/>
              <w:bottom w:w="0" w:type="dxa"/>
              <w:right w:w="62" w:type="dxa"/>
            </w:tcMar>
          </w:tcPr>
          <w:p w:rsidR="00000000" w:rsidRPr="00A31A75" w:rsidP="00A31A75">
            <w:pPr>
              <w:pStyle w:val="BodyText"/>
            </w:pPr>
            <w:r w:rsidRPr="00A31A75">
              <w:t>Performance criteria describe the required performance needed to demonstrate achievement of the element. Assessment of performance is to be consistent with the evidenc</w:t>
            </w:r>
            <w:r w:rsidRPr="00A31A75">
              <w:t>e guide.</w:t>
            </w:r>
          </w:p>
        </w:tc>
      </w:tr>
    </w:tbl>
    <w:p w:rsidR="00000000" w:rsidRPr="00A31A75" w:rsidP="00A31A75">
      <w:pPr>
        <w:pStyle w:val="BodyText"/>
      </w:pPr>
    </w:p>
    <w:p w:rsidR="00000000" w:rsidRPr="00A31A75" w:rsidP="00A31A75">
      <w:pPr>
        <w:pStyle w:val="AllowPageBreak"/>
      </w:pPr>
    </w:p>
    <w:p w:rsidR="00000000" w:rsidRPr="00A31A75" w:rsidP="00A31A75">
      <w:pPr>
        <w:pStyle w:val="Heading1"/>
      </w:pPr>
      <w:bookmarkStart w:id="8" w:name="O_239526"/>
      <w:bookmarkEnd w:id="8"/>
      <w:r w:rsidRPr="00A31A75">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6E3F7E">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A31A75" w:rsidP="00A31A75">
            <w:pPr>
              <w:pStyle w:val="BodyText"/>
            </w:pPr>
            <w:r w:rsidRPr="00A31A75">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A31A75">
            <w:pPr>
              <w:pStyle w:val="BodyText"/>
              <w:rPr>
                <w:lang w:val="en-NZ"/>
              </w:rPr>
            </w:pPr>
            <w:r w:rsidRPr="00A31A75">
              <w:rPr>
                <w:rStyle w:val="SpecialBold"/>
              </w:rPr>
              <w:t>PERFORMANCE CRITERIA</w:t>
            </w:r>
          </w:p>
        </w:tc>
      </w:tr>
      <w:tr w:rsidTr="006E3F7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31A75">
            <w:pPr>
              <w:pStyle w:val="BodyText"/>
              <w:rPr>
                <w:lang w:val="en-NZ"/>
              </w:rPr>
            </w:pPr>
            <w:r w:rsidRPr="00A31A75">
              <w:t>1</w:t>
            </w:r>
          </w:p>
        </w:tc>
        <w:tc>
          <w:tcPr>
            <w:tcW w:w="2296" w:type="dxa"/>
            <w:vMerge w:val="restart"/>
            <w:tcBorders>
              <w:top w:val="nil"/>
              <w:left w:val="nil"/>
              <w:bottom w:val="nil"/>
              <w:right w:val="nil"/>
            </w:tcBorders>
            <w:tcMar>
              <w:top w:w="0" w:type="dxa"/>
              <w:left w:w="62" w:type="dxa"/>
              <w:bottom w:w="0" w:type="dxa"/>
              <w:right w:w="62" w:type="dxa"/>
            </w:tcMar>
          </w:tcPr>
          <w:p w:rsidR="00000000" w:rsidP="00A31A75">
            <w:pPr>
              <w:pStyle w:val="BodyText"/>
              <w:rPr>
                <w:lang w:val="en-NZ"/>
              </w:rPr>
            </w:pPr>
            <w:r w:rsidRPr="00A31A75">
              <w:t>Prepare to fabricate tubing and attach fittings for refrigeration and/or air conditioning systems</w:t>
            </w:r>
          </w:p>
        </w:tc>
        <w:tc>
          <w:tcPr>
            <w:tcW w:w="900" w:type="dxa"/>
            <w:tcBorders>
              <w:top w:val="nil"/>
              <w:left w:val="nil"/>
              <w:bottom w:val="nil"/>
              <w:right w:val="nil"/>
            </w:tcBorders>
            <w:tcMar>
              <w:top w:w="0" w:type="dxa"/>
              <w:left w:w="62" w:type="dxa"/>
              <w:bottom w:w="0" w:type="dxa"/>
              <w:right w:w="62" w:type="dxa"/>
            </w:tcMar>
          </w:tcPr>
          <w:p w:rsidR="00000000" w:rsidP="00A31A75">
            <w:pPr>
              <w:pStyle w:val="BodyText"/>
              <w:rPr>
                <w:lang w:val="en-NZ"/>
              </w:rPr>
            </w:pPr>
            <w:r w:rsidRPr="00A31A75">
              <w:t>1.1</w:t>
            </w:r>
          </w:p>
        </w:tc>
        <w:tc>
          <w:tcPr>
            <w:tcW w:w="4860" w:type="dxa"/>
            <w:tcBorders>
              <w:top w:val="nil"/>
              <w:left w:val="nil"/>
              <w:bottom w:val="nil"/>
              <w:right w:val="nil"/>
            </w:tcBorders>
            <w:tcMar>
              <w:top w:w="0" w:type="dxa"/>
              <w:left w:w="62" w:type="dxa"/>
              <w:bottom w:w="0" w:type="dxa"/>
              <w:right w:w="62" w:type="dxa"/>
            </w:tcMar>
          </w:tcPr>
          <w:p w:rsidR="00000000" w:rsidP="00A31A75">
            <w:pPr>
              <w:pStyle w:val="BodyText"/>
              <w:rPr>
                <w:lang w:val="en-NZ"/>
              </w:rPr>
            </w:pPr>
            <w:r w:rsidRPr="00A31A75">
              <w:t>OHS procedures for a given work area are identified, obtained and understood  through established routines and procedures</w:t>
            </w:r>
          </w:p>
        </w:tc>
      </w:tr>
      <w:tr w:rsidTr="006E3F7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31A75">
            <w:pPr>
              <w:pStyle w:val="BodyText"/>
              <w:rPr>
                <w:lang w:val="en-NZ"/>
              </w:rPr>
            </w:pPr>
            <w:r w:rsidRPr="00A31A75">
              <w:t>1.2</w:t>
            </w:r>
          </w:p>
        </w:tc>
        <w:tc>
          <w:tcPr>
            <w:tcW w:w="4860" w:type="dxa"/>
            <w:tcBorders>
              <w:top w:val="nil"/>
              <w:left w:val="nil"/>
              <w:bottom w:val="nil"/>
              <w:right w:val="nil"/>
            </w:tcBorders>
            <w:tcMar>
              <w:top w:w="0" w:type="dxa"/>
              <w:left w:w="62" w:type="dxa"/>
              <w:bottom w:w="0" w:type="dxa"/>
              <w:right w:w="62" w:type="dxa"/>
            </w:tcMar>
          </w:tcPr>
          <w:p w:rsidR="00000000" w:rsidP="00A31A75">
            <w:pPr>
              <w:pStyle w:val="BodyText"/>
              <w:rPr>
                <w:lang w:val="en-NZ"/>
              </w:rPr>
            </w:pPr>
            <w:r w:rsidRPr="00A31A75">
              <w:t>Established OHS risk control measures and procedures are followed in preparation for the work.</w:t>
            </w:r>
          </w:p>
        </w:tc>
      </w:tr>
      <w:tr w:rsidTr="006E3F7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31A75">
            <w:pPr>
              <w:pStyle w:val="BodyText"/>
              <w:rPr>
                <w:lang w:val="en-NZ"/>
              </w:rPr>
            </w:pPr>
            <w:r w:rsidRPr="00A31A75">
              <w:t>1.3</w:t>
            </w:r>
          </w:p>
        </w:tc>
        <w:tc>
          <w:tcPr>
            <w:tcW w:w="4860" w:type="dxa"/>
            <w:tcBorders>
              <w:top w:val="nil"/>
              <w:left w:val="nil"/>
              <w:bottom w:val="nil"/>
              <w:right w:val="nil"/>
            </w:tcBorders>
            <w:tcMar>
              <w:top w:w="0" w:type="dxa"/>
              <w:left w:w="62" w:type="dxa"/>
              <w:bottom w:w="0" w:type="dxa"/>
              <w:right w:w="62" w:type="dxa"/>
            </w:tcMar>
          </w:tcPr>
          <w:p w:rsidR="00000000" w:rsidP="00A31A75">
            <w:pPr>
              <w:pStyle w:val="BodyText"/>
              <w:rPr>
                <w:lang w:val="en-NZ"/>
              </w:rPr>
            </w:pPr>
            <w:r w:rsidRPr="00A31A75">
              <w:t>Safety hazards which have not previously been identified are reported and advice on risk control measures is sought from the work supervisor.</w:t>
            </w:r>
          </w:p>
        </w:tc>
      </w:tr>
      <w:tr w:rsidTr="006E3F7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31A75">
            <w:pPr>
              <w:pStyle w:val="BodyText"/>
              <w:rPr>
                <w:lang w:val="en-NZ"/>
              </w:rPr>
            </w:pPr>
            <w:r w:rsidRPr="00A31A75">
              <w:t>1.4</w:t>
            </w:r>
          </w:p>
        </w:tc>
        <w:tc>
          <w:tcPr>
            <w:tcW w:w="4860" w:type="dxa"/>
            <w:tcBorders>
              <w:top w:val="nil"/>
              <w:left w:val="nil"/>
              <w:bottom w:val="nil"/>
              <w:right w:val="nil"/>
            </w:tcBorders>
            <w:tcMar>
              <w:top w:w="0" w:type="dxa"/>
              <w:left w:w="62" w:type="dxa"/>
              <w:bottom w:w="0" w:type="dxa"/>
              <w:right w:w="62" w:type="dxa"/>
            </w:tcMar>
          </w:tcPr>
          <w:p w:rsidR="00000000" w:rsidP="00A31A75">
            <w:pPr>
              <w:pStyle w:val="BodyText"/>
              <w:rPr>
                <w:lang w:val="en-NZ"/>
              </w:rPr>
            </w:pPr>
            <w:r w:rsidRPr="00A31A75">
              <w:t>The nature of work is obtained from documentation or from work supervisor to establish the scope of work to be undertaken.</w:t>
            </w:r>
          </w:p>
        </w:tc>
      </w:tr>
      <w:tr w:rsidTr="006E3F7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31A75">
            <w:pPr>
              <w:pStyle w:val="BodyText"/>
              <w:rPr>
                <w:lang w:val="en-NZ"/>
              </w:rPr>
            </w:pPr>
            <w:r w:rsidRPr="00A31A75">
              <w:t>1.5</w:t>
            </w:r>
          </w:p>
        </w:tc>
        <w:tc>
          <w:tcPr>
            <w:tcW w:w="4860" w:type="dxa"/>
            <w:tcBorders>
              <w:top w:val="nil"/>
              <w:left w:val="nil"/>
              <w:bottom w:val="nil"/>
              <w:right w:val="nil"/>
            </w:tcBorders>
            <w:tcMar>
              <w:top w:w="0" w:type="dxa"/>
              <w:left w:w="62" w:type="dxa"/>
              <w:bottom w:w="0" w:type="dxa"/>
              <w:right w:w="62" w:type="dxa"/>
            </w:tcMar>
          </w:tcPr>
          <w:p w:rsidR="00000000" w:rsidP="00A31A75">
            <w:pPr>
              <w:pStyle w:val="BodyText"/>
              <w:rPr>
                <w:lang w:val="en-NZ"/>
              </w:rPr>
            </w:pPr>
            <w:r w:rsidRPr="00A31A75">
              <w:t>Advice is sought from the work supervisor to ensure the work is coordinated effectively with others.</w:t>
            </w:r>
          </w:p>
        </w:tc>
      </w:tr>
      <w:tr w:rsidTr="006E3F7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31A75">
            <w:pPr>
              <w:pStyle w:val="BodyText"/>
              <w:rPr>
                <w:lang w:val="en-NZ"/>
              </w:rPr>
            </w:pPr>
            <w:r w:rsidRPr="00A31A75">
              <w:t>1.6</w:t>
            </w:r>
          </w:p>
        </w:tc>
        <w:tc>
          <w:tcPr>
            <w:tcW w:w="4860" w:type="dxa"/>
            <w:tcBorders>
              <w:top w:val="nil"/>
              <w:left w:val="nil"/>
              <w:bottom w:val="nil"/>
              <w:right w:val="nil"/>
            </w:tcBorders>
            <w:tcMar>
              <w:top w:w="0" w:type="dxa"/>
              <w:left w:w="62" w:type="dxa"/>
              <w:bottom w:w="0" w:type="dxa"/>
              <w:right w:w="62" w:type="dxa"/>
            </w:tcMar>
          </w:tcPr>
          <w:p w:rsidR="00000000" w:rsidP="00A31A75">
            <w:pPr>
              <w:pStyle w:val="BodyText"/>
              <w:rPr>
                <w:lang w:val="en-NZ"/>
              </w:rPr>
            </w:pPr>
            <w:r w:rsidRPr="00A31A75">
              <w:t>Sources of materia</w:t>
            </w:r>
            <w:r w:rsidRPr="00A31A75">
              <w:t>ls that may be required for the work are accessed in accordance with established routines and procedures.</w:t>
            </w:r>
          </w:p>
        </w:tc>
      </w:tr>
      <w:tr w:rsidTr="006E3F7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31A75">
            <w:pPr>
              <w:pStyle w:val="BodyText"/>
              <w:rPr>
                <w:lang w:val="en-NZ"/>
              </w:rPr>
            </w:pPr>
            <w:r w:rsidRPr="00A31A75">
              <w:t>1.7</w:t>
            </w:r>
          </w:p>
        </w:tc>
        <w:tc>
          <w:tcPr>
            <w:tcW w:w="4860" w:type="dxa"/>
            <w:tcBorders>
              <w:top w:val="nil"/>
              <w:left w:val="nil"/>
              <w:bottom w:val="nil"/>
              <w:right w:val="nil"/>
            </w:tcBorders>
            <w:tcMar>
              <w:top w:w="0" w:type="dxa"/>
              <w:left w:w="62" w:type="dxa"/>
              <w:bottom w:w="0" w:type="dxa"/>
              <w:right w:w="62" w:type="dxa"/>
            </w:tcMar>
          </w:tcPr>
          <w:p w:rsidR="00000000" w:rsidP="00A31A75">
            <w:pPr>
              <w:pStyle w:val="BodyText"/>
              <w:rPr>
                <w:lang w:val="en-NZ"/>
              </w:rPr>
            </w:pPr>
            <w:r w:rsidRPr="00A31A75">
              <w:t>Tools, equipment and testing devices needed to carry out the work are obtained and checked for correct operation and safety</w:t>
            </w:r>
          </w:p>
        </w:tc>
      </w:tr>
      <w:tr w:rsidTr="006E3F7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31A75">
            <w:pPr>
              <w:pStyle w:val="BodyText"/>
              <w:rPr>
                <w:lang w:val="en-NZ"/>
              </w:rPr>
            </w:pPr>
            <w:r w:rsidRPr="00A31A75">
              <w:t>2</w:t>
            </w:r>
          </w:p>
        </w:tc>
        <w:tc>
          <w:tcPr>
            <w:tcW w:w="2296" w:type="dxa"/>
            <w:vMerge w:val="restart"/>
            <w:tcBorders>
              <w:top w:val="nil"/>
              <w:left w:val="nil"/>
              <w:bottom w:val="nil"/>
              <w:right w:val="nil"/>
            </w:tcBorders>
            <w:tcMar>
              <w:top w:w="0" w:type="dxa"/>
              <w:left w:w="62" w:type="dxa"/>
              <w:bottom w:w="0" w:type="dxa"/>
              <w:right w:w="62" w:type="dxa"/>
            </w:tcMar>
          </w:tcPr>
          <w:p w:rsidR="00000000" w:rsidP="00A31A75">
            <w:pPr>
              <w:pStyle w:val="BodyText"/>
              <w:rPr>
                <w:lang w:val="en-NZ"/>
              </w:rPr>
            </w:pPr>
            <w:r w:rsidRPr="00A31A75">
              <w:t>Fabricate tubing</w:t>
            </w:r>
            <w:r w:rsidRPr="00A31A75">
              <w:t xml:space="preserve"> and attach fittings for refrigeration and/or air conditioning systems</w:t>
            </w:r>
          </w:p>
        </w:tc>
        <w:tc>
          <w:tcPr>
            <w:tcW w:w="900" w:type="dxa"/>
            <w:tcBorders>
              <w:top w:val="nil"/>
              <w:left w:val="nil"/>
              <w:bottom w:val="nil"/>
              <w:right w:val="nil"/>
            </w:tcBorders>
            <w:tcMar>
              <w:top w:w="0" w:type="dxa"/>
              <w:left w:w="62" w:type="dxa"/>
              <w:bottom w:w="0" w:type="dxa"/>
              <w:right w:w="62" w:type="dxa"/>
            </w:tcMar>
          </w:tcPr>
          <w:p w:rsidR="00000000" w:rsidP="00A31A75">
            <w:pPr>
              <w:pStyle w:val="BodyText"/>
              <w:rPr>
                <w:lang w:val="en-NZ"/>
              </w:rPr>
            </w:pPr>
            <w:r w:rsidRPr="00A31A75">
              <w:t>2.1</w:t>
            </w:r>
          </w:p>
        </w:tc>
        <w:tc>
          <w:tcPr>
            <w:tcW w:w="4860" w:type="dxa"/>
            <w:tcBorders>
              <w:top w:val="nil"/>
              <w:left w:val="nil"/>
              <w:bottom w:val="nil"/>
              <w:right w:val="nil"/>
            </w:tcBorders>
            <w:tcMar>
              <w:top w:w="0" w:type="dxa"/>
              <w:left w:w="62" w:type="dxa"/>
              <w:bottom w:w="0" w:type="dxa"/>
              <w:right w:w="62" w:type="dxa"/>
            </w:tcMar>
          </w:tcPr>
          <w:p w:rsidR="00000000" w:rsidP="00A31A75">
            <w:pPr>
              <w:pStyle w:val="BodyText"/>
              <w:rPr>
                <w:lang w:val="en-NZ"/>
              </w:rPr>
            </w:pPr>
            <w:r w:rsidRPr="00A31A75">
              <w:t>Established OHS risk control measures and procedures for carrying out the work are followed.</w:t>
            </w:r>
          </w:p>
        </w:tc>
      </w:tr>
      <w:tr w:rsidTr="006E3F7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31A75">
            <w:pPr>
              <w:pStyle w:val="BodyText"/>
              <w:rPr>
                <w:lang w:val="en-NZ"/>
              </w:rPr>
            </w:pPr>
            <w:r w:rsidRPr="00A31A75">
              <w:t>2.2</w:t>
            </w:r>
          </w:p>
        </w:tc>
        <w:tc>
          <w:tcPr>
            <w:tcW w:w="4860" w:type="dxa"/>
            <w:tcBorders>
              <w:top w:val="nil"/>
              <w:left w:val="nil"/>
              <w:bottom w:val="nil"/>
              <w:right w:val="nil"/>
            </w:tcBorders>
            <w:tcMar>
              <w:top w:w="0" w:type="dxa"/>
              <w:left w:w="62" w:type="dxa"/>
              <w:bottom w:w="0" w:type="dxa"/>
              <w:right w:w="62" w:type="dxa"/>
            </w:tcMar>
          </w:tcPr>
          <w:p w:rsidR="00000000" w:rsidP="00A31A75">
            <w:pPr>
              <w:pStyle w:val="BodyText"/>
              <w:rPr>
                <w:lang w:val="en-NZ"/>
              </w:rPr>
            </w:pPr>
            <w:r w:rsidRPr="00A31A75">
              <w:t>Work in strict accordance with OHS requirements and when necessary conducted within established safety procedures</w:t>
            </w:r>
          </w:p>
        </w:tc>
      </w:tr>
      <w:tr w:rsidTr="006E3F7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31A75">
            <w:pPr>
              <w:pStyle w:val="BodyText"/>
              <w:rPr>
                <w:lang w:val="en-NZ"/>
              </w:rPr>
            </w:pPr>
            <w:r w:rsidRPr="00A31A75">
              <w:t>2.3</w:t>
            </w:r>
          </w:p>
        </w:tc>
        <w:tc>
          <w:tcPr>
            <w:tcW w:w="4860" w:type="dxa"/>
            <w:tcBorders>
              <w:top w:val="nil"/>
              <w:left w:val="nil"/>
              <w:bottom w:val="nil"/>
              <w:right w:val="nil"/>
            </w:tcBorders>
            <w:tcMar>
              <w:top w:w="0" w:type="dxa"/>
              <w:left w:w="62" w:type="dxa"/>
              <w:bottom w:w="0" w:type="dxa"/>
              <w:right w:w="62" w:type="dxa"/>
            </w:tcMar>
          </w:tcPr>
          <w:p w:rsidR="00000000" w:rsidP="00A31A75">
            <w:pPr>
              <w:pStyle w:val="BodyText"/>
              <w:rPr>
                <w:lang w:val="en-NZ"/>
              </w:rPr>
            </w:pPr>
            <w:r w:rsidRPr="00A31A75">
              <w:t>Established methods used to cut, flare, swage, bend, silver braze tubing and fittings as they apply to the refrigeration/air conditioni</w:t>
            </w:r>
            <w:r w:rsidRPr="00A31A75">
              <w:t>ng equipment arrangements.</w:t>
            </w:r>
          </w:p>
        </w:tc>
      </w:tr>
      <w:tr w:rsidTr="006E3F7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31A75">
            <w:pPr>
              <w:pStyle w:val="BodyText"/>
              <w:rPr>
                <w:lang w:val="en-NZ"/>
              </w:rPr>
            </w:pPr>
            <w:r w:rsidRPr="00A31A75">
              <w:t>2.4</w:t>
            </w:r>
          </w:p>
        </w:tc>
        <w:tc>
          <w:tcPr>
            <w:tcW w:w="4860" w:type="dxa"/>
            <w:tcBorders>
              <w:top w:val="nil"/>
              <w:left w:val="nil"/>
              <w:bottom w:val="nil"/>
              <w:right w:val="nil"/>
            </w:tcBorders>
            <w:tcMar>
              <w:top w:w="0" w:type="dxa"/>
              <w:left w:w="62" w:type="dxa"/>
              <w:bottom w:w="0" w:type="dxa"/>
              <w:right w:w="62" w:type="dxa"/>
            </w:tcMar>
          </w:tcPr>
          <w:p w:rsidR="00000000" w:rsidP="00A31A75">
            <w:pPr>
              <w:pStyle w:val="BodyText"/>
              <w:rPr>
                <w:lang w:val="en-NZ"/>
              </w:rPr>
            </w:pPr>
            <w:r w:rsidRPr="00A31A75">
              <w:t>Refrigerant tubing and fittings are silver brazed with the use of dry nitrogen to prevent contamination.</w:t>
            </w:r>
          </w:p>
        </w:tc>
      </w:tr>
      <w:tr w:rsidTr="006E3F7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31A75">
            <w:pPr>
              <w:pStyle w:val="BodyText"/>
              <w:rPr>
                <w:lang w:val="en-NZ"/>
              </w:rPr>
            </w:pPr>
            <w:r w:rsidRPr="00A31A75">
              <w:t>2.5</w:t>
            </w:r>
          </w:p>
        </w:tc>
        <w:tc>
          <w:tcPr>
            <w:tcW w:w="4860" w:type="dxa"/>
            <w:tcBorders>
              <w:top w:val="nil"/>
              <w:left w:val="nil"/>
              <w:bottom w:val="nil"/>
              <w:right w:val="nil"/>
            </w:tcBorders>
            <w:tcMar>
              <w:top w:w="0" w:type="dxa"/>
              <w:left w:w="62" w:type="dxa"/>
              <w:bottom w:w="0" w:type="dxa"/>
              <w:right w:w="62" w:type="dxa"/>
            </w:tcMar>
          </w:tcPr>
          <w:p w:rsidR="00000000" w:rsidP="00A31A75">
            <w:pPr>
              <w:pStyle w:val="BodyText"/>
              <w:rPr>
                <w:lang w:val="en-NZ"/>
              </w:rPr>
            </w:pPr>
            <w:r w:rsidRPr="00A31A75">
              <w:t>Fabricate tubing and attach fittings are prepared efficiently without waste of materials or damage/contamination to apparatus and the surrounding environment or services and using sustainable energy practices.</w:t>
            </w:r>
          </w:p>
        </w:tc>
      </w:tr>
      <w:tr w:rsidTr="006E3F7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31A75">
            <w:pPr>
              <w:pStyle w:val="BodyText"/>
              <w:rPr>
                <w:lang w:val="en-NZ"/>
              </w:rPr>
            </w:pPr>
            <w:r w:rsidRPr="00A31A75">
              <w:t>2.6</w:t>
            </w:r>
          </w:p>
        </w:tc>
        <w:tc>
          <w:tcPr>
            <w:tcW w:w="4860" w:type="dxa"/>
            <w:tcBorders>
              <w:top w:val="nil"/>
              <w:left w:val="nil"/>
              <w:bottom w:val="nil"/>
              <w:right w:val="nil"/>
            </w:tcBorders>
            <w:tcMar>
              <w:top w:w="0" w:type="dxa"/>
              <w:left w:w="62" w:type="dxa"/>
              <w:bottom w:w="0" w:type="dxa"/>
              <w:right w:w="62" w:type="dxa"/>
            </w:tcMar>
          </w:tcPr>
          <w:p w:rsidR="00000000" w:rsidP="00A31A75">
            <w:pPr>
              <w:pStyle w:val="BodyText"/>
              <w:rPr>
                <w:lang w:val="en-NZ"/>
              </w:rPr>
            </w:pPr>
            <w:r w:rsidRPr="00A31A75">
              <w:t xml:space="preserve">Routine quality checks are carried out </w:t>
            </w:r>
            <w:r w:rsidRPr="00A31A75">
              <w:t>in accordance with work instructions/or specifications including dimensions and pressure testing.</w:t>
            </w:r>
          </w:p>
        </w:tc>
      </w:tr>
      <w:tr w:rsidTr="006E3F7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31A75">
            <w:pPr>
              <w:pStyle w:val="BodyText"/>
              <w:rPr>
                <w:lang w:val="en-NZ"/>
              </w:rPr>
            </w:pPr>
            <w:r w:rsidRPr="00A31A75">
              <w:t>3</w:t>
            </w:r>
          </w:p>
        </w:tc>
        <w:tc>
          <w:tcPr>
            <w:tcW w:w="2296" w:type="dxa"/>
            <w:vMerge w:val="restart"/>
            <w:tcBorders>
              <w:top w:val="nil"/>
              <w:left w:val="nil"/>
              <w:bottom w:val="nil"/>
              <w:right w:val="nil"/>
            </w:tcBorders>
            <w:tcMar>
              <w:top w:w="0" w:type="dxa"/>
              <w:left w:w="62" w:type="dxa"/>
              <w:bottom w:w="0" w:type="dxa"/>
              <w:right w:w="62" w:type="dxa"/>
            </w:tcMar>
          </w:tcPr>
          <w:p w:rsidR="00000000" w:rsidP="00A31A75">
            <w:pPr>
              <w:pStyle w:val="BodyText"/>
              <w:rPr>
                <w:lang w:val="en-NZ"/>
              </w:rPr>
            </w:pPr>
            <w:r w:rsidRPr="00A31A75">
              <w:t>Complete work and report</w:t>
            </w:r>
          </w:p>
        </w:tc>
        <w:tc>
          <w:tcPr>
            <w:tcW w:w="900" w:type="dxa"/>
            <w:tcBorders>
              <w:top w:val="nil"/>
              <w:left w:val="nil"/>
              <w:bottom w:val="nil"/>
              <w:right w:val="nil"/>
            </w:tcBorders>
            <w:tcMar>
              <w:top w:w="0" w:type="dxa"/>
              <w:left w:w="62" w:type="dxa"/>
              <w:bottom w:w="0" w:type="dxa"/>
              <w:right w:w="62" w:type="dxa"/>
            </w:tcMar>
          </w:tcPr>
          <w:p w:rsidR="00000000" w:rsidP="00A31A75">
            <w:pPr>
              <w:pStyle w:val="BodyText"/>
              <w:rPr>
                <w:lang w:val="en-NZ"/>
              </w:rPr>
            </w:pPr>
            <w:r w:rsidRPr="00A31A75">
              <w:t>3.1</w:t>
            </w:r>
          </w:p>
        </w:tc>
        <w:tc>
          <w:tcPr>
            <w:tcW w:w="4860" w:type="dxa"/>
            <w:tcBorders>
              <w:top w:val="nil"/>
              <w:left w:val="nil"/>
              <w:bottom w:val="nil"/>
              <w:right w:val="nil"/>
            </w:tcBorders>
            <w:tcMar>
              <w:top w:w="0" w:type="dxa"/>
              <w:left w:w="62" w:type="dxa"/>
              <w:bottom w:w="0" w:type="dxa"/>
              <w:right w:w="62" w:type="dxa"/>
            </w:tcMar>
          </w:tcPr>
          <w:p w:rsidR="00000000" w:rsidP="00A31A75">
            <w:pPr>
              <w:pStyle w:val="BodyText"/>
              <w:rPr>
                <w:lang w:val="en-NZ"/>
              </w:rPr>
            </w:pPr>
            <w:r w:rsidRPr="00A31A75">
              <w:t>OHS work completion risk control measures and procedures are followed.</w:t>
            </w:r>
          </w:p>
        </w:tc>
      </w:tr>
      <w:tr w:rsidTr="006E3F7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31A75">
            <w:pPr>
              <w:pStyle w:val="BodyText"/>
              <w:rPr>
                <w:lang w:val="en-NZ"/>
              </w:rPr>
            </w:pPr>
            <w:r w:rsidRPr="00A31A75">
              <w:t>3.2</w:t>
            </w:r>
          </w:p>
        </w:tc>
        <w:tc>
          <w:tcPr>
            <w:tcW w:w="4860" w:type="dxa"/>
            <w:tcBorders>
              <w:top w:val="nil"/>
              <w:left w:val="nil"/>
              <w:bottom w:val="nil"/>
              <w:right w:val="nil"/>
            </w:tcBorders>
            <w:tcMar>
              <w:top w:w="0" w:type="dxa"/>
              <w:left w:w="62" w:type="dxa"/>
              <w:bottom w:w="0" w:type="dxa"/>
              <w:right w:w="62" w:type="dxa"/>
            </w:tcMar>
          </w:tcPr>
          <w:p w:rsidR="00000000" w:rsidP="00A31A75">
            <w:pPr>
              <w:pStyle w:val="BodyText"/>
              <w:rPr>
                <w:lang w:val="en-NZ"/>
              </w:rPr>
            </w:pPr>
            <w:r w:rsidRPr="00A31A75">
              <w:t>Work site is cleaned and made safe in accordance with established procedures.</w:t>
            </w:r>
          </w:p>
        </w:tc>
      </w:tr>
      <w:tr w:rsidTr="006E3F7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31A75">
            <w:pPr>
              <w:pStyle w:val="BodyText"/>
              <w:rPr>
                <w:lang w:val="en-NZ"/>
              </w:rPr>
            </w:pPr>
            <w:r w:rsidRPr="00A31A75">
              <w:t>3.3</w:t>
            </w:r>
          </w:p>
        </w:tc>
        <w:tc>
          <w:tcPr>
            <w:tcW w:w="4860" w:type="dxa"/>
            <w:tcBorders>
              <w:top w:val="nil"/>
              <w:left w:val="nil"/>
              <w:bottom w:val="nil"/>
              <w:right w:val="nil"/>
            </w:tcBorders>
            <w:tcMar>
              <w:top w:w="0" w:type="dxa"/>
              <w:left w:w="62" w:type="dxa"/>
              <w:bottom w:w="0" w:type="dxa"/>
              <w:right w:w="62" w:type="dxa"/>
            </w:tcMar>
          </w:tcPr>
          <w:p w:rsidR="00000000" w:rsidRPr="00A31A75" w:rsidP="00A31A75">
            <w:pPr>
              <w:pStyle w:val="BodyText"/>
            </w:pPr>
            <w:r w:rsidRPr="00A31A75">
              <w:t>Work supervisor is notified of the completion of the work in accordance with established procedures.</w:t>
            </w:r>
          </w:p>
        </w:tc>
      </w:tr>
    </w:tbl>
    <w:p w:rsidR="006E3F7E" w:rsidP="00A31A75">
      <w:pPr>
        <w:pStyle w:val="BodyText"/>
      </w:pPr>
    </w:p>
    <w:p w:rsidR="006E3F7E" w:rsidP="00A31A75">
      <w:pPr>
        <w:pStyle w:val="BodyText"/>
      </w:pPr>
    </w:p>
    <w:p w:rsidR="00000000" w:rsidRPr="00A31A75" w:rsidP="00A31A75">
      <w:pPr>
        <w:pStyle w:val="Heading1"/>
      </w:pPr>
      <w:bookmarkStart w:id="9" w:name="O_263317"/>
      <w:bookmarkEnd w:id="9"/>
      <w:r w:rsidRPr="00A31A75">
        <w:t>Required Skills and Knowledge</w:t>
      </w:r>
    </w:p>
    <w:tbl>
      <w:tblPr>
        <w:tblW w:w="0" w:type="auto"/>
        <w:tblLayout w:type="fixed"/>
        <w:tblCellMar>
          <w:left w:w="62" w:type="dxa"/>
          <w:right w:w="62" w:type="dxa"/>
        </w:tblCellMar>
        <w:tblLook w:val="0000"/>
      </w:tblPr>
      <w:tblGrid>
        <w:gridCol w:w="2700"/>
        <w:gridCol w:w="1080"/>
        <w:gridCol w:w="4680"/>
      </w:tblGrid>
      <w:tr w:rsidTr="006E3F7E">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A31A75">
            <w:pPr>
              <w:pStyle w:val="BodyText"/>
              <w:rPr>
                <w:lang w:val="en-NZ"/>
              </w:rPr>
            </w:pPr>
            <w:r w:rsidRPr="00A31A75">
              <w:rPr>
                <w:rStyle w:val="SpecialBold"/>
              </w:rPr>
              <w:t>REQUIRED SKILLS AND KNOWLEDGE</w:t>
            </w:r>
          </w:p>
        </w:tc>
      </w:tr>
      <w:tr w:rsidTr="006E3F7E">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A31A75">
            <w:pPr>
              <w:pStyle w:val="BodyText"/>
              <w:rPr>
                <w:lang w:val="en-NZ"/>
              </w:rPr>
            </w:pPr>
            <w:r w:rsidRPr="00A31A75">
              <w:rPr>
                <w:rStyle w:val="SpecialBold"/>
              </w:rPr>
              <w:t>7</w:t>
            </w:r>
            <w:r w:rsidRPr="00A31A75">
              <w:t>) This describes the essential skills and knowledge and their level, required for this unit.</w:t>
            </w:r>
          </w:p>
        </w:tc>
      </w:tr>
      <w:tr w:rsidTr="006E3F7E">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A31A75" w:rsidP="00A31A75">
            <w:pPr>
              <w:pStyle w:val="BodyText"/>
            </w:pPr>
            <w:r w:rsidRPr="00A31A75">
              <w:t>Evidence shall show that knowledge has been acquired of safe working practices and preparing refrigerant tubing and fittings.</w:t>
            </w:r>
          </w:p>
          <w:p w:rsidR="00000000" w:rsidRPr="00A31A75" w:rsidP="00A31A75">
            <w:pPr>
              <w:pStyle w:val="BodyText"/>
            </w:pPr>
            <w:r w:rsidRPr="00A31A75">
              <w:t>All knowledge and skills detailed in this unit should be contextualised to current industry practices and technologies.</w:t>
            </w:r>
          </w:p>
          <w:p w:rsidR="00000000" w:rsidP="00A31A75">
            <w:pPr>
              <w:pStyle w:val="BodyText"/>
              <w:rPr>
                <w:lang w:val="en-NZ"/>
              </w:rPr>
            </w:pPr>
            <w:r w:rsidRPr="00A31A75">
              <w:t xml:space="preserve">The extent of the essential knowledge and associated skills (EKAS) required is given in Volume 2 - Part 2.2 EKAS.  It forms an integral </w:t>
            </w:r>
            <w:r w:rsidRPr="00A31A75">
              <w:t>part of this unit.</w:t>
            </w:r>
          </w:p>
        </w:tc>
      </w:tr>
      <w:tr w:rsidTr="006E3F7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A31A75">
            <w:pPr>
              <w:pStyle w:val="BodyText"/>
              <w:rPr>
                <w:lang w:val="en-NZ"/>
              </w:rPr>
            </w:pPr>
            <w:r w:rsidRPr="00A31A75">
              <w:t>2.11.13.1</w:t>
            </w:r>
          </w:p>
        </w:tc>
        <w:tc>
          <w:tcPr>
            <w:tcW w:w="4680" w:type="dxa"/>
            <w:tcBorders>
              <w:top w:val="nil"/>
              <w:left w:val="nil"/>
              <w:bottom w:val="nil"/>
              <w:right w:val="nil"/>
            </w:tcBorders>
            <w:tcMar>
              <w:top w:w="0" w:type="dxa"/>
              <w:left w:w="62" w:type="dxa"/>
              <w:bottom w:w="0" w:type="dxa"/>
              <w:right w:w="62" w:type="dxa"/>
            </w:tcMar>
          </w:tcPr>
          <w:p w:rsidR="00000000" w:rsidP="00A31A75">
            <w:pPr>
              <w:pStyle w:val="BodyText"/>
              <w:rPr>
                <w:lang w:val="en-NZ"/>
              </w:rPr>
            </w:pPr>
            <w:r w:rsidRPr="00A31A75">
              <w:t>Brazing and soldering equipment and techniques</w:t>
            </w:r>
          </w:p>
        </w:tc>
      </w:tr>
      <w:tr w:rsidTr="006E3F7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A31A75">
            <w:pPr>
              <w:pStyle w:val="BodyText"/>
              <w:rPr>
                <w:lang w:val="en-NZ"/>
              </w:rPr>
            </w:pPr>
            <w:r w:rsidRPr="00A31A75">
              <w:t>2.11.14</w:t>
            </w:r>
          </w:p>
        </w:tc>
        <w:tc>
          <w:tcPr>
            <w:tcW w:w="4680" w:type="dxa"/>
            <w:tcBorders>
              <w:top w:val="nil"/>
              <w:left w:val="nil"/>
              <w:bottom w:val="nil"/>
              <w:right w:val="nil"/>
            </w:tcBorders>
            <w:tcMar>
              <w:top w:w="0" w:type="dxa"/>
              <w:left w:w="62" w:type="dxa"/>
              <w:bottom w:w="0" w:type="dxa"/>
              <w:right w:w="62" w:type="dxa"/>
            </w:tcMar>
          </w:tcPr>
          <w:p w:rsidR="00000000" w:rsidP="00A31A75">
            <w:pPr>
              <w:pStyle w:val="BodyText"/>
              <w:rPr>
                <w:lang w:val="en-NZ"/>
              </w:rPr>
            </w:pPr>
            <w:r w:rsidRPr="00A31A75">
              <w:t>Piping and tubing techniques</w:t>
            </w:r>
          </w:p>
        </w:tc>
      </w:tr>
      <w:tr w:rsidTr="006E3F7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0" w:type="dxa"/>
            <w:tcBorders>
              <w:top w:val="nil"/>
              <w:left w:val="nil"/>
              <w:bottom w:val="nil"/>
              <w:right w:val="nil"/>
            </w:tcBorders>
            <w:tcMar>
              <w:top w:w="0" w:type="dxa"/>
              <w:left w:w="62" w:type="dxa"/>
              <w:bottom w:w="0" w:type="dxa"/>
              <w:right w:w="62" w:type="dxa"/>
            </w:tcMar>
          </w:tcPr>
          <w:p w:rsidR="00000000" w:rsidRPr="00A31A75" w:rsidP="00A31A75">
            <w:pPr>
              <w:pStyle w:val="BodyText"/>
            </w:pPr>
          </w:p>
        </w:tc>
      </w:tr>
    </w:tbl>
    <w:p w:rsidR="006E3F7E" w:rsidP="00A31A75">
      <w:pPr>
        <w:pStyle w:val="BodyText"/>
      </w:pPr>
    </w:p>
    <w:p w:rsidR="006E3F7E" w:rsidP="00A31A75">
      <w:pPr>
        <w:pStyle w:val="BodyText"/>
      </w:pPr>
    </w:p>
    <w:p w:rsidR="00000000" w:rsidRPr="00A31A75" w:rsidP="00A31A75">
      <w:pPr>
        <w:pStyle w:val="Heading1"/>
      </w:pPr>
      <w:bookmarkStart w:id="10" w:name="O_247510"/>
      <w:bookmarkEnd w:id="10"/>
      <w:r w:rsidRPr="00A31A75">
        <w:t>Evidence Guide</w:t>
      </w:r>
    </w:p>
    <w:tbl>
      <w:tblPr>
        <w:tblW w:w="0" w:type="auto"/>
        <w:tblLayout w:type="fixed"/>
        <w:tblCellMar>
          <w:left w:w="62" w:type="dxa"/>
          <w:right w:w="62" w:type="dxa"/>
        </w:tblCellMar>
        <w:tblLook w:val="0000"/>
      </w:tblPr>
      <w:tblGrid>
        <w:gridCol w:w="2160"/>
        <w:gridCol w:w="720"/>
        <w:gridCol w:w="540"/>
        <w:gridCol w:w="5040"/>
      </w:tblGrid>
      <w:tr w:rsidTr="006E3F7E">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A31A75">
            <w:pPr>
              <w:pStyle w:val="BodyText"/>
              <w:rPr>
                <w:lang w:val="en-NZ"/>
              </w:rPr>
            </w:pPr>
            <w:r w:rsidRPr="00A31A75">
              <w:rPr>
                <w:rStyle w:val="SpecialBold"/>
              </w:rPr>
              <w:t>EVIDENCE GUIDE</w:t>
            </w:r>
          </w:p>
        </w:tc>
      </w:tr>
      <w:tr w:rsidTr="006E3F7E">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A31A75" w:rsidP="00A31A75">
            <w:pPr>
              <w:pStyle w:val="BodyText"/>
            </w:pPr>
            <w:r w:rsidRPr="00A31A75">
              <w:rPr>
                <w:rStyle w:val="SpecialBold"/>
              </w:rPr>
              <w:t>9</w:t>
            </w:r>
            <w:r w:rsidRPr="00A31A75">
              <w:t>) The evidence guide provides advice on assessment and must be read in conjunction with the Performance Criteria, Required Skills and Knowledge, the Range Statement and the Assessment Guidelines for this Training Package. .</w:t>
            </w:r>
          </w:p>
          <w:p w:rsidR="00000000" w:rsidP="00A31A75">
            <w:pPr>
              <w:pStyle w:val="BodyText"/>
              <w:rPr>
                <w:lang w:val="en-NZ"/>
              </w:rPr>
            </w:pPr>
            <w:r w:rsidRPr="00A31A75">
              <w:t>The Evidence Guide forms an inte</w:t>
            </w:r>
            <w:r w:rsidRPr="00A31A75">
              <w:t>gral part of this Unit. It must be used in conjunction with all parts of this unit and performed in accordance with the Assessment Guidelines of this Training Package.</w:t>
            </w:r>
          </w:p>
        </w:tc>
      </w:tr>
      <w:tr w:rsidTr="006E3F7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A31A75" w:rsidP="00A31A75">
            <w:pPr>
              <w:pStyle w:val="BodyText"/>
            </w:pPr>
            <w:r w:rsidRPr="00A31A75">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A31A75" w:rsidP="00A31A75">
            <w:pPr>
              <w:pStyle w:val="BodyText"/>
            </w:pPr>
            <w:r w:rsidRPr="00A31A75">
              <w:rPr>
                <w:rStyle w:val="SpecialBold"/>
              </w:rPr>
              <w:t>9</w:t>
            </w:r>
            <w:r w:rsidRPr="00A31A75">
              <w:t>.</w:t>
            </w:r>
            <w:r w:rsidRPr="00A31A75">
              <w:rPr>
                <w:rStyle w:val="SpecialBold"/>
              </w:rPr>
              <w:t>1</w:t>
            </w:r>
            <w:r w:rsidRPr="00A31A75">
              <w:t xml:space="preserve">) </w:t>
            </w:r>
          </w:p>
          <w:p w:rsidR="00000000" w:rsidRPr="00A31A75" w:rsidP="00A31A75">
            <w:pPr>
              <w:pStyle w:val="BodyText"/>
            </w:pPr>
            <w:r w:rsidRPr="00A31A75">
              <w:t>Longitudinal competency development approaches to assessment, such as Profiling, require data to be reliably gathered in a form that can be consistently interpreted over time. This approach is best utilised in Apprenticeship programs and reduces assessment</w:t>
            </w:r>
            <w:r w:rsidRPr="00A31A75">
              <w:t xml:space="preserve"> intervention. It is the industry-preferred model for apprenticeships. However, where summative (or final) assessment is used it is to include the application of the competency in the normal work environment or, at a minimum, the application of the compete</w:t>
            </w:r>
            <w:r w:rsidRPr="00A31A75">
              <w:t>ncy in a realistically simulated work environment. In some circumstances, assessment in part or full can occur outside the workplace. However, it must be in accordance with industry and regulatory policy.</w:t>
            </w:r>
          </w:p>
          <w:p w:rsidR="00000000" w:rsidRPr="00A31A75" w:rsidP="00A31A75">
            <w:pPr>
              <w:pStyle w:val="BodyText"/>
            </w:pPr>
            <w:r w:rsidRPr="00A31A75">
              <w:t xml:space="preserve">Methods chosen for a particular assessment will be </w:t>
            </w:r>
            <w:r w:rsidRPr="00A31A75">
              <w:t>influenced by various factors. These include the extent of the assessment, the most effective locations for the assessment activities to take place, access to physical resources, additional safety measures that may be required and the critical nature of th</w:t>
            </w:r>
            <w:r w:rsidRPr="00A31A75">
              <w:t>e competencies being assessed.</w:t>
            </w:r>
          </w:p>
          <w:p w:rsidR="00000000" w:rsidRPr="00A31A75" w:rsidP="00A31A75">
            <w:pPr>
              <w:pStyle w:val="BodyText"/>
            </w:pPr>
            <w:r w:rsidRPr="00A31A75">
              <w:t>The critical safety nature of working with electricity, electrical equipment, gas or any other hazardous substance/material carries risk in deeming a person competent. Sources of evidence need to be 'rich' in nature to minimi</w:t>
            </w:r>
            <w:r w:rsidRPr="00A31A75">
              <w:t>se error in judgment.</w:t>
            </w:r>
          </w:p>
          <w:p w:rsidR="00000000" w:rsidP="00A31A75">
            <w:pPr>
              <w:pStyle w:val="BodyText"/>
              <w:rPr>
                <w:lang w:val="en-NZ"/>
              </w:rPr>
            </w:pPr>
            <w:r w:rsidRPr="00A31A75">
              <w:t>Activities associated with normal everyday work influence decisions about how/how much the data gathered will contribute to its 'richness'. Some skills are more critical to safety and operational requirements while the same skills may</w:t>
            </w:r>
            <w:r w:rsidRPr="00A31A75">
              <w:t xml:space="preserve"> be more or less frequently practised. These points are raised for the assessors to consider when choosing an assessment method and developing assessment instruments. Sample assessment instruments are included for Assessors in the Assessment Guidelines of </w:t>
            </w:r>
            <w:r w:rsidRPr="00A31A75">
              <w:t>this Training Package.</w:t>
            </w:r>
          </w:p>
        </w:tc>
      </w:tr>
      <w:tr w:rsidTr="006E3F7E">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A31A75" w:rsidP="00A31A75">
            <w:pPr>
              <w:pStyle w:val="BodyText"/>
            </w:pPr>
            <w:r w:rsidRPr="00A31A75">
              <w:rPr>
                <w:rStyle w:val="SpecialBold"/>
              </w:rPr>
              <w:t>Critical aspects of evidence required to demonstrate competency 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A31A75" w:rsidP="00A31A75">
            <w:pPr>
              <w:pStyle w:val="BodyText"/>
            </w:pPr>
            <w:r w:rsidRPr="00A31A75">
              <w:rPr>
                <w:rStyle w:val="SpecialBold"/>
              </w:rPr>
              <w:t>9</w:t>
            </w:r>
            <w:r w:rsidRPr="00A31A75">
              <w:t>.</w:t>
            </w:r>
            <w:r w:rsidRPr="00A31A75">
              <w:rPr>
                <w:rStyle w:val="SpecialBold"/>
              </w:rPr>
              <w:t>2</w:t>
            </w:r>
            <w:r w:rsidRPr="00A31A75">
              <w:t xml:space="preserve">) </w:t>
            </w:r>
          </w:p>
          <w:p w:rsidR="00000000" w:rsidP="00A31A75">
            <w:pPr>
              <w:pStyle w:val="BodyText"/>
              <w:rPr>
                <w:lang w:val="en-NZ"/>
              </w:rPr>
            </w:pPr>
            <w:r w:rsidRPr="00A31A75">
              <w:t>Before the critical aspects of evidence are considered all prerequisites must be met.</w:t>
            </w:r>
          </w:p>
        </w:tc>
      </w:tr>
      <w:tr w:rsidTr="006E3F7E">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A31A75" w:rsidP="00A31A75">
            <w:pPr>
              <w:pStyle w:val="BodyText"/>
            </w:pPr>
            <w:r w:rsidRPr="00A31A75">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A31A75">
            <w:pPr>
              <w:pStyle w:val="ListBullet"/>
              <w:rPr>
                <w:lang w:val="en-NZ"/>
              </w:rPr>
            </w:pPr>
            <w:r w:rsidRPr="00A31A75">
              <w:t>A representative body of work performance demonstrated within the timeframes typically expected of the discipline, work function and industrial environment. In particular this shall incorporate evidence that shows a candidate is able to:</w:t>
            </w:r>
          </w:p>
        </w:tc>
      </w:tr>
      <w:tr w:rsidTr="006E3F7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A31A75">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A31A75" w:rsidP="00A31A75">
            <w:pPr>
              <w:pStyle w:val="ListBullet2"/>
            </w:pPr>
            <w:r w:rsidRPr="00A31A75">
              <w:t>Implement Occupational Health and Safety workplace procedures and practices including the use of risk control measures as specified in the performance criteria and range statement</w:t>
            </w:r>
          </w:p>
          <w:p w:rsidR="00000000" w:rsidRPr="00A31A75" w:rsidP="00A31A75">
            <w:pPr>
              <w:pStyle w:val="ListBullet2"/>
            </w:pPr>
            <w:r w:rsidRPr="00A31A75">
              <w:t>Apply sustainable energy principles and practices as specified in the performance criteria and range statement</w:t>
            </w:r>
          </w:p>
          <w:p w:rsidR="00000000" w:rsidRPr="00A31A75" w:rsidP="00A31A75">
            <w:pPr>
              <w:pStyle w:val="ListBullet2"/>
            </w:pPr>
            <w:r w:rsidRPr="00A31A75">
              <w:t>Demonstrate an understanding of the essential knowledge and associated skills as described in this unit.  It may be required by some jurisdiction</w:t>
            </w:r>
            <w:r w:rsidRPr="00A31A75">
              <w:t>s that RTOs provide a percentile graded result for the purpose of regulatory or licensing requirements.</w:t>
            </w:r>
          </w:p>
          <w:p w:rsidR="00000000" w:rsidRPr="00A31A75" w:rsidP="00A31A75">
            <w:pPr>
              <w:pStyle w:val="ListBullet2"/>
            </w:pPr>
            <w:r w:rsidRPr="00A31A75">
              <w:t>Demonstrate an appropriate level of skills enabling employment</w:t>
            </w:r>
          </w:p>
          <w:p w:rsidR="00000000" w:rsidP="00A31A75">
            <w:pPr>
              <w:pStyle w:val="ListBullet2"/>
              <w:rPr>
                <w:lang w:val="en-NZ"/>
              </w:rPr>
            </w:pPr>
            <w:r w:rsidRPr="00A31A75">
              <w:t>Conduct work observing the relevant Anti Discrimination legislation, regulations, polices</w:t>
            </w:r>
            <w:r w:rsidRPr="00A31A75">
              <w:t xml:space="preserve"> and workplace procedures</w:t>
            </w:r>
          </w:p>
        </w:tc>
      </w:tr>
      <w:tr w:rsidTr="006E3F7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A31A75">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A31A75">
            <w:pPr>
              <w:pStyle w:val="ListBullet"/>
              <w:rPr>
                <w:lang w:val="en-NZ"/>
              </w:rPr>
            </w:pPr>
            <w:r w:rsidRPr="00A31A75">
              <w:t>Demonstrated consistent performance across a representative range of contexts from the prescribed items below:</w:t>
            </w:r>
          </w:p>
        </w:tc>
      </w:tr>
      <w:tr w:rsidTr="006E3F7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A31A75">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A31A75">
            <w:pPr>
              <w:pStyle w:val="ListBullet2"/>
              <w:rPr>
                <w:lang w:val="en-NZ"/>
              </w:rPr>
            </w:pPr>
            <w:r w:rsidRPr="00A31A75">
              <w:t>Prepare refrigerant tubing and fittings as described in 8) and including:</w:t>
            </w:r>
          </w:p>
        </w:tc>
      </w:tr>
      <w:tr w:rsidTr="006E3F7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31A75">
            <w:pPr>
              <w:pStyle w:val="BodyText"/>
              <w:rPr>
                <w:lang w:val="en-NZ"/>
              </w:rPr>
            </w:pPr>
            <w:r w:rsidRPr="00A31A75">
              <w:t>A</w:t>
            </w:r>
          </w:p>
        </w:tc>
        <w:tc>
          <w:tcPr>
            <w:tcW w:w="5040" w:type="dxa"/>
            <w:tcBorders>
              <w:top w:val="nil"/>
              <w:left w:val="nil"/>
              <w:bottom w:val="nil"/>
              <w:right w:val="nil"/>
            </w:tcBorders>
            <w:tcMar>
              <w:top w:w="0" w:type="dxa"/>
              <w:left w:w="62" w:type="dxa"/>
              <w:bottom w:w="0" w:type="dxa"/>
              <w:right w:w="62" w:type="dxa"/>
            </w:tcMar>
          </w:tcPr>
          <w:p w:rsidR="00000000" w:rsidP="00A31A75">
            <w:pPr>
              <w:pStyle w:val="BodyText"/>
              <w:rPr>
                <w:lang w:val="en-NZ"/>
              </w:rPr>
            </w:pPr>
            <w:r w:rsidRPr="00A31A75">
              <w:t>Applying tubing and fitting appropriately to equipment layout</w:t>
            </w:r>
          </w:p>
        </w:tc>
      </w:tr>
      <w:tr w:rsidTr="006E3F7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31A75">
            <w:pPr>
              <w:pStyle w:val="BodyText"/>
              <w:rPr>
                <w:lang w:val="en-NZ"/>
              </w:rPr>
            </w:pPr>
            <w:r w:rsidRPr="00A31A75">
              <w:t>B</w:t>
            </w:r>
          </w:p>
        </w:tc>
        <w:tc>
          <w:tcPr>
            <w:tcW w:w="5040" w:type="dxa"/>
            <w:tcBorders>
              <w:top w:val="nil"/>
              <w:left w:val="nil"/>
              <w:bottom w:val="nil"/>
              <w:right w:val="nil"/>
            </w:tcBorders>
            <w:tcMar>
              <w:top w:w="0" w:type="dxa"/>
              <w:left w:w="62" w:type="dxa"/>
              <w:bottom w:w="0" w:type="dxa"/>
              <w:right w:w="62" w:type="dxa"/>
            </w:tcMar>
          </w:tcPr>
          <w:p w:rsidR="00000000" w:rsidP="00A31A75">
            <w:pPr>
              <w:pStyle w:val="BodyText"/>
              <w:rPr>
                <w:lang w:val="en-NZ"/>
              </w:rPr>
            </w:pPr>
            <w:r w:rsidRPr="00A31A75">
              <w:t>Using established methods to cut, flare, bend, swage and silver brazing copper tube</w:t>
            </w:r>
          </w:p>
        </w:tc>
      </w:tr>
      <w:tr w:rsidTr="006E3F7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31A75">
            <w:pPr>
              <w:pStyle w:val="BodyText"/>
              <w:rPr>
                <w:lang w:val="en-NZ"/>
              </w:rPr>
            </w:pPr>
            <w:r w:rsidRPr="00A31A75">
              <w:t>C</w:t>
            </w:r>
          </w:p>
        </w:tc>
        <w:tc>
          <w:tcPr>
            <w:tcW w:w="5040" w:type="dxa"/>
            <w:tcBorders>
              <w:top w:val="nil"/>
              <w:left w:val="nil"/>
              <w:bottom w:val="nil"/>
              <w:right w:val="nil"/>
            </w:tcBorders>
            <w:tcMar>
              <w:top w:w="0" w:type="dxa"/>
              <w:left w:w="62" w:type="dxa"/>
              <w:bottom w:w="0" w:type="dxa"/>
              <w:right w:w="62" w:type="dxa"/>
            </w:tcMar>
          </w:tcPr>
          <w:p w:rsidR="00000000" w:rsidP="00A31A75">
            <w:pPr>
              <w:pStyle w:val="BodyText"/>
              <w:rPr>
                <w:lang w:val="en-NZ"/>
              </w:rPr>
            </w:pPr>
            <w:r w:rsidRPr="00A31A75">
              <w:t xml:space="preserve">Attaching fittings correctly </w:t>
            </w:r>
          </w:p>
        </w:tc>
      </w:tr>
      <w:tr w:rsidTr="006E3F7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31A75">
            <w:pPr>
              <w:pStyle w:val="BodyText"/>
              <w:rPr>
                <w:lang w:val="en-NZ"/>
              </w:rPr>
            </w:pPr>
            <w:r w:rsidRPr="00A31A75">
              <w:t>D</w:t>
            </w:r>
          </w:p>
        </w:tc>
        <w:tc>
          <w:tcPr>
            <w:tcW w:w="5040" w:type="dxa"/>
            <w:tcBorders>
              <w:top w:val="nil"/>
              <w:left w:val="nil"/>
              <w:bottom w:val="nil"/>
              <w:right w:val="nil"/>
            </w:tcBorders>
            <w:tcMar>
              <w:top w:w="0" w:type="dxa"/>
              <w:left w:w="62" w:type="dxa"/>
              <w:bottom w:w="0" w:type="dxa"/>
              <w:right w:w="62" w:type="dxa"/>
            </w:tcMar>
          </w:tcPr>
          <w:p w:rsidR="00000000" w:rsidP="00A31A75">
            <w:pPr>
              <w:pStyle w:val="BodyText"/>
              <w:rPr>
                <w:lang w:val="en-NZ"/>
              </w:rPr>
            </w:pPr>
            <w:r w:rsidRPr="00A31A75">
              <w:t>Conducting component routine quality checks</w:t>
            </w:r>
          </w:p>
        </w:tc>
      </w:tr>
      <w:tr w:rsidTr="006E3F7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31A75">
            <w:pPr>
              <w:pStyle w:val="BodyText"/>
              <w:rPr>
                <w:lang w:val="en-NZ"/>
              </w:rPr>
            </w:pPr>
            <w:r w:rsidRPr="00A31A75">
              <w:t>E</w:t>
            </w:r>
          </w:p>
        </w:tc>
        <w:tc>
          <w:tcPr>
            <w:tcW w:w="5040" w:type="dxa"/>
            <w:tcBorders>
              <w:top w:val="nil"/>
              <w:left w:val="nil"/>
              <w:bottom w:val="nil"/>
              <w:right w:val="nil"/>
            </w:tcBorders>
            <w:tcMar>
              <w:top w:w="0" w:type="dxa"/>
              <w:left w:w="62" w:type="dxa"/>
              <w:bottom w:w="0" w:type="dxa"/>
              <w:right w:w="62" w:type="dxa"/>
            </w:tcMar>
          </w:tcPr>
          <w:p w:rsidR="00000000" w:rsidP="00A31A75">
            <w:pPr>
              <w:pStyle w:val="BodyText"/>
              <w:rPr>
                <w:lang w:val="en-NZ"/>
              </w:rPr>
            </w:pPr>
            <w:r w:rsidRPr="00A31A75">
              <w:t>Dealing with unplanned events by drawing on essential knowledge and skills to provide appropriate solutions incorporated in the holistic assessment with the above listed items</w:t>
            </w:r>
          </w:p>
        </w:tc>
      </w:tr>
      <w:tr w:rsidTr="006E3F7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A31A75" w:rsidP="00A31A75">
            <w:pPr>
              <w:pStyle w:val="BodyText"/>
            </w:pPr>
            <w:r w:rsidRPr="00A31A75">
              <w:t>Note:</w:t>
            </w:r>
          </w:p>
          <w:p w:rsidR="00000000" w:rsidP="00A31A75">
            <w:pPr>
              <w:pStyle w:val="BodyText"/>
              <w:rPr>
                <w:lang w:val="en-NZ"/>
              </w:rPr>
            </w:pPr>
            <w:r w:rsidRPr="00A31A75">
              <w:t>Successful completion of relevant vendor training may be used to contribute to evidence on which competency is deemed. In these cases the alignment of outcomes of vendor training with performance criteria and critical aspects of evidence shall be clearly i</w:t>
            </w:r>
            <w:r w:rsidRPr="00A31A75">
              <w:t>dentified.</w:t>
            </w:r>
          </w:p>
        </w:tc>
      </w:tr>
      <w:tr w:rsidTr="006E3F7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A31A75" w:rsidP="00A31A75">
            <w:pPr>
              <w:pStyle w:val="BodyText"/>
            </w:pPr>
            <w:r w:rsidRPr="00A31A75">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A31A75" w:rsidP="00A31A75">
            <w:pPr>
              <w:pStyle w:val="BodyText"/>
            </w:pPr>
            <w:r w:rsidRPr="00A31A75">
              <w:rPr>
                <w:rStyle w:val="SpecialBold"/>
              </w:rPr>
              <w:t>9</w:t>
            </w:r>
            <w:r w:rsidRPr="00A31A75">
              <w:t>.</w:t>
            </w:r>
            <w:r w:rsidRPr="00A31A75">
              <w:rPr>
                <w:rStyle w:val="SpecialBold"/>
              </w:rPr>
              <w:t>3</w:t>
            </w:r>
            <w:r w:rsidRPr="00A31A75">
              <w:t xml:space="preserve">) </w:t>
            </w:r>
          </w:p>
          <w:p w:rsidR="00000000" w:rsidRPr="00A31A75" w:rsidP="00A31A75">
            <w:pPr>
              <w:pStyle w:val="BodyText"/>
            </w:pPr>
            <w:r w:rsidRPr="00A31A75">
              <w:t>This unit should be assessed as it relates to normal work practice using procedures, information and resources typical of a workplace. This should include:</w:t>
            </w:r>
          </w:p>
          <w:p w:rsidR="00000000" w:rsidRPr="00A31A75" w:rsidP="00A31A75">
            <w:pPr>
              <w:pStyle w:val="ListBullet"/>
            </w:pPr>
            <w:r w:rsidRPr="00A31A75">
              <w:t>OHS policy and work procedures</w:t>
            </w:r>
            <w:r w:rsidRPr="00A31A75">
              <w:t xml:space="preserve"> and instructions.</w:t>
            </w:r>
          </w:p>
          <w:p w:rsidR="00000000" w:rsidRPr="00A31A75" w:rsidP="00A31A75">
            <w:pPr>
              <w:pStyle w:val="ListBullet"/>
            </w:pPr>
            <w:r w:rsidRPr="00A31A75">
              <w:t>Suitable work environment, facilities, equipment and materials to undertake actual work as prescribed by this unit.</w:t>
            </w:r>
          </w:p>
          <w:p w:rsidR="00000000" w:rsidRPr="00A31A75" w:rsidP="00A31A75">
            <w:pPr>
              <w:pStyle w:val="BodyText"/>
            </w:pPr>
            <w:r w:rsidRPr="00A31A75">
              <w:t>These should be part of the formal learning/assessment environment.</w:t>
            </w:r>
          </w:p>
          <w:p w:rsidR="00000000" w:rsidRPr="00A31A75" w:rsidP="00A31A75">
            <w:pPr>
              <w:pStyle w:val="BodyText"/>
            </w:pPr>
            <w:r w:rsidRPr="00A31A75">
              <w:t>Note:</w:t>
            </w:r>
          </w:p>
          <w:p w:rsidR="00000000" w:rsidP="00A31A75">
            <w:pPr>
              <w:pStyle w:val="BodyText"/>
              <w:rPr>
                <w:lang w:val="en-NZ"/>
              </w:rPr>
            </w:pPr>
            <w:r w:rsidRPr="00A31A75">
              <w:t>Where simulation is considered a suitable strat</w:t>
            </w:r>
            <w:r w:rsidRPr="00A31A75">
              <w:t>egy for assessment, conditions must be authentic and as far as possible reproduce and replicate the workplace and be consistent with the approved industry simulation policy.</w:t>
            </w:r>
          </w:p>
        </w:tc>
      </w:tr>
      <w:tr w:rsidTr="006E3F7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A31A75">
            <w:pPr>
              <w:pStyle w:val="BodyText"/>
              <w:rPr>
                <w:lang w:val="en-NZ"/>
              </w:rPr>
            </w:pPr>
            <w:r w:rsidRPr="00A31A75">
              <w:t>Evidence should show demonstrated competency in preparing refrigerant tubing and fittings.</w:t>
            </w:r>
          </w:p>
        </w:tc>
      </w:tr>
      <w:tr w:rsidTr="006E3F7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A31A75" w:rsidP="00A31A75">
            <w:pPr>
              <w:pStyle w:val="BodyText"/>
            </w:pPr>
            <w:r w:rsidRPr="00A31A75">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A31A75" w:rsidP="00A31A75">
            <w:pPr>
              <w:pStyle w:val="BodyText"/>
            </w:pPr>
            <w:r w:rsidRPr="00A31A75">
              <w:rPr>
                <w:rStyle w:val="SpecialBold"/>
              </w:rPr>
              <w:t>9</w:t>
            </w:r>
            <w:r w:rsidRPr="00A31A75">
              <w:t>.</w:t>
            </w:r>
            <w:r w:rsidRPr="00A31A75">
              <w:rPr>
                <w:rStyle w:val="SpecialBold"/>
              </w:rPr>
              <w:t>4</w:t>
            </w:r>
            <w:r w:rsidRPr="00A31A75">
              <w:t xml:space="preserve">) </w:t>
            </w:r>
          </w:p>
          <w:p w:rsidR="00000000" w:rsidRPr="00A31A75" w:rsidP="00A31A75">
            <w:pPr>
              <w:pStyle w:val="BodyText"/>
            </w:pPr>
            <w:r w:rsidRPr="00A31A75">
              <w:t>This unit shall be assessed by methods given in Volume 1, Part 3 'Assessment Guidelines'.</w:t>
            </w:r>
          </w:p>
          <w:p w:rsidR="00000000" w:rsidRPr="00A31A75" w:rsidP="00A31A75">
            <w:pPr>
              <w:pStyle w:val="BodyText"/>
            </w:pPr>
            <w:r w:rsidRPr="00A31A75">
              <w:t xml:space="preserve">Note: </w:t>
            </w:r>
          </w:p>
          <w:p w:rsidR="00000000" w:rsidP="00A31A75">
            <w:pPr>
              <w:pStyle w:val="BodyText"/>
              <w:rPr>
                <w:lang w:val="en-NZ"/>
              </w:rPr>
            </w:pPr>
            <w:r w:rsidRPr="00A31A75">
              <w:t>Competent performance with inherent sa</w:t>
            </w:r>
            <w:r w:rsidRPr="00A31A75">
              <w:t>fe working practices is expected in the Industry to which this unit applies. This requires assessment in a structured environment which is intended primarily for learning/assessment and incorporates all necessary equipment and facilities for learners to de</w:t>
            </w:r>
            <w:r w:rsidRPr="00A31A75">
              <w:t>velop and demonstrate the essential knowledge and skills described in this unit.</w:t>
            </w:r>
          </w:p>
        </w:tc>
      </w:tr>
      <w:tr w:rsidTr="006E3F7E">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A31A75" w:rsidP="00A31A75">
            <w:pPr>
              <w:pStyle w:val="BodyText"/>
            </w:pPr>
            <w:r w:rsidRPr="00A31A75">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A31A75">
            <w:pPr>
              <w:pStyle w:val="BodyText"/>
              <w:rPr>
                <w:lang w:val="en-NZ"/>
              </w:rPr>
            </w:pPr>
            <w:r w:rsidRPr="00A31A75">
              <w:rPr>
                <w:rStyle w:val="SpecialBold"/>
              </w:rPr>
              <w:t>9</w:t>
            </w:r>
            <w:r w:rsidRPr="00A31A75">
              <w:t>.</w:t>
            </w:r>
            <w:r w:rsidRPr="00A31A75">
              <w:rPr>
                <w:rStyle w:val="SpecialBold"/>
              </w:rPr>
              <w:t>5</w:t>
            </w:r>
            <w:r w:rsidRPr="00A31A75">
              <w:t>)</w:t>
            </w:r>
          </w:p>
        </w:tc>
      </w:tr>
      <w:tr w:rsidTr="006E3F7E">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A31A75" w:rsidP="00A31A75">
            <w:pPr>
              <w:pStyle w:val="BodyText"/>
            </w:pPr>
            <w:r w:rsidRPr="00A31A75">
              <w:t>There are no concurrent assessment recommendations for this unit.</w:t>
            </w:r>
          </w:p>
        </w:tc>
      </w:tr>
    </w:tbl>
    <w:p w:rsidR="006E3F7E" w:rsidP="00A31A75">
      <w:pPr>
        <w:pStyle w:val="BodyText"/>
      </w:pPr>
    </w:p>
    <w:p w:rsidR="006E3F7E" w:rsidP="00A31A75">
      <w:pPr>
        <w:pStyle w:val="BodyText"/>
      </w:pPr>
    </w:p>
    <w:p w:rsidR="00000000" w:rsidRPr="00A31A75" w:rsidP="00A31A75">
      <w:pPr>
        <w:pStyle w:val="Heading1"/>
      </w:pPr>
      <w:bookmarkStart w:id="11" w:name="O_255493"/>
      <w:bookmarkEnd w:id="11"/>
      <w:r w:rsidRPr="00A31A75">
        <w:t>Range Statement</w:t>
      </w:r>
    </w:p>
    <w:tbl>
      <w:tblPr>
        <w:tblW w:w="0" w:type="auto"/>
        <w:tblLayout w:type="fixed"/>
        <w:tblCellMar>
          <w:left w:w="62" w:type="dxa"/>
          <w:right w:w="62" w:type="dxa"/>
        </w:tblCellMar>
        <w:tblLook w:val="0000"/>
      </w:tblPr>
      <w:tblGrid>
        <w:gridCol w:w="8460"/>
      </w:tblGrid>
      <w:tr w:rsidTr="006E3F7E">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A31A75">
            <w:pPr>
              <w:pStyle w:val="BodyText"/>
              <w:rPr>
                <w:lang w:val="en-NZ"/>
              </w:rPr>
            </w:pPr>
            <w:r w:rsidRPr="00A31A75">
              <w:rPr>
                <w:rStyle w:val="SpecialBold"/>
              </w:rPr>
              <w:t>RANGE STATEMENT</w:t>
            </w:r>
          </w:p>
        </w:tc>
      </w:tr>
      <w:tr w:rsidTr="006E3F7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A31A75">
            <w:pPr>
              <w:pStyle w:val="BodyText"/>
              <w:rPr>
                <w:lang w:val="en-NZ"/>
              </w:rPr>
            </w:pPr>
            <w:r w:rsidRPr="00A31A75">
              <w:rPr>
                <w:rStyle w:val="SpecialBold"/>
              </w:rPr>
              <w:t>8</w:t>
            </w:r>
            <w:r w:rsidRPr="00A31A75">
              <w:t>) This relates to the unit as a whole providing the range of contexts and conditions to which the performance criteria apply. It allows for different work environments and situations that will affect performance.</w:t>
            </w:r>
          </w:p>
        </w:tc>
      </w:tr>
      <w:tr w:rsidTr="006E3F7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A31A75" w:rsidP="00A31A75">
            <w:pPr>
              <w:pStyle w:val="BodyText"/>
            </w:pPr>
            <w:r w:rsidRPr="00A31A75">
              <w:t>This unit must be demonstrated in relation to preparing refrigerant tubing and fittings for at least two basic different refrigeration/air conditioning equipment layouts, which require cutting, flaring, bending, swaging, silver brazing copper tube to coppe</w:t>
            </w:r>
            <w:r w:rsidRPr="00A31A75">
              <w:t>r tube, bundy tube, brass and steel fittings.</w:t>
            </w:r>
          </w:p>
          <w:p w:rsidR="00000000" w:rsidRPr="00A31A75" w:rsidP="00A31A75">
            <w:pPr>
              <w:pStyle w:val="BodyText"/>
            </w:pPr>
            <w:r w:rsidRPr="00A31A75">
              <w:t xml:space="preserve">Note: </w:t>
            </w:r>
          </w:p>
          <w:p w:rsidR="00000000" w:rsidP="00A31A75">
            <w:pPr>
              <w:pStyle w:val="BodyText"/>
              <w:rPr>
                <w:lang w:val="en-NZ"/>
              </w:rPr>
            </w:pPr>
            <w:r w:rsidRPr="00A31A75">
              <w:t>This includes piping/tubing and fittings for high pressure refrigerants.</w:t>
            </w:r>
          </w:p>
        </w:tc>
      </w:tr>
      <w:tr w:rsidTr="006E3F7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A31A75" w:rsidP="00A31A75">
            <w:pPr>
              <w:pStyle w:val="BodyText"/>
            </w:pPr>
            <w:r w:rsidRPr="00A31A75">
              <w:t>Generic terms used throughout this Vocational Standard shall be regarded as part of the Range Statement in which competency is de</w:t>
            </w:r>
            <w:r w:rsidRPr="00A31A75">
              <w:t>monstrated. The definition of these and other terms that apply are given in Volume 2, Part 2.1.</w:t>
            </w:r>
          </w:p>
        </w:tc>
      </w:tr>
    </w:tbl>
    <w:p w:rsidR="006E3F7E" w:rsidP="00A31A75">
      <w:pPr>
        <w:pStyle w:val="BodyText"/>
      </w:pPr>
    </w:p>
    <w:p w:rsidR="006E3F7E" w:rsidP="00A31A75">
      <w:pPr>
        <w:pStyle w:val="BodyText"/>
      </w:pPr>
    </w:p>
    <w:p w:rsidR="00000000" w:rsidRPr="00A31A75" w:rsidP="00A31A75">
      <w:pPr>
        <w:pStyle w:val="Heading1"/>
      </w:pPr>
      <w:bookmarkStart w:id="12" w:name="O_296506"/>
      <w:bookmarkEnd w:id="12"/>
      <w:r w:rsidRPr="00A31A75">
        <w:t>Unit Sector(s)</w:t>
      </w:r>
    </w:p>
    <w:p w:rsidR="00000000" w:rsidRPr="00A31A75" w:rsidP="00A31A75">
      <w:pPr>
        <w:pStyle w:val="BodyText"/>
      </w:pPr>
      <w:r w:rsidRPr="00A31A75">
        <w:t>Not Applicable</w:t>
      </w:r>
    </w:p>
    <w:p w:rsidR="00000000" w:rsidRPr="00A31A75" w:rsidP="00A31A75">
      <w:pPr>
        <w:pStyle w:val="AllowPageBreak"/>
      </w:pPr>
    </w:p>
    <w:p w:rsidR="00000000" w:rsidRPr="00A31A75" w:rsidP="00A31A75">
      <w:pPr>
        <w:pStyle w:val="Heading1"/>
      </w:pPr>
      <w:bookmarkStart w:id="13" w:name="O_227442"/>
      <w:bookmarkEnd w:id="13"/>
      <w:r w:rsidRPr="00A31A75">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6E3F7E">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A31A75" w:rsidP="00A31A75">
            <w:pPr>
              <w:pStyle w:val="BodyText"/>
            </w:pPr>
            <w:r w:rsidRPr="00A31A75">
              <w:rPr>
                <w:rStyle w:val="SpecialBold"/>
              </w:rPr>
              <w:t>2</w:t>
            </w:r>
            <w:r w:rsidRPr="00A31A75">
              <w:t>.</w:t>
            </w:r>
            <w:r w:rsidRPr="00A31A75">
              <w:rPr>
                <w:rStyle w:val="SpecialBold"/>
              </w:rPr>
              <w:t>2</w:t>
            </w:r>
            <w:r w:rsidRPr="00A31A75">
              <w:t xml:space="preserve">) </w:t>
            </w:r>
            <w:r w:rsidRPr="00A31A75">
              <w:rPr>
                <w:rStyle w:val="SpecialBold"/>
              </w:rPr>
              <w:t>Literacy and numeracy skills</w:t>
            </w:r>
          </w:p>
          <w:p w:rsidR="00000000" w:rsidP="00A31A75">
            <w:pPr>
              <w:pStyle w:val="BodyText"/>
              <w:rPr>
                <w:lang w:val="en-NZ"/>
              </w:rPr>
            </w:pPr>
            <w:r w:rsidRPr="00A31A75">
              <w:t>Participan</w:t>
            </w:r>
            <w:r w:rsidRPr="00A31A75">
              <w:t>ts are best equipped to achieve competency in this unit if they have reading, writing and numeracy skills indicated by the following scales. Description of each scale is given in Volume 2, Part 3 'Literacy and Numeracy'</w:t>
            </w:r>
          </w:p>
        </w:tc>
      </w:tr>
      <w:tr w:rsidTr="006E3F7E">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A31A75">
            <w:pPr>
              <w:pStyle w:val="BodyText"/>
              <w:rPr>
                <w:lang w:val="en-NZ"/>
              </w:rPr>
            </w:pPr>
            <w:r w:rsidRPr="00A31A75">
              <w:t>Reading</w:t>
            </w:r>
          </w:p>
        </w:tc>
        <w:tc>
          <w:tcPr>
            <w:tcW w:w="1182" w:type="dxa"/>
            <w:tcBorders>
              <w:top w:val="nil"/>
              <w:left w:val="nil"/>
              <w:bottom w:val="nil"/>
              <w:right w:val="nil"/>
            </w:tcBorders>
            <w:tcMar>
              <w:top w:w="0" w:type="dxa"/>
              <w:left w:w="62" w:type="dxa"/>
              <w:bottom w:w="0" w:type="dxa"/>
              <w:right w:w="62" w:type="dxa"/>
            </w:tcMar>
          </w:tcPr>
          <w:p w:rsidR="00000000" w:rsidP="00A31A75">
            <w:pPr>
              <w:pStyle w:val="BodyText"/>
              <w:rPr>
                <w:lang w:val="en-NZ"/>
              </w:rPr>
            </w:pPr>
            <w:r w:rsidRPr="00A31A75">
              <w:t>3</w:t>
            </w:r>
          </w:p>
        </w:tc>
        <w:tc>
          <w:tcPr>
            <w:tcW w:w="1739" w:type="dxa"/>
            <w:tcBorders>
              <w:top w:val="nil"/>
              <w:left w:val="nil"/>
              <w:bottom w:val="nil"/>
              <w:right w:val="nil"/>
            </w:tcBorders>
            <w:tcMar>
              <w:top w:w="0" w:type="dxa"/>
              <w:left w:w="62" w:type="dxa"/>
              <w:bottom w:w="0" w:type="dxa"/>
              <w:right w:w="62" w:type="dxa"/>
            </w:tcMar>
          </w:tcPr>
          <w:p w:rsidR="00000000" w:rsidP="00A31A75">
            <w:pPr>
              <w:pStyle w:val="BodyText"/>
              <w:rPr>
                <w:lang w:val="en-NZ"/>
              </w:rPr>
            </w:pPr>
            <w:r w:rsidRPr="00A31A75">
              <w:t>Writing</w:t>
            </w:r>
          </w:p>
        </w:tc>
        <w:tc>
          <w:tcPr>
            <w:tcW w:w="1182" w:type="dxa"/>
            <w:tcBorders>
              <w:top w:val="nil"/>
              <w:left w:val="nil"/>
              <w:bottom w:val="nil"/>
              <w:right w:val="nil"/>
            </w:tcBorders>
            <w:tcMar>
              <w:top w:w="0" w:type="dxa"/>
              <w:left w:w="62" w:type="dxa"/>
              <w:bottom w:w="0" w:type="dxa"/>
              <w:right w:w="62" w:type="dxa"/>
            </w:tcMar>
          </w:tcPr>
          <w:p w:rsidR="00000000" w:rsidP="00A31A75">
            <w:pPr>
              <w:pStyle w:val="BodyText"/>
              <w:rPr>
                <w:lang w:val="en-NZ"/>
              </w:rPr>
            </w:pPr>
            <w:r w:rsidRPr="00A31A75">
              <w:t>3</w:t>
            </w:r>
          </w:p>
        </w:tc>
        <w:tc>
          <w:tcPr>
            <w:tcW w:w="1721" w:type="dxa"/>
            <w:tcBorders>
              <w:top w:val="nil"/>
              <w:left w:val="nil"/>
              <w:bottom w:val="nil"/>
              <w:right w:val="nil"/>
            </w:tcBorders>
            <w:tcMar>
              <w:top w:w="0" w:type="dxa"/>
              <w:left w:w="62" w:type="dxa"/>
              <w:bottom w:w="0" w:type="dxa"/>
              <w:right w:w="62" w:type="dxa"/>
            </w:tcMar>
          </w:tcPr>
          <w:p w:rsidR="00000000" w:rsidP="00A31A75">
            <w:pPr>
              <w:pStyle w:val="BodyText"/>
              <w:rPr>
                <w:lang w:val="en-NZ"/>
              </w:rPr>
            </w:pPr>
            <w:r w:rsidRPr="00A31A75">
              <w:t>Numeracy</w:t>
            </w:r>
          </w:p>
        </w:tc>
        <w:tc>
          <w:tcPr>
            <w:tcW w:w="1182" w:type="dxa"/>
            <w:tcBorders>
              <w:top w:val="nil"/>
              <w:left w:val="nil"/>
              <w:bottom w:val="nil"/>
              <w:right w:val="nil"/>
            </w:tcBorders>
            <w:tcMar>
              <w:top w:w="0" w:type="dxa"/>
              <w:left w:w="62" w:type="dxa"/>
              <w:bottom w:w="0" w:type="dxa"/>
              <w:right w:w="62" w:type="dxa"/>
            </w:tcMar>
          </w:tcPr>
          <w:p w:rsidR="00000000" w:rsidRPr="00A31A75" w:rsidP="00A31A75">
            <w:pPr>
              <w:pStyle w:val="BodyText"/>
            </w:pPr>
            <w:r w:rsidRPr="00A31A75">
              <w:t>3</w:t>
            </w:r>
          </w:p>
        </w:tc>
      </w:tr>
    </w:tbl>
    <w:p w:rsidR="006E3F7E" w:rsidP="00A31A75">
      <w:pPr>
        <w:pStyle w:val="BodyText"/>
      </w:pPr>
    </w:p>
    <w:p w:rsidR="006E3F7E" w:rsidP="00A31A75">
      <w:pPr>
        <w:pStyle w:val="BodyText"/>
      </w:pPr>
    </w:p>
    <w:p w:rsidR="00000000" w:rsidRPr="00A31A75" w:rsidP="00A31A75">
      <w:pPr>
        <w:pStyle w:val="Heading1"/>
      </w:pPr>
      <w:bookmarkStart w:id="14" w:name="O_227445"/>
      <w:bookmarkEnd w:id="14"/>
      <w:r w:rsidRPr="00A31A75">
        <w:t>2.2) Literacy and numeracy skills</w:t>
      </w:r>
    </w:p>
    <w:tbl>
      <w:tblPr>
        <w:tblW w:w="0" w:type="auto"/>
        <w:tblLayout w:type="fixed"/>
        <w:tblCellMar>
          <w:left w:w="62" w:type="dxa"/>
          <w:right w:w="62" w:type="dxa"/>
        </w:tblCellMar>
        <w:tblLook w:val="0000"/>
      </w:tblPr>
      <w:tblGrid>
        <w:gridCol w:w="2700"/>
        <w:gridCol w:w="5760"/>
      </w:tblGrid>
      <w:tr w:rsidTr="006E3F7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31A75" w:rsidP="00A31A75">
            <w:pPr>
              <w:pStyle w:val="BodyText"/>
            </w:pPr>
            <w:r w:rsidRPr="00A31A75">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A31A75">
            <w:pPr>
              <w:pStyle w:val="BodyText"/>
              <w:rPr>
                <w:lang w:val="en-NZ"/>
              </w:rPr>
            </w:pPr>
            <w:r w:rsidRPr="00A31A75">
              <w:rPr>
                <w:rStyle w:val="SpecialBold"/>
              </w:rPr>
              <w:t>5</w:t>
            </w:r>
            <w:r w:rsidRPr="00A31A75">
              <w:t>)</w:t>
            </w:r>
          </w:p>
        </w:tc>
      </w:tr>
      <w:tr w:rsidTr="006E3F7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31A75" w:rsidP="00A31A75">
            <w:pPr>
              <w:pStyle w:val="BodyText"/>
            </w:pPr>
            <w:r w:rsidRPr="00A31A75">
              <w:t>Refrigeration and Air Conditioning</w:t>
            </w:r>
          </w:p>
        </w:tc>
      </w:tr>
    </w:tbl>
    <w:p w:rsidR="006E3F7E" w:rsidP="00A31A75">
      <w:pPr>
        <w:pStyle w:val="BodyText"/>
      </w:pPr>
    </w:p>
    <w:p w:rsidR="006E3F7E" w:rsidP="00A31A75">
      <w:pPr>
        <w:pStyle w:val="BodyText"/>
      </w:pPr>
    </w:p>
    <w:p w:rsidR="00000000" w:rsidRPr="00A31A75" w:rsidP="00A31A75"/>
    <w:sectPr w:rsidSect="00A31A7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A7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E3F7E" w:rsidP="006E3F7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A7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F7E" w:rsidP="00A31A7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6E3F7E" w:rsidP="00A31A7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6E3F7E" w:rsidP="00A31A7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A7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E3F7E" w:rsidP="006E3F7E">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A7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F7E" w:rsidP="00A31A75">
    <w:pPr>
      <w:pStyle w:val="Header"/>
      <w:framePr w:wrap="around"/>
    </w:pPr>
    <w:r>
      <w:fldChar w:fldCharType="begin"/>
    </w:r>
    <w:r>
      <w:instrText xml:space="preserve"> TITLE   \* MERGEFORMAT </w:instrText>
    </w:r>
    <w:r>
      <w:fldChar w:fldCharType="separate"/>
    </w:r>
    <w:r>
      <w:t>UEENEEJ002B Prepare refrigerant tubing and fittings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E3F7E" w:rsidP="00A31A7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EB4D0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E26BBD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1D829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1A7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31A75"/>
    <w:pPr>
      <w:spacing w:before="360" w:after="60"/>
      <w:outlineLvl w:val="0"/>
    </w:pPr>
    <w:rPr>
      <w:sz w:val="32"/>
    </w:rPr>
  </w:style>
  <w:style w:type="paragraph" w:styleId="Heading2">
    <w:name w:val="heading 2"/>
    <w:basedOn w:val="HeadingBase"/>
    <w:next w:val="BodyText"/>
    <w:link w:val="Heading2Char"/>
    <w:qFormat/>
    <w:rsid w:val="00A31A75"/>
    <w:pPr>
      <w:keepLines/>
      <w:spacing w:before="240" w:after="120"/>
      <w:outlineLvl w:val="1"/>
    </w:pPr>
    <w:rPr>
      <w:sz w:val="28"/>
      <w:szCs w:val="40"/>
    </w:rPr>
  </w:style>
  <w:style w:type="paragraph" w:styleId="Heading3">
    <w:name w:val="heading 3"/>
    <w:basedOn w:val="HeadingBase"/>
    <w:next w:val="BodyText"/>
    <w:link w:val="Heading3Char"/>
    <w:qFormat/>
    <w:rsid w:val="00A31A75"/>
    <w:pPr>
      <w:spacing w:before="180" w:after="120"/>
      <w:outlineLvl w:val="2"/>
    </w:pPr>
    <w:rPr>
      <w:spacing w:val="-10"/>
      <w:kern w:val="32"/>
    </w:rPr>
  </w:style>
  <w:style w:type="paragraph" w:styleId="Heading4">
    <w:name w:val="heading 4"/>
    <w:basedOn w:val="HeadingBase"/>
    <w:next w:val="BodyText"/>
    <w:link w:val="Heading4Char"/>
    <w:qFormat/>
    <w:rsid w:val="00A31A75"/>
    <w:pPr>
      <w:spacing w:before="160" w:after="120"/>
      <w:outlineLvl w:val="3"/>
    </w:pPr>
    <w:rPr>
      <w:sz w:val="22"/>
    </w:rPr>
  </w:style>
  <w:style w:type="paragraph" w:styleId="Heading5">
    <w:name w:val="heading 5"/>
    <w:basedOn w:val="HeadingBase"/>
    <w:next w:val="Normal"/>
    <w:link w:val="Heading5Char"/>
    <w:qFormat/>
    <w:rsid w:val="00A31A75"/>
    <w:pPr>
      <w:spacing w:before="80"/>
      <w:outlineLvl w:val="4"/>
    </w:pPr>
    <w:rPr>
      <w:color w:val="918585"/>
      <w:sz w:val="20"/>
    </w:rPr>
  </w:style>
  <w:style w:type="paragraph" w:styleId="Heading6">
    <w:name w:val="heading 6"/>
    <w:basedOn w:val="HeadingBase"/>
    <w:next w:val="Normal"/>
    <w:link w:val="Heading6Char"/>
    <w:qFormat/>
    <w:rsid w:val="00A31A75"/>
    <w:pPr>
      <w:spacing w:before="60"/>
      <w:outlineLvl w:val="5"/>
    </w:pPr>
    <w:rPr>
      <w:color w:val="918585"/>
      <w:sz w:val="20"/>
    </w:rPr>
  </w:style>
  <w:style w:type="paragraph" w:styleId="Heading7">
    <w:name w:val="heading 7"/>
    <w:basedOn w:val="Normal"/>
    <w:next w:val="Normal"/>
    <w:link w:val="Heading7Char"/>
    <w:qFormat/>
    <w:rsid w:val="00A31A75"/>
    <w:pPr>
      <w:ind w:left="720"/>
      <w:outlineLvl w:val="6"/>
    </w:pPr>
    <w:rPr>
      <w:i/>
    </w:rPr>
  </w:style>
  <w:style w:type="paragraph" w:styleId="Heading8">
    <w:name w:val="heading 8"/>
    <w:basedOn w:val="Normal"/>
    <w:next w:val="Normal"/>
    <w:link w:val="Heading8Char"/>
    <w:qFormat/>
    <w:rsid w:val="00A31A75"/>
    <w:pPr>
      <w:ind w:left="720"/>
      <w:outlineLvl w:val="7"/>
    </w:pPr>
    <w:rPr>
      <w:i/>
    </w:rPr>
  </w:style>
  <w:style w:type="paragraph" w:styleId="Heading9">
    <w:name w:val="heading 9"/>
    <w:basedOn w:val="Normal"/>
    <w:next w:val="Normal"/>
    <w:link w:val="Heading9Char"/>
    <w:qFormat/>
    <w:rsid w:val="00A31A75"/>
    <w:pPr>
      <w:ind w:left="720"/>
      <w:outlineLvl w:val="8"/>
    </w:pPr>
    <w:rPr>
      <w:i/>
    </w:rPr>
  </w:style>
  <w:style w:type="character" w:default="1" w:styleId="DefaultParagraphFont">
    <w:name w:val="Default Paragraph Font"/>
    <w:uiPriority w:val="1"/>
    <w:unhideWhenUsed/>
    <w:rsid w:val="00A31A7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31A75"/>
  </w:style>
  <w:style w:type="character" w:customStyle="1" w:styleId="Heading1Char">
    <w:name w:val="Heading 1 Char"/>
    <w:link w:val="Heading1"/>
    <w:rsid w:val="00A31A75"/>
    <w:rPr>
      <w:rFonts w:ascii="Times New Roman" w:eastAsia="Times New Roman" w:hAnsi="Times New Roman" w:cs="Times New Roman"/>
      <w:b/>
      <w:sz w:val="32"/>
      <w:szCs w:val="20"/>
      <w:lang w:eastAsia="en-US"/>
    </w:rPr>
  </w:style>
  <w:style w:type="paragraph" w:styleId="BodyText">
    <w:name w:val="Body Text"/>
    <w:basedOn w:val="Normal"/>
    <w:link w:val="BodyTextChar"/>
    <w:rsid w:val="00A31A75"/>
    <w:pPr>
      <w:spacing w:before="120" w:after="120"/>
      <w:contextualSpacing/>
    </w:pPr>
    <w:rPr>
      <w:rFonts w:ascii="Times New Roman" w:hAnsi="Times New Roman"/>
      <w:sz w:val="24"/>
      <w:szCs w:val="22"/>
    </w:rPr>
  </w:style>
  <w:style w:type="character" w:customStyle="1" w:styleId="BodyTextChar">
    <w:name w:val="Body Text Char"/>
    <w:link w:val="BodyText"/>
    <w:rsid w:val="00A31A75"/>
    <w:rPr>
      <w:rFonts w:ascii="Times New Roman" w:eastAsia="Times New Roman" w:hAnsi="Times New Roman" w:cs="Times New Roman"/>
      <w:sz w:val="24"/>
      <w:lang w:val="en-US" w:eastAsia="en-US"/>
    </w:rPr>
  </w:style>
  <w:style w:type="paragraph" w:styleId="Footer">
    <w:name w:val="footer"/>
    <w:basedOn w:val="Normal"/>
    <w:link w:val="FooterChar"/>
    <w:rsid w:val="00A31A7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A31A75"/>
    <w:rPr>
      <w:rFonts w:ascii="Times New Roman" w:eastAsia="Times New Roman" w:hAnsi="Times New Roman" w:cs="Times New Roman"/>
      <w:sz w:val="16"/>
      <w:lang w:val="en-US" w:eastAsia="en-US"/>
    </w:rPr>
  </w:style>
  <w:style w:type="paragraph" w:styleId="ListBullet">
    <w:name w:val="List Bullet"/>
    <w:basedOn w:val="List"/>
    <w:rsid w:val="00A31A75"/>
    <w:pPr>
      <w:numPr>
        <w:numId w:val="13"/>
      </w:numPr>
      <w:tabs>
        <w:tab w:val="clear" w:pos="340"/>
      </w:tabs>
      <w:spacing w:before="40" w:after="40"/>
    </w:pPr>
  </w:style>
  <w:style w:type="character" w:customStyle="1" w:styleId="SpecialBold">
    <w:name w:val="Special Bold"/>
    <w:rsid w:val="00A31A75"/>
    <w:rPr>
      <w:b/>
      <w:spacing w:val="0"/>
    </w:rPr>
  </w:style>
  <w:style w:type="paragraph" w:styleId="ListBullet2">
    <w:name w:val="List Bullet 2"/>
    <w:basedOn w:val="List2"/>
    <w:rsid w:val="00A31A75"/>
    <w:pPr>
      <w:numPr>
        <w:numId w:val="14"/>
      </w:numPr>
      <w:tabs>
        <w:tab w:val="clear" w:pos="680"/>
      </w:tabs>
    </w:pPr>
  </w:style>
  <w:style w:type="paragraph" w:styleId="Header">
    <w:name w:val="header"/>
    <w:basedOn w:val="Normal"/>
    <w:link w:val="HeaderChar"/>
    <w:rsid w:val="00A31A7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A31A7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31A75"/>
    <w:pPr>
      <w:spacing w:before="240" w:after="120"/>
      <w:outlineLvl w:val="0"/>
    </w:pPr>
    <w:rPr>
      <w:rFonts w:ascii="Times New Roman" w:hAnsi="Times New Roman"/>
      <w:b/>
      <w:sz w:val="28"/>
    </w:rPr>
  </w:style>
  <w:style w:type="paragraph" w:customStyle="1" w:styleId="AllowPageBreak">
    <w:name w:val="AllowPageBreak"/>
    <w:rsid w:val="00A31A7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A31A75"/>
    <w:rPr>
      <w:rFonts w:ascii="Times New Roman" w:eastAsia="Times New Roman" w:hAnsi="Times New Roman" w:cs="Times New Roman"/>
      <w:b/>
      <w:sz w:val="28"/>
      <w:szCs w:val="40"/>
      <w:lang w:eastAsia="en-US"/>
    </w:rPr>
  </w:style>
  <w:style w:type="character" w:customStyle="1" w:styleId="Heading3Char">
    <w:name w:val="Heading 3 Char"/>
    <w:link w:val="Heading3"/>
    <w:rsid w:val="00A31A75"/>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A31A75"/>
    <w:rPr>
      <w:rFonts w:ascii="Times New Roman" w:eastAsia="Times New Roman" w:hAnsi="Times New Roman" w:cs="Times New Roman"/>
      <w:b/>
      <w:szCs w:val="20"/>
      <w:lang w:eastAsia="en-US"/>
    </w:rPr>
  </w:style>
  <w:style w:type="character" w:customStyle="1" w:styleId="Heading5Char">
    <w:name w:val="Heading 5 Char"/>
    <w:link w:val="Heading5"/>
    <w:rsid w:val="00A31A75"/>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A31A7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31A7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31A7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31A75"/>
    <w:rPr>
      <w:rFonts w:ascii="Courier New" w:eastAsia="Times New Roman" w:hAnsi="Courier New" w:cs="Times New Roman"/>
      <w:i/>
      <w:szCs w:val="20"/>
      <w:lang w:val="en-US" w:eastAsia="en-US"/>
    </w:rPr>
  </w:style>
  <w:style w:type="paragraph" w:customStyle="1" w:styleId="HeadingBase">
    <w:name w:val="Heading Base"/>
    <w:rsid w:val="00A31A7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31A75"/>
    <w:pPr>
      <w:tabs>
        <w:tab w:val="right" w:leader="dot" w:pos="9072"/>
      </w:tabs>
      <w:ind w:left="567"/>
    </w:pPr>
    <w:rPr>
      <w:szCs w:val="22"/>
    </w:rPr>
  </w:style>
  <w:style w:type="paragraph" w:customStyle="1" w:styleId="TOCBase">
    <w:name w:val="TOC Base"/>
    <w:rsid w:val="00A31A7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31A75"/>
    <w:pPr>
      <w:tabs>
        <w:tab w:val="right" w:leader="dot" w:pos="9072"/>
      </w:tabs>
      <w:spacing w:before="40" w:after="40"/>
      <w:ind w:left="284"/>
    </w:pPr>
    <w:rPr>
      <w:rFonts w:ascii="Times New Roman" w:hAnsi="Times New Roman"/>
    </w:rPr>
  </w:style>
  <w:style w:type="paragraph" w:styleId="TOC1">
    <w:name w:val="toc 1"/>
    <w:basedOn w:val="TOCBase"/>
    <w:next w:val="Normal"/>
    <w:rsid w:val="00A31A7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31A75"/>
    <w:pPr>
      <w:spacing w:before="5040"/>
      <w:jc w:val="center"/>
    </w:pPr>
    <w:rPr>
      <w:sz w:val="48"/>
      <w:szCs w:val="72"/>
      <w:lang w:val="en-US"/>
    </w:rPr>
  </w:style>
  <w:style w:type="character" w:customStyle="1" w:styleId="TitleChar">
    <w:name w:val="Title Char"/>
    <w:link w:val="Title"/>
    <w:rsid w:val="00A31A7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31A75"/>
    <w:pPr>
      <w:tabs>
        <w:tab w:val="left" w:pos="3600"/>
        <w:tab w:val="left" w:pos="3958"/>
      </w:tabs>
    </w:pPr>
  </w:style>
  <w:style w:type="paragraph" w:styleId="List">
    <w:name w:val="List"/>
    <w:basedOn w:val="BodyText"/>
    <w:next w:val="BodyText"/>
    <w:rsid w:val="00A31A75"/>
    <w:pPr>
      <w:tabs>
        <w:tab w:val="left" w:pos="340"/>
      </w:tabs>
      <w:spacing w:before="60" w:after="60"/>
      <w:ind w:left="340" w:hanging="340"/>
    </w:pPr>
  </w:style>
  <w:style w:type="paragraph" w:customStyle="1" w:styleId="Note">
    <w:name w:val="Note"/>
    <w:basedOn w:val="BodyText"/>
    <w:rsid w:val="00A31A7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31A75"/>
    <w:pPr>
      <w:framePr w:wrap="auto" w:hAnchor="text" w:y="6049"/>
    </w:pPr>
    <w:rPr>
      <w:color w:val="000000"/>
      <w:sz w:val="40"/>
    </w:rPr>
  </w:style>
  <w:style w:type="paragraph" w:customStyle="1" w:styleId="TOCTitle">
    <w:name w:val="TOCTitle"/>
    <w:basedOn w:val="Heading1"/>
    <w:rsid w:val="00A31A75"/>
    <w:pPr>
      <w:spacing w:after="240"/>
      <w:jc w:val="center"/>
      <w:outlineLvl w:val="9"/>
    </w:pPr>
    <w:rPr>
      <w:caps/>
    </w:rPr>
  </w:style>
  <w:style w:type="paragraph" w:customStyle="1" w:styleId="Version">
    <w:name w:val="Version"/>
    <w:rsid w:val="00A31A7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31A75"/>
    <w:pPr>
      <w:keepNext w:val="0"/>
      <w:tabs>
        <w:tab w:val="right" w:pos="4176"/>
      </w:tabs>
      <w:ind w:left="198" w:hanging="198"/>
    </w:pPr>
    <w:rPr>
      <w:rFonts w:ascii="Garamond" w:hAnsi="Garamond"/>
    </w:rPr>
  </w:style>
  <w:style w:type="paragraph" w:styleId="IndexHeading">
    <w:name w:val="index heading"/>
    <w:basedOn w:val="Normal"/>
    <w:next w:val="Index1"/>
    <w:semiHidden/>
    <w:rsid w:val="00A31A75"/>
    <w:pPr>
      <w:spacing w:before="120" w:after="120"/>
    </w:pPr>
    <w:rPr>
      <w:rFonts w:ascii="Arial" w:hAnsi="Arial"/>
      <w:b/>
      <w:color w:val="918585"/>
      <w:sz w:val="24"/>
    </w:rPr>
  </w:style>
  <w:style w:type="paragraph" w:customStyle="1" w:styleId="Chapter">
    <w:name w:val="Chapter"/>
    <w:basedOn w:val="Normal"/>
    <w:rsid w:val="00A31A75"/>
    <w:pPr>
      <w:spacing w:before="240"/>
    </w:pPr>
    <w:rPr>
      <w:rFonts w:ascii="Times New Roman" w:hAnsi="Times New Roman"/>
      <w:smallCaps/>
      <w:spacing w:val="80"/>
      <w:sz w:val="28"/>
    </w:rPr>
  </w:style>
  <w:style w:type="paragraph" w:customStyle="1" w:styleId="InChapter">
    <w:name w:val="InChapter"/>
    <w:basedOn w:val="Heading3"/>
    <w:rsid w:val="00A31A75"/>
    <w:pPr>
      <w:spacing w:after="240"/>
      <w:outlineLvl w:val="9"/>
    </w:pPr>
    <w:rPr>
      <w:noProof/>
    </w:rPr>
  </w:style>
  <w:style w:type="paragraph" w:styleId="Index2">
    <w:name w:val="index 2"/>
    <w:basedOn w:val="Normal"/>
    <w:next w:val="Normal"/>
    <w:semiHidden/>
    <w:rsid w:val="00A31A75"/>
    <w:pPr>
      <w:tabs>
        <w:tab w:val="right" w:pos="4176"/>
      </w:tabs>
      <w:ind w:left="568" w:hanging="284"/>
    </w:pPr>
    <w:rPr>
      <w:rFonts w:ascii="Garamond" w:hAnsi="Garamond"/>
    </w:rPr>
  </w:style>
  <w:style w:type="paragraph" w:customStyle="1" w:styleId="Byline">
    <w:name w:val="Byline"/>
    <w:rsid w:val="00A31A7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31A75"/>
    <w:pPr>
      <w:tabs>
        <w:tab w:val="clear" w:pos="3600"/>
        <w:tab w:val="clear" w:pos="3958"/>
      </w:tabs>
      <w:jc w:val="right"/>
    </w:pPr>
  </w:style>
  <w:style w:type="character" w:styleId="Emphasis">
    <w:name w:val="Emphasis"/>
    <w:qFormat/>
    <w:rsid w:val="00A31A75"/>
    <w:rPr>
      <w:i/>
    </w:rPr>
  </w:style>
  <w:style w:type="paragraph" w:styleId="Caption">
    <w:name w:val="caption"/>
    <w:basedOn w:val="BodyText"/>
    <w:next w:val="Normal"/>
    <w:qFormat/>
    <w:rsid w:val="00A31A75"/>
    <w:pPr>
      <w:framePr w:w="2268" w:hSpace="181" w:vSpace="181" w:wrap="around" w:vAnchor="text" w:hAnchor="page" w:x="1135" w:y="285" w:anchorLock="1"/>
    </w:pPr>
    <w:rPr>
      <w:i/>
    </w:rPr>
  </w:style>
  <w:style w:type="paragraph" w:customStyle="1" w:styleId="MiniTOCTitle">
    <w:name w:val="MiniTOCTitle"/>
    <w:basedOn w:val="Heading4"/>
    <w:rsid w:val="00A31A75"/>
    <w:pPr>
      <w:spacing w:before="240"/>
      <w:outlineLvl w:val="9"/>
    </w:pPr>
    <w:rPr>
      <w:noProof/>
      <w:sz w:val="24"/>
    </w:rPr>
  </w:style>
  <w:style w:type="paragraph" w:customStyle="1" w:styleId="MiniTOCItem">
    <w:name w:val="MiniTOCItem"/>
    <w:basedOn w:val="ListBullet"/>
    <w:rsid w:val="00A31A75"/>
    <w:pPr>
      <w:numPr>
        <w:numId w:val="0"/>
      </w:numPr>
      <w:tabs>
        <w:tab w:val="right" w:leader="dot" w:pos="6521"/>
      </w:tabs>
      <w:spacing w:before="0" w:after="0"/>
    </w:pPr>
  </w:style>
  <w:style w:type="paragraph" w:customStyle="1" w:styleId="TOFTitle">
    <w:name w:val="TOFTitle"/>
    <w:basedOn w:val="TOCTitle"/>
    <w:rsid w:val="00A31A75"/>
  </w:style>
  <w:style w:type="paragraph" w:styleId="TableofFigures">
    <w:name w:val="table of figures"/>
    <w:basedOn w:val="Normal"/>
    <w:next w:val="Normal"/>
    <w:semiHidden/>
    <w:rsid w:val="00A31A75"/>
    <w:pPr>
      <w:tabs>
        <w:tab w:val="right" w:leader="dot" w:pos="9072"/>
      </w:tabs>
      <w:ind w:left="970" w:hanging="403"/>
    </w:pPr>
    <w:rPr>
      <w:rFonts w:ascii="Times New Roman" w:hAnsi="Times New Roman"/>
      <w:b/>
    </w:rPr>
  </w:style>
  <w:style w:type="paragraph" w:styleId="ListNumber">
    <w:name w:val="List Number"/>
    <w:basedOn w:val="List"/>
    <w:rsid w:val="00A31A75"/>
    <w:pPr>
      <w:numPr>
        <w:numId w:val="11"/>
      </w:numPr>
    </w:pPr>
  </w:style>
  <w:style w:type="character" w:customStyle="1" w:styleId="WingdingSymbols">
    <w:name w:val="Wingding Symbols"/>
    <w:rsid w:val="00A31A75"/>
    <w:rPr>
      <w:rFonts w:ascii="Wingdings" w:hAnsi="Wingdings"/>
    </w:rPr>
  </w:style>
  <w:style w:type="paragraph" w:customStyle="1" w:styleId="TableHeading">
    <w:name w:val="Table Heading"/>
    <w:basedOn w:val="HeadingBase"/>
    <w:rsid w:val="00A31A75"/>
    <w:pPr>
      <w:keepLines/>
      <w:pBdr>
        <w:bottom w:val="single" w:sz="6" w:space="1" w:color="918585"/>
      </w:pBdr>
      <w:spacing w:before="240"/>
    </w:pPr>
  </w:style>
  <w:style w:type="character" w:customStyle="1" w:styleId="HotSpot">
    <w:name w:val="HotSpot"/>
    <w:rsid w:val="00A31A75"/>
    <w:rPr>
      <w:color w:val="0033CC"/>
      <w:u w:val="none"/>
    </w:rPr>
  </w:style>
  <w:style w:type="paragraph" w:customStyle="1" w:styleId="BodyTextRight">
    <w:name w:val="Body Text Right"/>
    <w:basedOn w:val="BodyText"/>
    <w:rsid w:val="00A31A75"/>
    <w:pPr>
      <w:spacing w:before="0" w:after="0"/>
      <w:jc w:val="right"/>
    </w:pPr>
  </w:style>
  <w:style w:type="paragraph" w:styleId="Index3">
    <w:name w:val="index 3"/>
    <w:basedOn w:val="ListNumber2"/>
    <w:next w:val="Normal"/>
    <w:semiHidden/>
    <w:rsid w:val="00A31A75"/>
    <w:pPr>
      <w:numPr>
        <w:numId w:val="0"/>
      </w:numPr>
      <w:tabs>
        <w:tab w:val="right" w:leader="dot" w:pos="4176"/>
      </w:tabs>
    </w:pPr>
  </w:style>
  <w:style w:type="paragraph" w:styleId="ListNumber2">
    <w:name w:val="List Number 2"/>
    <w:basedOn w:val="List2"/>
    <w:rsid w:val="00A31A75"/>
    <w:pPr>
      <w:numPr>
        <w:numId w:val="10"/>
      </w:numPr>
      <w:tabs>
        <w:tab w:val="clear" w:pos="1060"/>
      </w:tabs>
    </w:pPr>
  </w:style>
  <w:style w:type="paragraph" w:customStyle="1" w:styleId="MarginNote">
    <w:name w:val="Margin Note"/>
    <w:basedOn w:val="BodyText"/>
    <w:rsid w:val="00A31A7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31A7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A31A7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31A75"/>
    <w:rPr>
      <w:sz w:val="32"/>
    </w:rPr>
  </w:style>
  <w:style w:type="paragraph" w:customStyle="1" w:styleId="HeadingProcedure">
    <w:name w:val="Heading Procedure"/>
    <w:basedOn w:val="HeadingBase"/>
    <w:next w:val="Normal"/>
    <w:rsid w:val="00A31A75"/>
    <w:pPr>
      <w:tabs>
        <w:tab w:val="left" w:pos="0"/>
      </w:tabs>
      <w:spacing w:before="120" w:after="60"/>
    </w:pPr>
    <w:rPr>
      <w:i/>
      <w:color w:val="918585"/>
      <w:sz w:val="22"/>
    </w:rPr>
  </w:style>
  <w:style w:type="paragraph" w:customStyle="1" w:styleId="TableBodyText">
    <w:name w:val="Table Body Text"/>
    <w:basedOn w:val="BodyText"/>
    <w:rsid w:val="00A31A75"/>
    <w:pPr>
      <w:spacing w:before="60" w:after="60"/>
    </w:pPr>
  </w:style>
  <w:style w:type="paragraph" w:styleId="ListContinue">
    <w:name w:val="List Continue"/>
    <w:basedOn w:val="List"/>
    <w:rsid w:val="00A31A75"/>
    <w:pPr>
      <w:ind w:firstLine="0"/>
    </w:pPr>
  </w:style>
  <w:style w:type="paragraph" w:customStyle="1" w:styleId="ListNote">
    <w:name w:val="List Note"/>
    <w:basedOn w:val="List"/>
    <w:rsid w:val="00A31A75"/>
    <w:pPr>
      <w:pBdr>
        <w:top w:val="single" w:sz="6" w:space="2" w:color="918585"/>
        <w:bottom w:val="single" w:sz="6" w:space="2" w:color="918585"/>
      </w:pBdr>
      <w:tabs>
        <w:tab w:val="left" w:pos="1021"/>
      </w:tabs>
      <w:ind w:firstLine="0"/>
    </w:pPr>
  </w:style>
  <w:style w:type="paragraph" w:customStyle="1" w:styleId="Warning">
    <w:name w:val="Warning"/>
    <w:basedOn w:val="BodyText"/>
    <w:rsid w:val="00A31A75"/>
    <w:pPr>
      <w:shd w:val="clear" w:color="auto" w:fill="D9D9D9"/>
      <w:tabs>
        <w:tab w:val="left" w:pos="992"/>
      </w:tabs>
      <w:ind w:left="119" w:right="119"/>
    </w:pPr>
    <w:rPr>
      <w:sz w:val="20"/>
    </w:rPr>
  </w:style>
  <w:style w:type="paragraph" w:customStyle="1" w:styleId="MarginIcons">
    <w:name w:val="Margin Icons"/>
    <w:basedOn w:val="BodyText"/>
    <w:rsid w:val="00A31A75"/>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A31A75"/>
    <w:rPr>
      <w:rFonts w:ascii="Courier New" w:hAnsi="Courier New"/>
    </w:rPr>
  </w:style>
  <w:style w:type="paragraph" w:customStyle="1" w:styleId="NoteBullet">
    <w:name w:val="Note Bullet"/>
    <w:basedOn w:val="Note"/>
    <w:rsid w:val="00A31A75"/>
    <w:pPr>
      <w:tabs>
        <w:tab w:val="clear" w:pos="680"/>
      </w:tabs>
      <w:spacing w:before="60" w:after="60"/>
    </w:pPr>
  </w:style>
  <w:style w:type="paragraph" w:customStyle="1" w:styleId="SubHeading2">
    <w:name w:val="SubHeading2"/>
    <w:basedOn w:val="HeadingBase"/>
    <w:rsid w:val="00A31A75"/>
    <w:pPr>
      <w:spacing w:before="240" w:after="60"/>
    </w:pPr>
    <w:rPr>
      <w:sz w:val="20"/>
    </w:rPr>
  </w:style>
  <w:style w:type="paragraph" w:customStyle="1" w:styleId="SubHeading1">
    <w:name w:val="SubHeading1"/>
    <w:basedOn w:val="HeadingBase"/>
    <w:rsid w:val="00A31A75"/>
    <w:pPr>
      <w:spacing w:before="240" w:after="60"/>
    </w:pPr>
    <w:rPr>
      <w:color w:val="918585"/>
      <w:sz w:val="22"/>
    </w:rPr>
  </w:style>
  <w:style w:type="paragraph" w:customStyle="1" w:styleId="SideHeading">
    <w:name w:val="Side Heading"/>
    <w:basedOn w:val="HeadingBase"/>
    <w:rsid w:val="00A31A7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31A75"/>
    <w:pPr>
      <w:numPr>
        <w:numId w:val="12"/>
      </w:numPr>
    </w:pPr>
  </w:style>
  <w:style w:type="paragraph" w:styleId="PlainText">
    <w:name w:val="Plain Text"/>
    <w:basedOn w:val="Normal"/>
    <w:link w:val="PlainTextChar"/>
    <w:rsid w:val="00A31A75"/>
    <w:rPr>
      <w:sz w:val="20"/>
    </w:rPr>
  </w:style>
  <w:style w:type="character" w:customStyle="1" w:styleId="PlainTextChar">
    <w:name w:val="Plain Text Char"/>
    <w:basedOn w:val="DefaultParagraphFont"/>
    <w:link w:val="PlainText"/>
    <w:rsid w:val="00A31A75"/>
    <w:rPr>
      <w:rFonts w:ascii="Courier New" w:eastAsia="Times New Roman" w:hAnsi="Courier New" w:cs="Times New Roman"/>
      <w:sz w:val="20"/>
      <w:szCs w:val="20"/>
      <w:lang w:val="en-US" w:eastAsia="en-US"/>
    </w:rPr>
  </w:style>
  <w:style w:type="character" w:customStyle="1" w:styleId="MenuOption">
    <w:name w:val="Menu Option"/>
    <w:rsid w:val="00A31A75"/>
    <w:rPr>
      <w:b/>
      <w:smallCaps/>
    </w:rPr>
  </w:style>
  <w:style w:type="paragraph" w:customStyle="1" w:styleId="TableListNumber">
    <w:name w:val="Table List Number"/>
    <w:basedOn w:val="ListNumber"/>
    <w:rsid w:val="00A31A75"/>
    <w:pPr>
      <w:numPr>
        <w:numId w:val="0"/>
      </w:numPr>
    </w:pPr>
  </w:style>
  <w:style w:type="paragraph" w:styleId="TOC4">
    <w:name w:val="toc 4"/>
    <w:basedOn w:val="TOCBase"/>
    <w:next w:val="Normal"/>
    <w:semiHidden/>
    <w:rsid w:val="00A31A75"/>
    <w:pPr>
      <w:tabs>
        <w:tab w:val="right" w:leader="dot" w:pos="9071"/>
      </w:tabs>
      <w:ind w:left="1701"/>
    </w:pPr>
  </w:style>
  <w:style w:type="paragraph" w:customStyle="1" w:styleId="ListAlpha">
    <w:name w:val="List Alpha"/>
    <w:basedOn w:val="List"/>
    <w:rsid w:val="00A31A75"/>
    <w:pPr>
      <w:numPr>
        <w:numId w:val="9"/>
      </w:numPr>
    </w:pPr>
  </w:style>
  <w:style w:type="paragraph" w:customStyle="1" w:styleId="ListAlpha2">
    <w:name w:val="List Alpha 2"/>
    <w:basedOn w:val="List2"/>
    <w:rsid w:val="00A31A75"/>
    <w:pPr>
      <w:numPr>
        <w:numId w:val="8"/>
      </w:numPr>
    </w:pPr>
  </w:style>
  <w:style w:type="paragraph" w:styleId="List2">
    <w:name w:val="List 2"/>
    <w:basedOn w:val="BodyText"/>
    <w:rsid w:val="00A31A75"/>
    <w:pPr>
      <w:tabs>
        <w:tab w:val="left" w:pos="680"/>
      </w:tabs>
      <w:spacing w:before="60" w:after="60"/>
      <w:ind w:left="680" w:hanging="340"/>
    </w:pPr>
  </w:style>
  <w:style w:type="paragraph" w:styleId="List3">
    <w:name w:val="List 3"/>
    <w:basedOn w:val="BodyText"/>
    <w:rsid w:val="00A31A75"/>
    <w:pPr>
      <w:tabs>
        <w:tab w:val="left" w:pos="1021"/>
      </w:tabs>
      <w:spacing w:before="60" w:after="60"/>
      <w:ind w:left="1020" w:hanging="340"/>
    </w:pPr>
  </w:style>
  <w:style w:type="paragraph" w:styleId="List4">
    <w:name w:val="List 4"/>
    <w:basedOn w:val="BodyText"/>
    <w:rsid w:val="00A31A75"/>
    <w:pPr>
      <w:tabs>
        <w:tab w:val="left" w:pos="1361"/>
      </w:tabs>
      <w:spacing w:before="60" w:after="60"/>
      <w:ind w:left="1361" w:hanging="340"/>
    </w:pPr>
  </w:style>
  <w:style w:type="paragraph" w:styleId="List5">
    <w:name w:val="List 5"/>
    <w:basedOn w:val="BodyText"/>
    <w:rsid w:val="00A31A75"/>
    <w:pPr>
      <w:tabs>
        <w:tab w:val="left" w:pos="1701"/>
      </w:tabs>
      <w:spacing w:before="60" w:after="60"/>
      <w:ind w:left="1701" w:hanging="340"/>
    </w:pPr>
  </w:style>
  <w:style w:type="paragraph" w:styleId="ListBullet3">
    <w:name w:val="List Bullet 3"/>
    <w:basedOn w:val="List3"/>
    <w:rsid w:val="00A31A75"/>
    <w:pPr>
      <w:numPr>
        <w:numId w:val="15"/>
      </w:numPr>
      <w:tabs>
        <w:tab w:val="clear" w:pos="1021"/>
      </w:tabs>
      <w:ind w:left="1037" w:hanging="357"/>
    </w:pPr>
  </w:style>
  <w:style w:type="paragraph" w:styleId="ListBullet4">
    <w:name w:val="List Bullet 4"/>
    <w:basedOn w:val="List4"/>
    <w:rsid w:val="00A31A75"/>
    <w:pPr>
      <w:numPr>
        <w:numId w:val="3"/>
      </w:numPr>
    </w:pPr>
  </w:style>
  <w:style w:type="paragraph" w:styleId="ListBullet5">
    <w:name w:val="List Bullet 5"/>
    <w:basedOn w:val="List5"/>
    <w:rsid w:val="00A31A75"/>
    <w:pPr>
      <w:numPr>
        <w:numId w:val="4"/>
      </w:numPr>
    </w:pPr>
  </w:style>
  <w:style w:type="paragraph" w:styleId="ListContinue2">
    <w:name w:val="List Continue 2"/>
    <w:basedOn w:val="List2"/>
    <w:rsid w:val="00A31A75"/>
    <w:pPr>
      <w:ind w:firstLine="0"/>
    </w:pPr>
  </w:style>
  <w:style w:type="paragraph" w:styleId="ListContinue3">
    <w:name w:val="List Continue 3"/>
    <w:basedOn w:val="List3"/>
    <w:rsid w:val="00A31A75"/>
    <w:pPr>
      <w:ind w:left="1021" w:firstLine="0"/>
    </w:pPr>
  </w:style>
  <w:style w:type="paragraph" w:styleId="ListContinue4">
    <w:name w:val="List Continue 4"/>
    <w:basedOn w:val="List4"/>
    <w:rsid w:val="00A31A75"/>
    <w:pPr>
      <w:ind w:firstLine="0"/>
    </w:pPr>
  </w:style>
  <w:style w:type="paragraph" w:styleId="ListContinue5">
    <w:name w:val="List Continue 5"/>
    <w:basedOn w:val="List5"/>
    <w:rsid w:val="00A31A75"/>
    <w:pPr>
      <w:ind w:firstLine="0"/>
    </w:pPr>
  </w:style>
  <w:style w:type="paragraph" w:styleId="ListNumber3">
    <w:name w:val="List Number 3"/>
    <w:basedOn w:val="List3"/>
    <w:rsid w:val="00A31A75"/>
    <w:pPr>
      <w:numPr>
        <w:numId w:val="5"/>
      </w:numPr>
    </w:pPr>
  </w:style>
  <w:style w:type="paragraph" w:styleId="ListNumber4">
    <w:name w:val="List Number 4"/>
    <w:basedOn w:val="List4"/>
    <w:rsid w:val="00A31A75"/>
    <w:pPr>
      <w:numPr>
        <w:numId w:val="6"/>
      </w:numPr>
    </w:pPr>
  </w:style>
  <w:style w:type="paragraph" w:styleId="ListNumber5">
    <w:name w:val="List Number 5"/>
    <w:basedOn w:val="List5"/>
    <w:rsid w:val="00A31A75"/>
    <w:pPr>
      <w:numPr>
        <w:numId w:val="7"/>
      </w:numPr>
    </w:pPr>
  </w:style>
  <w:style w:type="paragraph" w:styleId="BlockText">
    <w:name w:val="Block Text"/>
    <w:basedOn w:val="Normal"/>
    <w:rsid w:val="00A31A75"/>
    <w:pPr>
      <w:spacing w:after="120"/>
      <w:ind w:left="1440" w:right="1440"/>
    </w:pPr>
  </w:style>
  <w:style w:type="character" w:customStyle="1" w:styleId="Subscript">
    <w:name w:val="Subscript"/>
    <w:rsid w:val="00A31A75"/>
    <w:rPr>
      <w:sz w:val="16"/>
      <w:vertAlign w:val="subscript"/>
    </w:rPr>
  </w:style>
  <w:style w:type="character" w:customStyle="1" w:styleId="Superscript">
    <w:name w:val="Superscript"/>
    <w:rsid w:val="00A31A75"/>
    <w:rPr>
      <w:sz w:val="16"/>
      <w:vertAlign w:val="superscript"/>
    </w:rPr>
  </w:style>
  <w:style w:type="character" w:customStyle="1" w:styleId="Symbols">
    <w:name w:val="Symbols"/>
    <w:rsid w:val="00A31A75"/>
    <w:rPr>
      <w:rFonts w:ascii="Symbol" w:hAnsi="Symbol"/>
    </w:rPr>
  </w:style>
  <w:style w:type="character" w:customStyle="1" w:styleId="MenuOptions">
    <w:name w:val="Menu Options"/>
    <w:rsid w:val="00A31A75"/>
    <w:rPr>
      <w:rFonts w:ascii="Arial Narrow" w:hAnsi="Arial Narrow"/>
      <w:smallCaps/>
    </w:rPr>
  </w:style>
  <w:style w:type="character" w:customStyle="1" w:styleId="Buttons">
    <w:name w:val="Buttons"/>
    <w:rsid w:val="00A31A75"/>
    <w:rPr>
      <w:b/>
    </w:rPr>
  </w:style>
  <w:style w:type="character" w:customStyle="1" w:styleId="Underlined">
    <w:name w:val="Underlined"/>
    <w:rsid w:val="00A31A75"/>
    <w:rPr>
      <w:u w:val="single"/>
    </w:rPr>
  </w:style>
  <w:style w:type="paragraph" w:customStyle="1" w:styleId="TableBodyTextRight">
    <w:name w:val="Table Body Text Right"/>
    <w:basedOn w:val="TableBodyText"/>
    <w:rsid w:val="00A31A75"/>
    <w:pPr>
      <w:widowControl w:val="0"/>
      <w:autoSpaceDE w:val="0"/>
      <w:autoSpaceDN w:val="0"/>
      <w:adjustRightInd w:val="0"/>
      <w:jc w:val="right"/>
    </w:pPr>
    <w:rPr>
      <w:rFonts w:cs="Arial"/>
      <w:szCs w:val="18"/>
    </w:rPr>
  </w:style>
  <w:style w:type="paragraph" w:customStyle="1" w:styleId="CopyrightText">
    <w:name w:val="Copyright Text"/>
    <w:basedOn w:val="BodyText"/>
    <w:rsid w:val="00A31A75"/>
    <w:rPr>
      <w:sz w:val="18"/>
    </w:rPr>
  </w:style>
  <w:style w:type="paragraph" w:customStyle="1" w:styleId="BodySmallRight">
    <w:name w:val="Body Small Right"/>
    <w:basedOn w:val="BodyTextRight"/>
    <w:rsid w:val="00A31A75"/>
    <w:rPr>
      <w:sz w:val="18"/>
      <w:szCs w:val="18"/>
    </w:rPr>
  </w:style>
  <w:style w:type="paragraph" w:customStyle="1" w:styleId="MarginEdition">
    <w:name w:val="Margin Edition"/>
    <w:basedOn w:val="MarginNote"/>
    <w:rsid w:val="00A31A75"/>
    <w:pPr>
      <w:spacing w:before="0" w:after="0"/>
    </w:pPr>
    <w:rPr>
      <w:rFonts w:ascii="Times New Roman" w:hAnsi="Times New Roman"/>
      <w:color w:val="999999"/>
    </w:rPr>
  </w:style>
  <w:style w:type="paragraph" w:customStyle="1" w:styleId="Spacer">
    <w:name w:val="Spacer"/>
    <w:basedOn w:val="Normal"/>
    <w:rsid w:val="00A31A75"/>
    <w:rPr>
      <w:sz w:val="2"/>
      <w:szCs w:val="2"/>
    </w:rPr>
  </w:style>
  <w:style w:type="character" w:customStyle="1" w:styleId="Small">
    <w:name w:val="Small"/>
    <w:rsid w:val="00A31A75"/>
    <w:rPr>
      <w:sz w:val="16"/>
    </w:rPr>
  </w:style>
  <w:style w:type="paragraph" w:customStyle="1" w:styleId="WideTable">
    <w:name w:val="Wide Table"/>
    <w:basedOn w:val="Normal"/>
    <w:rsid w:val="00A31A75"/>
    <w:pPr>
      <w:ind w:left="-1418"/>
    </w:pPr>
    <w:rPr>
      <w:sz w:val="2"/>
      <w:szCs w:val="2"/>
    </w:rPr>
  </w:style>
  <w:style w:type="character" w:styleId="PageNumber">
    <w:name w:val="page number"/>
    <w:rsid w:val="00A31A75"/>
  </w:style>
  <w:style w:type="paragraph" w:styleId="Quote">
    <w:name w:val="Quote"/>
    <w:basedOn w:val="Heading1"/>
    <w:link w:val="QuoteChar"/>
    <w:qFormat/>
    <w:rsid w:val="00A31A75"/>
    <w:rPr>
      <w:b w:val="0"/>
      <w:sz w:val="72"/>
      <w:szCs w:val="72"/>
      <w:lang w:val="en-NZ"/>
    </w:rPr>
  </w:style>
  <w:style w:type="character" w:customStyle="1" w:styleId="QuoteChar">
    <w:name w:val="Quote Char"/>
    <w:link w:val="Quote"/>
    <w:rsid w:val="00A31A7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31A75"/>
    <w:pPr>
      <w:pageBreakBefore/>
    </w:pPr>
  </w:style>
  <w:style w:type="paragraph" w:customStyle="1" w:styleId="Border">
    <w:name w:val="Border"/>
    <w:basedOn w:val="Normal"/>
    <w:qFormat/>
    <w:rsid w:val="00A31A75"/>
    <w:pPr>
      <w:pBdr>
        <w:top w:val="single" w:sz="18" w:space="1" w:color="auto"/>
      </w:pBdr>
    </w:pPr>
    <w:rPr>
      <w:rFonts w:ascii="Times New Roman" w:hAnsi="Times New Roman"/>
      <w:color w:val="FFFFFF"/>
      <w:sz w:val="2"/>
    </w:rPr>
  </w:style>
  <w:style w:type="character" w:styleId="IntenseEmphasis">
    <w:name w:val="Intense Emphasis"/>
    <w:uiPriority w:val="21"/>
    <w:qFormat/>
    <w:rsid w:val="00A31A75"/>
    <w:rPr>
      <w:b/>
      <w:bCs/>
      <w:i/>
      <w:iCs/>
      <w:color w:val="auto"/>
    </w:rPr>
  </w:style>
  <w:style w:type="paragraph" w:styleId="IntenseQuote">
    <w:name w:val="Intense Quote"/>
    <w:basedOn w:val="Normal"/>
    <w:next w:val="Normal"/>
    <w:link w:val="IntenseQuoteChar"/>
    <w:uiPriority w:val="30"/>
    <w:qFormat/>
    <w:rsid w:val="00A31A75"/>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A31A75"/>
    <w:rPr>
      <w:rFonts w:ascii="Courier New" w:eastAsia="Times New Roman" w:hAnsi="Courier New" w:cs="Times New Roman"/>
      <w:b/>
      <w:bCs/>
      <w:i/>
      <w:iCs/>
      <w:szCs w:val="20"/>
      <w:lang w:val="en-US" w:eastAsia="en-US"/>
    </w:rPr>
  </w:style>
  <w:style w:type="character" w:styleId="SubtleReference">
    <w:name w:val="Subtle Reference"/>
    <w:uiPriority w:val="31"/>
    <w:qFormat/>
    <w:rsid w:val="00A31A75"/>
    <w:rPr>
      <w:smallCaps/>
      <w:color w:val="auto"/>
      <w:u w:val="single"/>
    </w:rPr>
  </w:style>
  <w:style w:type="character" w:styleId="IntenseReference">
    <w:name w:val="Intense Reference"/>
    <w:uiPriority w:val="32"/>
    <w:qFormat/>
    <w:rsid w:val="00A31A75"/>
    <w:rPr>
      <w:b/>
      <w:bCs/>
      <w:smallCaps/>
      <w:color w:val="auto"/>
      <w:spacing w:val="5"/>
      <w:u w:val="single"/>
    </w:rPr>
  </w:style>
  <w:style w:type="paragraph" w:customStyle="1" w:styleId="2ColumnHeading">
    <w:name w:val="2Column Heading"/>
    <w:basedOn w:val="BodyText"/>
    <w:qFormat/>
    <w:rsid w:val="00A31A75"/>
    <w:pPr>
      <w:spacing w:after="60"/>
      <w:ind w:left="-2268"/>
    </w:pPr>
    <w:rPr>
      <w:b/>
    </w:rPr>
  </w:style>
  <w:style w:type="paragraph" w:customStyle="1" w:styleId="Heading1TOC">
    <w:name w:val="Heading1 TOC"/>
    <w:basedOn w:val="Normal"/>
    <w:qFormat/>
    <w:rsid w:val="00A31A75"/>
    <w:pPr>
      <w:spacing w:before="240" w:after="120"/>
    </w:pPr>
    <w:rPr>
      <w:rFonts w:ascii="Times New Roman" w:hAnsi="Times New Roman"/>
      <w:b/>
      <w:sz w:val="32"/>
    </w:rPr>
  </w:style>
  <w:style w:type="paragraph" w:customStyle="1" w:styleId="Heading2TOC">
    <w:name w:val="Heading2 TOC"/>
    <w:basedOn w:val="Normal"/>
    <w:qFormat/>
    <w:rsid w:val="00A31A75"/>
    <w:pPr>
      <w:spacing w:before="240" w:after="60"/>
    </w:pPr>
    <w:rPr>
      <w:rFonts w:ascii="Times New Roman" w:hAnsi="Times New Roman"/>
      <w:b/>
      <w:sz w:val="28"/>
    </w:rPr>
  </w:style>
  <w:style w:type="character" w:customStyle="1" w:styleId="Underline">
    <w:name w:val="Underline"/>
    <w:qFormat/>
    <w:rsid w:val="00A31A75"/>
    <w:rPr>
      <w:u w:val="single"/>
    </w:rPr>
  </w:style>
  <w:style w:type="character" w:customStyle="1" w:styleId="BoldandItalics">
    <w:name w:val="Bold and Italics"/>
    <w:qFormat/>
    <w:rsid w:val="00A31A75"/>
    <w:rPr>
      <w:b/>
      <w:i/>
      <w:u w:val="none"/>
    </w:rPr>
  </w:style>
  <w:style w:type="paragraph" w:styleId="BalloonText">
    <w:name w:val="Balloon Text"/>
    <w:basedOn w:val="Normal"/>
    <w:link w:val="BalloonTextChar"/>
    <w:rsid w:val="00A31A75"/>
    <w:rPr>
      <w:rFonts w:ascii="Tahoma" w:hAnsi="Tahoma" w:cs="Tahoma"/>
      <w:sz w:val="16"/>
      <w:szCs w:val="16"/>
    </w:rPr>
  </w:style>
  <w:style w:type="character" w:customStyle="1" w:styleId="BalloonTextChar">
    <w:name w:val="Balloon Text Char"/>
    <w:link w:val="BalloonText"/>
    <w:rsid w:val="00A31A7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31A75"/>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A31A75"/>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2099</Words>
  <Characters>12380</Characters>
  <Application>Microsoft Office Word</Application>
  <DocSecurity>0</DocSecurity>
  <Lines>450</Lines>
  <Paragraphs>164</Paragraphs>
  <ScaleCrop>false</ScaleCrop>
  <Company>Author-it Software Corporation Ltd.</Company>
  <LinksUpToDate>false</LinksUpToDate>
  <CharactersWithSpaces>14341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UEENEEJ002B Prepare refrigerant tubing and fittings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2012-05-26T11:27:00Z</dcterms:created>
  <dcterms:modified xsi:type="dcterms:W3CDTF">2012-05-26T11:27:00Z</dcterms:modified>
</cp:coreProperties>
</file>