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1DB1" w:rsidP="00881DB1">
      <w:pPr>
        <w:pStyle w:val="Title"/>
      </w:pPr>
      <w:bookmarkStart w:id="0" w:name="_GoBack"/>
      <w:bookmarkEnd w:id="0"/>
      <w:r>
        <w:fldChar w:fldCharType="begin"/>
      </w:r>
      <w:r>
        <w:instrText xml:space="preserve"> TITLE   \* MERGEFORMAT </w:instrText>
      </w:r>
      <w:r>
        <w:fldChar w:fldCharType="separate"/>
      </w:r>
      <w:r>
        <w:t>UEENEEI043A Develop access control of integrated systems using logic-based programming tools</w:t>
      </w:r>
      <w:r>
        <w:fldChar w:fldCharType="end"/>
      </w:r>
    </w:p>
    <w:p w:rsidR="00881DB1" w:rsidP="00881DB1">
      <w:pPr>
        <w:pStyle w:val="Version"/>
        <w:sectPr w:rsidSect="00B958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58CF" w:rsidP="00B958CF">
      <w:pPr>
        <w:pStyle w:val="SuperHeading"/>
      </w:pPr>
      <w:r w:rsidRPr="00B958CF">
        <w:t>UEENEEI043A Develop access control of integrated systems using logic-based programming tools</w:t>
      </w:r>
    </w:p>
    <w:p w:rsidR="00000000" w:rsidRPr="00B958CF" w:rsidP="00B958CF">
      <w:pPr>
        <w:pStyle w:val="Heading1"/>
      </w:pPr>
      <w:bookmarkStart w:id="1" w:name="O_274810"/>
      <w:bookmarkEnd w:id="1"/>
      <w:r w:rsidRPr="00B958CF">
        <w:t>Modification History</w:t>
      </w:r>
    </w:p>
    <w:p w:rsidR="00000000" w:rsidRPr="00B958CF" w:rsidP="00B958CF">
      <w:pPr>
        <w:pStyle w:val="BodyText"/>
      </w:pPr>
      <w:r w:rsidRPr="00B958CF">
        <w:t>Not Applicable</w:t>
      </w:r>
    </w:p>
    <w:p w:rsidR="00000000" w:rsidRPr="00B958CF" w:rsidP="00B958CF">
      <w:pPr>
        <w:pStyle w:val="AllowPageBreak"/>
      </w:pPr>
    </w:p>
    <w:p w:rsidR="00000000" w:rsidRPr="00B958CF" w:rsidP="00B958CF">
      <w:pPr>
        <w:pStyle w:val="Heading1"/>
      </w:pPr>
      <w:bookmarkStart w:id="2" w:name="O_227425"/>
      <w:bookmarkEnd w:id="2"/>
      <w:r w:rsidRPr="00B958CF">
        <w:t>Unit Descriptor</w:t>
      </w:r>
    </w:p>
    <w:tbl>
      <w:tblPr>
        <w:tblW w:w="0" w:type="auto"/>
        <w:tblLayout w:type="fixed"/>
        <w:tblCellMar>
          <w:left w:w="62" w:type="dxa"/>
          <w:right w:w="62" w:type="dxa"/>
        </w:tblCellMar>
        <w:tblLook w:val="0000"/>
      </w:tblPr>
      <w:tblGrid>
        <w:gridCol w:w="2700"/>
        <w:gridCol w:w="5760"/>
      </w:tblGrid>
      <w:tr w:rsidTr="00881DB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958CF" w:rsidP="00B958CF">
            <w:pPr>
              <w:pStyle w:val="BodyText"/>
            </w:pPr>
            <w:r w:rsidRPr="00B958C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B958CF" w:rsidP="00B958CF">
            <w:pPr>
              <w:pStyle w:val="BodyText"/>
            </w:pPr>
            <w:r w:rsidRPr="00B958CF">
              <w:rPr>
                <w:rStyle w:val="SpecialBold"/>
              </w:rPr>
              <w:t>1</w:t>
            </w:r>
            <w:r w:rsidRPr="00B958CF">
              <w:t>)</w:t>
            </w:r>
          </w:p>
          <w:p w:rsidR="00000000" w:rsidP="00B958CF">
            <w:pPr>
              <w:pStyle w:val="BodyText"/>
              <w:rPr>
                <w:lang w:val="en-NZ"/>
              </w:rPr>
            </w:pPr>
            <w:r w:rsidRPr="00B958CF">
              <w:rPr>
                <w:rStyle w:val="SpecialBold"/>
              </w:rPr>
              <w:t>1</w:t>
            </w:r>
            <w:r w:rsidRPr="00B958CF">
              <w:t>.</w:t>
            </w:r>
            <w:r w:rsidRPr="00B958CF">
              <w:rPr>
                <w:rStyle w:val="SpecialBold"/>
              </w:rPr>
              <w:t>1</w:t>
            </w:r>
            <w:r w:rsidRPr="00B958CF">
              <w:t xml:space="preserve">) </w:t>
            </w:r>
            <w:r w:rsidRPr="00B958CF">
              <w:rPr>
                <w:rStyle w:val="SpecialBold"/>
              </w:rPr>
              <w:t>Descriptor</w:t>
            </w:r>
          </w:p>
        </w:tc>
      </w:tr>
      <w:tr w:rsidTr="00881D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958CF" w:rsidP="00B958CF">
            <w:pPr>
              <w:pStyle w:val="BodyText"/>
            </w:pPr>
            <w:r w:rsidRPr="00B958CF">
              <w:t>This unit covers programming functions and parameters of touch screens and other access controls in an integrated system. It encompasses working safely and to manufacturer's instructions and regulatory requirements, applying knowledge of the application in</w:t>
            </w:r>
            <w:r w:rsidRPr="00B958CF">
              <w:t>tegrated system, using proprietary touch screen programming tools, and documenting as-programmed assess functions.</w:t>
            </w:r>
          </w:p>
        </w:tc>
      </w:tr>
    </w:tbl>
    <w:p w:rsidR="00881DB1" w:rsidP="00B958CF">
      <w:pPr>
        <w:pStyle w:val="BodyText"/>
      </w:pPr>
    </w:p>
    <w:p w:rsidR="00881DB1" w:rsidP="00B958CF">
      <w:pPr>
        <w:pStyle w:val="BodyText"/>
      </w:pPr>
    </w:p>
    <w:p w:rsidR="00000000" w:rsidRPr="00B958CF" w:rsidP="00B958CF">
      <w:pPr>
        <w:pStyle w:val="Heading1"/>
      </w:pPr>
      <w:bookmarkStart w:id="3" w:name="O_227430"/>
      <w:bookmarkEnd w:id="3"/>
      <w:r w:rsidRPr="00B958CF">
        <w:t>Application of the Unit</w:t>
      </w:r>
    </w:p>
    <w:tbl>
      <w:tblPr>
        <w:tblW w:w="0" w:type="auto"/>
        <w:tblLayout w:type="fixed"/>
        <w:tblCellMar>
          <w:left w:w="62" w:type="dxa"/>
          <w:right w:w="62" w:type="dxa"/>
        </w:tblCellMar>
        <w:tblLook w:val="0000"/>
      </w:tblPr>
      <w:tblGrid>
        <w:gridCol w:w="2700"/>
        <w:gridCol w:w="5760"/>
      </w:tblGrid>
      <w:tr w:rsidTr="00881DB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958CF" w:rsidP="00B958CF">
            <w:pPr>
              <w:pStyle w:val="BodyText"/>
            </w:pPr>
            <w:r w:rsidRPr="00B958CF">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B958CF">
            <w:pPr>
              <w:pStyle w:val="BodyText"/>
              <w:rPr>
                <w:lang w:val="en-NZ"/>
              </w:rPr>
            </w:pPr>
            <w:r w:rsidRPr="00B958CF">
              <w:rPr>
                <w:rStyle w:val="SpecialBold"/>
              </w:rPr>
              <w:t>4</w:t>
            </w:r>
            <w:r w:rsidRPr="00B958CF">
              <w:t>)</w:t>
            </w:r>
          </w:p>
        </w:tc>
      </w:tr>
      <w:tr w:rsidTr="00881D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958CF" w:rsidP="00B958CF">
            <w:pPr>
              <w:pStyle w:val="BodyText"/>
            </w:pPr>
            <w:r w:rsidRPr="00B958CF">
              <w:t>This unit is intended as an elective or skill set at AQF 4 level. It</w:t>
            </w:r>
            <w:r w:rsidRPr="00B958CF">
              <w:t xml:space="preserve"> may be aligned with a vendor training program that is shown to have the same competency outcomes as this unit.</w:t>
            </w:r>
          </w:p>
        </w:tc>
      </w:tr>
    </w:tbl>
    <w:p w:rsidR="00881DB1" w:rsidP="00B958CF">
      <w:pPr>
        <w:pStyle w:val="BodyText"/>
      </w:pPr>
    </w:p>
    <w:p w:rsidR="00881DB1" w:rsidP="00B958CF">
      <w:pPr>
        <w:pStyle w:val="BodyText"/>
      </w:pPr>
    </w:p>
    <w:p w:rsidR="00000000" w:rsidRPr="00B958CF" w:rsidP="00B958CF">
      <w:pPr>
        <w:pStyle w:val="Heading1"/>
      </w:pPr>
      <w:bookmarkStart w:id="4" w:name="O_227426"/>
      <w:bookmarkEnd w:id="4"/>
      <w:r w:rsidRPr="00B958CF">
        <w:t>Licensing/Regulatory Information</w:t>
      </w:r>
    </w:p>
    <w:tbl>
      <w:tblPr>
        <w:tblW w:w="0" w:type="auto"/>
        <w:tblLayout w:type="fixed"/>
        <w:tblCellMar>
          <w:left w:w="62" w:type="dxa"/>
          <w:right w:w="62" w:type="dxa"/>
        </w:tblCellMar>
        <w:tblLook w:val="0000"/>
      </w:tblPr>
      <w:tblGrid>
        <w:gridCol w:w="8460"/>
      </w:tblGrid>
      <w:tr w:rsidTr="00881DB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958CF">
            <w:pPr>
              <w:pStyle w:val="BodyText"/>
              <w:rPr>
                <w:lang w:val="en-NZ"/>
              </w:rPr>
            </w:pPr>
            <w:r w:rsidRPr="00B958CF">
              <w:rPr>
                <w:rStyle w:val="SpecialBold"/>
              </w:rPr>
              <w:t>1</w:t>
            </w:r>
            <w:r w:rsidRPr="00B958CF">
              <w:t>.</w:t>
            </w:r>
            <w:r w:rsidRPr="00B958CF">
              <w:rPr>
                <w:rStyle w:val="SpecialBold"/>
              </w:rPr>
              <w:t>2</w:t>
            </w:r>
            <w:r w:rsidRPr="00B958CF">
              <w:t xml:space="preserve">) </w:t>
            </w:r>
            <w:r w:rsidRPr="00B958CF">
              <w:rPr>
                <w:rStyle w:val="SpecialBold"/>
              </w:rPr>
              <w:t>License to practice</w:t>
            </w:r>
          </w:p>
        </w:tc>
      </w:tr>
      <w:tr w:rsidTr="00881DB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958CF" w:rsidP="00B958CF">
            <w:pPr>
              <w:pStyle w:val="BodyText"/>
            </w:pPr>
            <w:r w:rsidRPr="00B958CF">
              <w:t>The skills and know</w:t>
            </w:r>
            <w:r w:rsidRPr="00B958CF">
              <w:t>ledge described in this unit requires a license to practice in the workplace where plant and equipment is directly connected to installation wiring that operates at voltage above 50 V a.c. or 120 V d.c. However other conditions may apply in some jurisdicti</w:t>
            </w:r>
            <w:r w:rsidRPr="00B958CF">
              <w:t>ons subject to regulations related to electrical work. Practice in the workplace and during training is also subject to regulations directly related to occupational health and safety and where applicable contracts of training such as apprenticeships.</w:t>
            </w:r>
          </w:p>
        </w:tc>
      </w:tr>
    </w:tbl>
    <w:p w:rsidR="00881DB1" w:rsidP="00B958CF">
      <w:pPr>
        <w:pStyle w:val="BodyText"/>
      </w:pPr>
    </w:p>
    <w:p w:rsidR="00881DB1" w:rsidP="00B958CF">
      <w:pPr>
        <w:pStyle w:val="BodyText"/>
      </w:pPr>
    </w:p>
    <w:p w:rsidR="00000000" w:rsidRPr="00B958CF" w:rsidP="00B958CF">
      <w:pPr>
        <w:pStyle w:val="Heading1"/>
      </w:pPr>
      <w:bookmarkStart w:id="5" w:name="O_227427"/>
      <w:bookmarkEnd w:id="5"/>
      <w:r w:rsidRPr="00B958CF">
        <w:t>Pre-Requisites</w:t>
      </w:r>
    </w:p>
    <w:tbl>
      <w:tblPr>
        <w:tblW w:w="0" w:type="auto"/>
        <w:tblLayout w:type="fixed"/>
        <w:tblCellMar>
          <w:left w:w="62" w:type="dxa"/>
          <w:right w:w="62" w:type="dxa"/>
        </w:tblCellMar>
        <w:tblLook w:val="0000"/>
      </w:tblPr>
      <w:tblGrid>
        <w:gridCol w:w="2700"/>
        <w:gridCol w:w="1695"/>
        <w:gridCol w:w="4065"/>
      </w:tblGrid>
      <w:tr w:rsidTr="00881DB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958CF" w:rsidP="00B958CF">
            <w:pPr>
              <w:pStyle w:val="BodyText"/>
            </w:pPr>
            <w:r w:rsidRPr="00B958CF">
              <w:rPr>
                <w:rStyle w:val="SpecialBold"/>
              </w:rPr>
              <w:t>Prerequisite Unit</w:t>
            </w:r>
            <w:r w:rsidRPr="00B958CF">
              <w:t>(</w:t>
            </w:r>
            <w:r w:rsidRPr="00B958CF">
              <w:rPr>
                <w:rStyle w:val="SpecialBold"/>
              </w:rPr>
              <w:t>s</w:t>
            </w:r>
            <w:r w:rsidRPr="00B958CF">
              <w:t>)</w:t>
            </w:r>
          </w:p>
        </w:tc>
        <w:tc>
          <w:tcPr>
            <w:tcW w:w="5760" w:type="dxa"/>
            <w:gridSpan w:val="2"/>
            <w:tcBorders>
              <w:top w:val="nil"/>
              <w:left w:val="nil"/>
              <w:bottom w:val="nil"/>
              <w:right w:val="nil"/>
            </w:tcBorders>
            <w:tcMar>
              <w:top w:w="0" w:type="dxa"/>
              <w:left w:w="62" w:type="dxa"/>
              <w:bottom w:w="0" w:type="dxa"/>
              <w:right w:w="62" w:type="dxa"/>
            </w:tcMar>
          </w:tcPr>
          <w:p w:rsidR="00000000" w:rsidP="00B958CF">
            <w:pPr>
              <w:pStyle w:val="BodyText"/>
              <w:rPr>
                <w:lang w:val="en-NZ"/>
              </w:rPr>
            </w:pPr>
            <w:r w:rsidRPr="00B958CF">
              <w:rPr>
                <w:rStyle w:val="SpecialBold"/>
              </w:rPr>
              <w:t>2</w:t>
            </w:r>
            <w:r w:rsidRPr="00B958CF">
              <w:t>)</w:t>
            </w:r>
          </w:p>
        </w:tc>
      </w:tr>
      <w:tr w:rsidTr="00881D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958CF">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B958CF">
            <w:pPr>
              <w:pStyle w:val="BodyText"/>
              <w:rPr>
                <w:lang w:val="en-NZ"/>
              </w:rPr>
            </w:pPr>
            <w:r w:rsidRPr="00B958CF">
              <w:rPr>
                <w:rStyle w:val="SpecialBold"/>
              </w:rPr>
              <w:t>2</w:t>
            </w:r>
            <w:r w:rsidRPr="00B958CF">
              <w:t>.</w:t>
            </w:r>
            <w:r w:rsidRPr="00B958CF">
              <w:rPr>
                <w:rStyle w:val="SpecialBold"/>
              </w:rPr>
              <w:t>1</w:t>
            </w:r>
            <w:r w:rsidRPr="00B958CF">
              <w:t xml:space="preserve">) </w:t>
            </w:r>
            <w:r w:rsidRPr="00B958CF">
              <w:rPr>
                <w:rStyle w:val="SpecialBold"/>
              </w:rPr>
              <w:t>Competencies</w:t>
            </w:r>
          </w:p>
        </w:tc>
      </w:tr>
      <w:tr w:rsidTr="00881D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B958CF">
            <w:pPr>
              <w:pStyle w:val="BodyText"/>
              <w:rPr>
                <w:lang w:val="en-NZ"/>
              </w:rPr>
            </w:pPr>
            <w:r w:rsidRPr="00B958CF">
              <w:t>Granting competency in this unit shall be made only after competency in the following unit has been confirmed.</w:t>
            </w:r>
          </w:p>
        </w:tc>
      </w:tr>
      <w:tr w:rsidTr="00881D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5" w:type="dxa"/>
            <w:tcBorders>
              <w:top w:val="nil"/>
              <w:left w:val="nil"/>
              <w:bottom w:val="nil"/>
              <w:right w:val="nil"/>
            </w:tcBorders>
            <w:tcMar>
              <w:top w:w="0" w:type="dxa"/>
              <w:left w:w="62" w:type="dxa"/>
              <w:bottom w:w="0" w:type="dxa"/>
              <w:right w:w="62" w:type="dxa"/>
            </w:tcMar>
          </w:tcPr>
          <w:p w:rsidR="00000000" w:rsidP="00B958CF">
            <w:pPr>
              <w:pStyle w:val="BodyText"/>
              <w:rPr>
                <w:lang w:val="en-NZ"/>
              </w:rPr>
            </w:pPr>
            <w:r w:rsidRPr="00B958CF">
              <w:t>UEENEEI042A</w:t>
            </w:r>
          </w:p>
        </w:tc>
        <w:tc>
          <w:tcPr>
            <w:tcW w:w="4065" w:type="dxa"/>
            <w:tcBorders>
              <w:top w:val="nil"/>
              <w:left w:val="nil"/>
              <w:bottom w:val="nil"/>
              <w:right w:val="nil"/>
            </w:tcBorders>
            <w:tcMar>
              <w:top w:w="0" w:type="dxa"/>
              <w:left w:w="62" w:type="dxa"/>
              <w:bottom w:w="0" w:type="dxa"/>
              <w:right w:w="62" w:type="dxa"/>
            </w:tcMar>
          </w:tcPr>
          <w:p w:rsidR="00000000" w:rsidP="00B958CF">
            <w:pPr>
              <w:pStyle w:val="BodyText"/>
              <w:rPr>
                <w:lang w:val="en-NZ"/>
              </w:rPr>
            </w:pPr>
            <w:r w:rsidRPr="00B958CF">
              <w:t>Develop an integrated system interface for access through a touch screen</w:t>
            </w:r>
          </w:p>
        </w:tc>
      </w:tr>
      <w:tr w:rsidTr="00881D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B958CF" w:rsidP="00B958CF">
            <w:pPr>
              <w:pStyle w:val="BodyText"/>
            </w:pPr>
            <w:r w:rsidRPr="00B958CF">
              <w:t>For the full prerequisite chain details for this unit please refer to Table 2 in Volume 1, Part 2</w:t>
            </w:r>
          </w:p>
        </w:tc>
      </w:tr>
    </w:tbl>
    <w:p w:rsidR="00881DB1" w:rsidP="00B958CF">
      <w:pPr>
        <w:pStyle w:val="BodyText"/>
      </w:pPr>
    </w:p>
    <w:p w:rsidR="00881DB1" w:rsidP="00B958CF">
      <w:pPr>
        <w:pStyle w:val="BodyText"/>
      </w:pPr>
    </w:p>
    <w:p w:rsidR="00000000" w:rsidRPr="00B958CF" w:rsidP="00B958CF">
      <w:pPr>
        <w:pStyle w:val="Heading1"/>
      </w:pPr>
      <w:bookmarkStart w:id="6" w:name="O_227429"/>
      <w:bookmarkEnd w:id="6"/>
      <w:r w:rsidRPr="00B958CF">
        <w:t>Employability Skills Information</w:t>
      </w:r>
    </w:p>
    <w:tbl>
      <w:tblPr>
        <w:tblW w:w="0" w:type="auto"/>
        <w:tblLayout w:type="fixed"/>
        <w:tblCellMar>
          <w:left w:w="62" w:type="dxa"/>
          <w:right w:w="62" w:type="dxa"/>
        </w:tblCellMar>
        <w:tblLook w:val="0000"/>
      </w:tblPr>
      <w:tblGrid>
        <w:gridCol w:w="2700"/>
        <w:gridCol w:w="5760"/>
      </w:tblGrid>
      <w:tr w:rsidTr="00881D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958CF" w:rsidP="00B958CF">
            <w:pPr>
              <w:pStyle w:val="BodyText"/>
            </w:pPr>
            <w:r w:rsidRPr="00B958C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B958CF" w:rsidP="00B958CF">
            <w:pPr>
              <w:pStyle w:val="BodyText"/>
            </w:pPr>
            <w:r w:rsidRPr="00B958CF">
              <w:rPr>
                <w:rStyle w:val="SpecialBold"/>
              </w:rPr>
              <w:t>3</w:t>
            </w:r>
            <w:r w:rsidRPr="00B958CF">
              <w:t>)</w:t>
            </w:r>
          </w:p>
          <w:p w:rsidR="00000000" w:rsidRPr="00B958CF" w:rsidP="00B958CF">
            <w:pPr>
              <w:pStyle w:val="BodyText"/>
            </w:pPr>
            <w:r w:rsidRPr="00B958CF">
              <w:t>This unit contains Employability Skills</w:t>
            </w:r>
          </w:p>
          <w:p w:rsidR="00000000" w:rsidRPr="00B958CF" w:rsidP="00B958CF">
            <w:pPr>
              <w:pStyle w:val="BodyText"/>
            </w:pPr>
            <w:r w:rsidRPr="00B958CF">
              <w:t>The required outcomes described in this unit of competency contain applicable facets of Employability Skills. The Employability Skills Summary of the qualification in which this unit of competency is packaged will as</w:t>
            </w:r>
            <w:r w:rsidRPr="00B958CF">
              <w:t>sist in identifying Employability Skill requirements.</w:t>
            </w:r>
          </w:p>
        </w:tc>
      </w:tr>
    </w:tbl>
    <w:p w:rsidR="00881DB1" w:rsidP="00B958CF">
      <w:pPr>
        <w:pStyle w:val="BodyText"/>
      </w:pPr>
    </w:p>
    <w:p w:rsidR="00881DB1" w:rsidP="00B958CF">
      <w:pPr>
        <w:pStyle w:val="BodyText"/>
      </w:pPr>
    </w:p>
    <w:p w:rsidR="00000000" w:rsidRPr="00B958CF" w:rsidP="00B958CF">
      <w:pPr>
        <w:pStyle w:val="Heading1"/>
      </w:pPr>
      <w:bookmarkStart w:id="7" w:name="O_292856"/>
      <w:bookmarkEnd w:id="7"/>
      <w:r w:rsidRPr="00B958CF">
        <w:t>Elements and Performance Criteria Pre-Content</w:t>
      </w:r>
    </w:p>
    <w:tbl>
      <w:tblPr>
        <w:tblW w:w="0" w:type="auto"/>
        <w:tblLayout w:type="fixed"/>
        <w:tblCellMar>
          <w:left w:w="62" w:type="dxa"/>
          <w:right w:w="62" w:type="dxa"/>
        </w:tblCellMar>
        <w:tblLook w:val="0000"/>
      </w:tblPr>
      <w:tblGrid>
        <w:gridCol w:w="2552"/>
        <w:gridCol w:w="6239"/>
      </w:tblGrid>
      <w:tr w:rsidTr="00881DB1">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B958CF">
            <w:pPr>
              <w:pStyle w:val="BodyText"/>
              <w:rPr>
                <w:lang w:val="en-NZ"/>
              </w:rPr>
            </w:pPr>
            <w:r w:rsidRPr="00B958CF">
              <w:rPr>
                <w:rStyle w:val="SpecialBold"/>
              </w:rPr>
              <w:t>6</w:t>
            </w:r>
            <w:r w:rsidRPr="00B958CF">
              <w:t>) Elements describe the essential outcomes of a unit of competency</w:t>
            </w:r>
          </w:p>
        </w:tc>
        <w:tc>
          <w:tcPr>
            <w:tcW w:w="6239" w:type="dxa"/>
            <w:tcBorders>
              <w:top w:val="nil"/>
              <w:left w:val="nil"/>
              <w:bottom w:val="nil"/>
              <w:right w:val="nil"/>
            </w:tcBorders>
            <w:tcMar>
              <w:top w:w="0" w:type="dxa"/>
              <w:left w:w="62" w:type="dxa"/>
              <w:bottom w:w="0" w:type="dxa"/>
              <w:right w:w="62" w:type="dxa"/>
            </w:tcMar>
          </w:tcPr>
          <w:p w:rsidR="00000000" w:rsidRPr="00B958CF" w:rsidP="00B958CF">
            <w:pPr>
              <w:pStyle w:val="BodyText"/>
            </w:pPr>
            <w:r w:rsidRPr="00B958CF">
              <w:t>Performance criteria describe the required performance needed to demonstrate achievement of the Element. Assessment of performance is to be consistent with the evidence guide.</w:t>
            </w:r>
          </w:p>
        </w:tc>
      </w:tr>
    </w:tbl>
    <w:p w:rsidR="00000000" w:rsidRPr="00B958CF" w:rsidP="00B958CF">
      <w:pPr>
        <w:pStyle w:val="BodyText"/>
      </w:pPr>
    </w:p>
    <w:p w:rsidR="00000000" w:rsidRPr="00B958CF" w:rsidP="00B958CF">
      <w:pPr>
        <w:pStyle w:val="AllowPageBreak"/>
      </w:pPr>
    </w:p>
    <w:p w:rsidR="00000000" w:rsidRPr="00B958CF" w:rsidP="00B958CF">
      <w:pPr>
        <w:pStyle w:val="Heading1"/>
      </w:pPr>
      <w:bookmarkStart w:id="8" w:name="O_239524"/>
      <w:bookmarkEnd w:id="8"/>
      <w:r w:rsidRPr="00B958CF">
        <w:t>Elements and Performance Criteria</w:t>
      </w:r>
    </w:p>
    <w:tbl>
      <w:tblPr>
        <w:tblW w:w="0" w:type="auto"/>
        <w:tblLayout w:type="fixed"/>
        <w:tblCellMar>
          <w:left w:w="62" w:type="dxa"/>
          <w:right w:w="62" w:type="dxa"/>
        </w:tblCellMar>
        <w:tblLook w:val="0000"/>
      </w:tblPr>
      <w:tblGrid>
        <w:gridCol w:w="404"/>
        <w:gridCol w:w="2148"/>
        <w:gridCol w:w="900"/>
        <w:gridCol w:w="5339"/>
      </w:tblGrid>
      <w:tr w:rsidTr="00881DB1">
        <w:tblPrEx>
          <w:tblW w:w="0" w:type="auto"/>
          <w:tblLayout w:type="fixed"/>
          <w:tblCellMar>
            <w:left w:w="62" w:type="dxa"/>
            <w:right w:w="62" w:type="dxa"/>
          </w:tblCellMar>
          <w:tblLook w:val="0000"/>
        </w:tblPrEx>
        <w:trPr>
          <w:tblHeader/>
        </w:trPr>
        <w:tc>
          <w:tcPr>
            <w:tcW w:w="2552" w:type="dxa"/>
            <w:gridSpan w:val="2"/>
            <w:tcBorders>
              <w:top w:val="nil"/>
              <w:left w:val="nil"/>
              <w:bottom w:val="nil"/>
              <w:right w:val="nil"/>
            </w:tcBorders>
            <w:tcMar>
              <w:top w:w="0" w:type="dxa"/>
              <w:left w:w="62" w:type="dxa"/>
              <w:bottom w:w="0" w:type="dxa"/>
              <w:right w:w="62" w:type="dxa"/>
            </w:tcMar>
          </w:tcPr>
          <w:p w:rsidR="00000000" w:rsidRPr="00B958CF" w:rsidP="00B958CF">
            <w:pPr>
              <w:pStyle w:val="BodyText"/>
            </w:pPr>
            <w:r w:rsidRPr="00B958CF">
              <w:rPr>
                <w:rStyle w:val="SpecialBold"/>
              </w:rPr>
              <w:t>ELEMENT</w:t>
            </w:r>
          </w:p>
        </w:tc>
        <w:tc>
          <w:tcPr>
            <w:tcW w:w="6239" w:type="dxa"/>
            <w:gridSpan w:val="2"/>
            <w:tcBorders>
              <w:top w:val="nil"/>
              <w:left w:val="nil"/>
              <w:bottom w:val="nil"/>
              <w:right w:val="nil"/>
            </w:tcBorders>
            <w:tcMar>
              <w:top w:w="0" w:type="dxa"/>
              <w:left w:w="62" w:type="dxa"/>
              <w:bottom w:w="0" w:type="dxa"/>
              <w:right w:w="62" w:type="dxa"/>
            </w:tcMar>
          </w:tcPr>
          <w:p w:rsidR="00000000" w:rsidP="00B958CF">
            <w:pPr>
              <w:pStyle w:val="BodyText"/>
              <w:rPr>
                <w:lang w:val="en-NZ"/>
              </w:rPr>
            </w:pPr>
            <w:r w:rsidRPr="00B958CF">
              <w:rPr>
                <w:rStyle w:val="SpecialBold"/>
              </w:rPr>
              <w:t>PERFORMANCE CRITER</w:t>
            </w:r>
            <w:r w:rsidRPr="00B958CF">
              <w:rPr>
                <w:rStyle w:val="SpecialBold"/>
              </w:rPr>
              <w:t>IA</w:t>
            </w:r>
          </w:p>
        </w:tc>
      </w:tr>
      <w:tr w:rsidTr="00881D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958CF">
            <w:pPr>
              <w:pStyle w:val="BodyText"/>
              <w:rPr>
                <w:lang w:val="en-NZ"/>
              </w:rPr>
            </w:pPr>
            <w:r w:rsidRPr="00B958CF">
              <w:t>1</w:t>
            </w:r>
          </w:p>
        </w:tc>
        <w:tc>
          <w:tcPr>
            <w:tcW w:w="2148" w:type="dxa"/>
            <w:tcBorders>
              <w:top w:val="nil"/>
              <w:left w:val="nil"/>
              <w:bottom w:val="nil"/>
              <w:right w:val="nil"/>
            </w:tcBorders>
            <w:tcMar>
              <w:top w:w="0" w:type="dxa"/>
              <w:left w:w="62" w:type="dxa"/>
              <w:bottom w:w="0" w:type="dxa"/>
              <w:right w:w="62" w:type="dxa"/>
            </w:tcMar>
          </w:tcPr>
          <w:p w:rsidR="00000000" w:rsidP="00B958CF">
            <w:pPr>
              <w:pStyle w:val="BodyText"/>
              <w:rPr>
                <w:lang w:val="en-NZ"/>
              </w:rPr>
            </w:pPr>
            <w:r w:rsidRPr="00B958CF">
              <w:t>Prepare to program integrated system access control</w:t>
            </w:r>
          </w:p>
        </w:tc>
        <w:tc>
          <w:tcPr>
            <w:tcW w:w="900" w:type="dxa"/>
            <w:tcBorders>
              <w:top w:val="nil"/>
              <w:left w:val="nil"/>
              <w:bottom w:val="nil"/>
              <w:right w:val="nil"/>
            </w:tcBorders>
            <w:tcMar>
              <w:top w:w="0" w:type="dxa"/>
              <w:left w:w="62" w:type="dxa"/>
              <w:bottom w:w="0" w:type="dxa"/>
              <w:right w:w="62" w:type="dxa"/>
            </w:tcMar>
          </w:tcPr>
          <w:p w:rsidR="00000000" w:rsidP="00B958CF">
            <w:pPr>
              <w:pStyle w:val="BodyText"/>
              <w:rPr>
                <w:lang w:val="en-NZ"/>
              </w:rPr>
            </w:pPr>
            <w:r w:rsidRPr="00B958CF">
              <w:t>1.1</w:t>
            </w:r>
          </w:p>
        </w:tc>
        <w:tc>
          <w:tcPr>
            <w:tcW w:w="5339" w:type="dxa"/>
            <w:tcBorders>
              <w:top w:val="nil"/>
              <w:left w:val="nil"/>
              <w:bottom w:val="nil"/>
              <w:right w:val="nil"/>
            </w:tcBorders>
            <w:tcMar>
              <w:top w:w="0" w:type="dxa"/>
              <w:left w:w="62" w:type="dxa"/>
              <w:bottom w:w="0" w:type="dxa"/>
              <w:right w:w="62" w:type="dxa"/>
            </w:tcMar>
          </w:tcPr>
          <w:p w:rsidR="00000000" w:rsidP="00B958CF">
            <w:pPr>
              <w:pStyle w:val="BodyText"/>
              <w:rPr>
                <w:lang w:val="en-NZ"/>
              </w:rPr>
            </w:pPr>
            <w:r w:rsidRPr="00B958CF">
              <w:t>The functions of integrated system access is determined from the systems data base and customer requirements.</w:t>
            </w:r>
          </w:p>
        </w:tc>
      </w:tr>
      <w:tr w:rsidTr="00881D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58CF">
            <w:pPr>
              <w:pStyle w:val="BodyText"/>
              <w:rPr>
                <w:lang w:val="en-NZ"/>
              </w:rPr>
            </w:pPr>
            <w:r w:rsidRPr="00B958CF">
              <w:t>1.2</w:t>
            </w:r>
          </w:p>
        </w:tc>
        <w:tc>
          <w:tcPr>
            <w:tcW w:w="5339" w:type="dxa"/>
            <w:tcBorders>
              <w:top w:val="nil"/>
              <w:left w:val="nil"/>
              <w:bottom w:val="nil"/>
              <w:right w:val="nil"/>
            </w:tcBorders>
            <w:tcMar>
              <w:top w:w="0" w:type="dxa"/>
              <w:left w:w="62" w:type="dxa"/>
              <w:bottom w:w="0" w:type="dxa"/>
              <w:right w:w="62" w:type="dxa"/>
            </w:tcMar>
          </w:tcPr>
          <w:p w:rsidR="00000000" w:rsidP="00B958CF">
            <w:pPr>
              <w:pStyle w:val="BodyText"/>
              <w:rPr>
                <w:lang w:val="en-NZ"/>
              </w:rPr>
            </w:pPr>
            <w:r w:rsidRPr="00B958CF">
              <w:t>Control parameters are determined from the integrated systems data base and confirmed with the customer.</w:t>
            </w:r>
          </w:p>
        </w:tc>
      </w:tr>
      <w:tr w:rsidTr="00881D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58CF">
            <w:pPr>
              <w:pStyle w:val="BodyText"/>
              <w:rPr>
                <w:lang w:val="en-NZ"/>
              </w:rPr>
            </w:pPr>
            <w:r w:rsidRPr="00B958CF">
              <w:t>1.3</w:t>
            </w:r>
          </w:p>
        </w:tc>
        <w:tc>
          <w:tcPr>
            <w:tcW w:w="5339" w:type="dxa"/>
            <w:tcBorders>
              <w:top w:val="nil"/>
              <w:left w:val="nil"/>
              <w:bottom w:val="nil"/>
              <w:right w:val="nil"/>
            </w:tcBorders>
            <w:tcMar>
              <w:top w:w="0" w:type="dxa"/>
              <w:left w:w="62" w:type="dxa"/>
              <w:bottom w:w="0" w:type="dxa"/>
              <w:right w:w="62" w:type="dxa"/>
            </w:tcMar>
          </w:tcPr>
          <w:p w:rsidR="00000000" w:rsidP="00B958CF">
            <w:pPr>
              <w:pStyle w:val="BodyText"/>
              <w:rPr>
                <w:lang w:val="en-NZ"/>
              </w:rPr>
            </w:pPr>
            <w:r w:rsidRPr="00B958CF">
              <w:t>Programming software tools and project data are down loaded to a compatible PC and checked.</w:t>
            </w:r>
          </w:p>
        </w:tc>
      </w:tr>
      <w:tr w:rsidTr="00881D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58CF">
            <w:pPr>
              <w:pStyle w:val="BodyText"/>
              <w:rPr>
                <w:lang w:val="en-NZ"/>
              </w:rPr>
            </w:pPr>
            <w:r w:rsidRPr="00B958CF">
              <w:t>1.4</w:t>
            </w:r>
          </w:p>
        </w:tc>
        <w:tc>
          <w:tcPr>
            <w:tcW w:w="5339" w:type="dxa"/>
            <w:tcBorders>
              <w:top w:val="nil"/>
              <w:left w:val="nil"/>
              <w:bottom w:val="nil"/>
              <w:right w:val="nil"/>
            </w:tcBorders>
            <w:tcMar>
              <w:top w:w="0" w:type="dxa"/>
              <w:left w:w="62" w:type="dxa"/>
              <w:bottom w:w="0" w:type="dxa"/>
              <w:right w:w="62" w:type="dxa"/>
            </w:tcMar>
          </w:tcPr>
          <w:p w:rsidR="00000000" w:rsidP="00B958CF">
            <w:pPr>
              <w:pStyle w:val="BodyText"/>
              <w:rPr>
                <w:lang w:val="en-NZ"/>
              </w:rPr>
            </w:pPr>
            <w:r w:rsidRPr="00B958CF">
              <w:t>Manufacturer's instruction for installing and connecting internet connectivity equipment are read and understood.</w:t>
            </w:r>
          </w:p>
        </w:tc>
      </w:tr>
      <w:tr w:rsidTr="00881D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958CF">
            <w:pPr>
              <w:pStyle w:val="BodyText"/>
              <w:rPr>
                <w:lang w:val="en-NZ"/>
              </w:rPr>
            </w:pPr>
            <w:r w:rsidRPr="00B958CF">
              <w:t>2</w:t>
            </w:r>
          </w:p>
        </w:tc>
        <w:tc>
          <w:tcPr>
            <w:tcW w:w="2148" w:type="dxa"/>
            <w:tcBorders>
              <w:top w:val="nil"/>
              <w:left w:val="nil"/>
              <w:bottom w:val="nil"/>
              <w:right w:val="nil"/>
            </w:tcBorders>
            <w:tcMar>
              <w:top w:w="0" w:type="dxa"/>
              <w:left w:w="62" w:type="dxa"/>
              <w:bottom w:w="0" w:type="dxa"/>
              <w:right w:w="62" w:type="dxa"/>
            </w:tcMar>
          </w:tcPr>
          <w:p w:rsidR="00000000" w:rsidP="00B958CF">
            <w:pPr>
              <w:pStyle w:val="BodyText"/>
              <w:rPr>
                <w:lang w:val="en-NZ"/>
              </w:rPr>
            </w:pPr>
            <w:r w:rsidRPr="00B958CF">
              <w:t>Program integrated system access control</w:t>
            </w:r>
          </w:p>
        </w:tc>
        <w:tc>
          <w:tcPr>
            <w:tcW w:w="900" w:type="dxa"/>
            <w:tcBorders>
              <w:top w:val="nil"/>
              <w:left w:val="nil"/>
              <w:bottom w:val="nil"/>
              <w:right w:val="nil"/>
            </w:tcBorders>
            <w:tcMar>
              <w:top w:w="0" w:type="dxa"/>
              <w:left w:w="62" w:type="dxa"/>
              <w:bottom w:w="0" w:type="dxa"/>
              <w:right w:w="62" w:type="dxa"/>
            </w:tcMar>
          </w:tcPr>
          <w:p w:rsidR="00000000" w:rsidP="00B958CF">
            <w:pPr>
              <w:pStyle w:val="BodyText"/>
              <w:rPr>
                <w:lang w:val="en-NZ"/>
              </w:rPr>
            </w:pPr>
            <w:r w:rsidRPr="00B958CF">
              <w:t>2.1</w:t>
            </w:r>
          </w:p>
        </w:tc>
        <w:tc>
          <w:tcPr>
            <w:tcW w:w="5339" w:type="dxa"/>
            <w:tcBorders>
              <w:top w:val="nil"/>
              <w:left w:val="nil"/>
              <w:bottom w:val="nil"/>
              <w:right w:val="nil"/>
            </w:tcBorders>
            <w:tcMar>
              <w:top w:w="0" w:type="dxa"/>
              <w:left w:w="62" w:type="dxa"/>
              <w:bottom w:w="0" w:type="dxa"/>
              <w:right w:w="62" w:type="dxa"/>
            </w:tcMar>
          </w:tcPr>
          <w:p w:rsidR="00000000" w:rsidP="00B958CF">
            <w:pPr>
              <w:pStyle w:val="BodyText"/>
              <w:rPr>
                <w:lang w:val="en-NZ"/>
              </w:rPr>
            </w:pPr>
            <w:r w:rsidRPr="00B958CF">
              <w:t>OHS risk control work measures and procedures are followed.</w:t>
            </w:r>
          </w:p>
        </w:tc>
      </w:tr>
      <w:tr w:rsidTr="00881D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58CF">
            <w:pPr>
              <w:pStyle w:val="BodyText"/>
              <w:rPr>
                <w:lang w:val="en-NZ"/>
              </w:rPr>
            </w:pPr>
            <w:r w:rsidRPr="00B958CF">
              <w:t>2.2</w:t>
            </w:r>
          </w:p>
        </w:tc>
        <w:tc>
          <w:tcPr>
            <w:tcW w:w="5339" w:type="dxa"/>
            <w:tcBorders>
              <w:top w:val="nil"/>
              <w:left w:val="nil"/>
              <w:bottom w:val="nil"/>
              <w:right w:val="nil"/>
            </w:tcBorders>
            <w:tcMar>
              <w:top w:w="0" w:type="dxa"/>
              <w:left w:w="62" w:type="dxa"/>
              <w:bottom w:w="0" w:type="dxa"/>
              <w:right w:w="62" w:type="dxa"/>
            </w:tcMar>
          </w:tcPr>
          <w:p w:rsidR="00000000" w:rsidP="00B958CF">
            <w:pPr>
              <w:pStyle w:val="BodyText"/>
              <w:rPr>
                <w:lang w:val="en-NZ"/>
              </w:rPr>
            </w:pPr>
            <w:r w:rsidRPr="00B958CF">
              <w:t>Knowledge of integrated sys</w:t>
            </w:r>
            <w:r w:rsidRPr="00B958CF">
              <w:t>tem logic-based programming methods are used in programming access control.</w:t>
            </w:r>
          </w:p>
        </w:tc>
      </w:tr>
      <w:tr w:rsidTr="00881D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58CF">
            <w:pPr>
              <w:pStyle w:val="BodyText"/>
              <w:rPr>
                <w:lang w:val="en-NZ"/>
              </w:rPr>
            </w:pPr>
            <w:r w:rsidRPr="00B958CF">
              <w:t>2.3</w:t>
            </w:r>
          </w:p>
        </w:tc>
        <w:tc>
          <w:tcPr>
            <w:tcW w:w="5339" w:type="dxa"/>
            <w:tcBorders>
              <w:top w:val="nil"/>
              <w:left w:val="nil"/>
              <w:bottom w:val="nil"/>
              <w:right w:val="nil"/>
            </w:tcBorders>
            <w:tcMar>
              <w:top w:w="0" w:type="dxa"/>
              <w:left w:w="62" w:type="dxa"/>
              <w:bottom w:w="0" w:type="dxa"/>
              <w:right w:w="62" w:type="dxa"/>
            </w:tcMar>
          </w:tcPr>
          <w:p w:rsidR="00000000" w:rsidP="00B958CF">
            <w:pPr>
              <w:pStyle w:val="BodyText"/>
              <w:rPr>
                <w:lang w:val="en-NZ"/>
              </w:rPr>
            </w:pPr>
            <w:r w:rsidRPr="00B958CF">
              <w:t>Integrated system functions and parameters are programmed for compatibly with the integrated system and to customer requirements</w:t>
            </w:r>
          </w:p>
        </w:tc>
      </w:tr>
      <w:tr w:rsidTr="00881D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58CF">
            <w:pPr>
              <w:pStyle w:val="BodyText"/>
              <w:rPr>
                <w:lang w:val="en-NZ"/>
              </w:rPr>
            </w:pPr>
            <w:r w:rsidRPr="00B958CF">
              <w:t>2.4</w:t>
            </w:r>
          </w:p>
        </w:tc>
        <w:tc>
          <w:tcPr>
            <w:tcW w:w="5339" w:type="dxa"/>
            <w:tcBorders>
              <w:top w:val="nil"/>
              <w:left w:val="nil"/>
              <w:bottom w:val="nil"/>
              <w:right w:val="nil"/>
            </w:tcBorders>
            <w:tcMar>
              <w:top w:w="0" w:type="dxa"/>
              <w:left w:w="62" w:type="dxa"/>
              <w:bottom w:w="0" w:type="dxa"/>
              <w:right w:w="62" w:type="dxa"/>
            </w:tcMar>
          </w:tcPr>
          <w:p w:rsidR="00000000" w:rsidP="00B958CF">
            <w:pPr>
              <w:pStyle w:val="BodyText"/>
              <w:rPr>
                <w:lang w:val="en-NZ"/>
              </w:rPr>
            </w:pPr>
            <w:r w:rsidRPr="00B958CF">
              <w:t xml:space="preserve">Network connectivity is implemented in accordance with manufacturer's instruction and regulatory requirements. </w:t>
            </w:r>
          </w:p>
        </w:tc>
      </w:tr>
      <w:tr w:rsidTr="00881D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958CF">
            <w:pPr>
              <w:pStyle w:val="BodyText"/>
              <w:rPr>
                <w:lang w:val="en-NZ"/>
              </w:rPr>
            </w:pPr>
            <w:r w:rsidRPr="00B958CF">
              <w:t>3</w:t>
            </w:r>
          </w:p>
        </w:tc>
        <w:tc>
          <w:tcPr>
            <w:tcW w:w="2148" w:type="dxa"/>
            <w:vMerge w:val="restart"/>
            <w:tcBorders>
              <w:top w:val="nil"/>
              <w:left w:val="nil"/>
              <w:bottom w:val="nil"/>
              <w:right w:val="nil"/>
            </w:tcBorders>
            <w:tcMar>
              <w:top w:w="0" w:type="dxa"/>
              <w:left w:w="62" w:type="dxa"/>
              <w:bottom w:w="0" w:type="dxa"/>
              <w:right w:w="62" w:type="dxa"/>
            </w:tcMar>
          </w:tcPr>
          <w:p w:rsidR="00000000" w:rsidP="00B958CF">
            <w:pPr>
              <w:pStyle w:val="BodyText"/>
              <w:rPr>
                <w:lang w:val="en-NZ"/>
              </w:rPr>
            </w:pPr>
            <w:r w:rsidRPr="00B958CF">
              <w:t>Back up, transfer and test system access control</w:t>
            </w:r>
          </w:p>
        </w:tc>
        <w:tc>
          <w:tcPr>
            <w:tcW w:w="900" w:type="dxa"/>
            <w:tcBorders>
              <w:top w:val="nil"/>
              <w:left w:val="nil"/>
              <w:bottom w:val="nil"/>
              <w:right w:val="nil"/>
            </w:tcBorders>
            <w:tcMar>
              <w:top w:w="0" w:type="dxa"/>
              <w:left w:w="62" w:type="dxa"/>
              <w:bottom w:w="0" w:type="dxa"/>
              <w:right w:w="62" w:type="dxa"/>
            </w:tcMar>
          </w:tcPr>
          <w:p w:rsidR="00000000" w:rsidP="00B958CF">
            <w:pPr>
              <w:pStyle w:val="BodyText"/>
              <w:rPr>
                <w:lang w:val="en-NZ"/>
              </w:rPr>
            </w:pPr>
            <w:r w:rsidRPr="00B958CF">
              <w:t>3.1</w:t>
            </w:r>
          </w:p>
        </w:tc>
        <w:tc>
          <w:tcPr>
            <w:tcW w:w="5339" w:type="dxa"/>
            <w:tcBorders>
              <w:top w:val="nil"/>
              <w:left w:val="nil"/>
              <w:bottom w:val="nil"/>
              <w:right w:val="nil"/>
            </w:tcBorders>
            <w:tcMar>
              <w:top w:w="0" w:type="dxa"/>
              <w:left w:w="62" w:type="dxa"/>
              <w:bottom w:w="0" w:type="dxa"/>
              <w:right w:w="62" w:type="dxa"/>
            </w:tcMar>
          </w:tcPr>
          <w:p w:rsidR="00000000" w:rsidP="00B958CF">
            <w:pPr>
              <w:pStyle w:val="BodyText"/>
              <w:rPr>
                <w:lang w:val="en-NZ"/>
              </w:rPr>
            </w:pPr>
            <w:r w:rsidRPr="00B958CF">
              <w:t>OHS work completion risk control measures and procedures are followed.</w:t>
            </w:r>
          </w:p>
        </w:tc>
      </w:tr>
      <w:tr w:rsidTr="00881D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4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58CF">
            <w:pPr>
              <w:pStyle w:val="BodyText"/>
              <w:rPr>
                <w:lang w:val="en-NZ"/>
              </w:rPr>
            </w:pPr>
            <w:r w:rsidRPr="00B958CF">
              <w:t>3.2</w:t>
            </w:r>
          </w:p>
        </w:tc>
        <w:tc>
          <w:tcPr>
            <w:tcW w:w="5339" w:type="dxa"/>
            <w:tcBorders>
              <w:top w:val="nil"/>
              <w:left w:val="nil"/>
              <w:bottom w:val="nil"/>
              <w:right w:val="nil"/>
            </w:tcBorders>
            <w:tcMar>
              <w:top w:w="0" w:type="dxa"/>
              <w:left w:w="62" w:type="dxa"/>
              <w:bottom w:w="0" w:type="dxa"/>
              <w:right w:w="62" w:type="dxa"/>
            </w:tcMar>
          </w:tcPr>
          <w:p w:rsidR="00000000" w:rsidP="00B958CF">
            <w:pPr>
              <w:pStyle w:val="BodyText"/>
              <w:rPr>
                <w:lang w:val="en-NZ"/>
              </w:rPr>
            </w:pPr>
            <w:r w:rsidRPr="00B958CF">
              <w:t>Programmed</w:t>
            </w:r>
            <w:r w:rsidRPr="00B958CF">
              <w:t xml:space="preserve"> functions and parameters are backed up and transfer to the system following manufacturer's instructions. </w:t>
            </w:r>
          </w:p>
        </w:tc>
      </w:tr>
      <w:tr w:rsidTr="00881D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4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58CF">
            <w:pPr>
              <w:pStyle w:val="BodyText"/>
              <w:rPr>
                <w:lang w:val="en-NZ"/>
              </w:rPr>
            </w:pPr>
            <w:r w:rsidRPr="00B958CF">
              <w:t>3.3</w:t>
            </w:r>
          </w:p>
        </w:tc>
        <w:tc>
          <w:tcPr>
            <w:tcW w:w="5339" w:type="dxa"/>
            <w:tcBorders>
              <w:top w:val="nil"/>
              <w:left w:val="nil"/>
              <w:bottom w:val="nil"/>
              <w:right w:val="nil"/>
            </w:tcBorders>
            <w:tcMar>
              <w:top w:w="0" w:type="dxa"/>
              <w:left w:w="62" w:type="dxa"/>
              <w:bottom w:w="0" w:type="dxa"/>
              <w:right w:w="62" w:type="dxa"/>
            </w:tcMar>
          </w:tcPr>
          <w:p w:rsidR="00000000" w:rsidP="00B958CF">
            <w:pPr>
              <w:pStyle w:val="BodyText"/>
              <w:rPr>
                <w:lang w:val="en-NZ"/>
              </w:rPr>
            </w:pPr>
            <w:r w:rsidRPr="00B958CF">
              <w:t>System access tests are conducted to verify compatibility and compliance with the integrated system and customer requirements.</w:t>
            </w:r>
          </w:p>
        </w:tc>
      </w:tr>
      <w:tr w:rsidTr="00881D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58CF">
            <w:pPr>
              <w:pStyle w:val="BodyText"/>
              <w:rPr>
                <w:lang w:val="en-NZ"/>
              </w:rPr>
            </w:pPr>
            <w:r w:rsidRPr="00B958CF">
              <w:t>3.4</w:t>
            </w:r>
          </w:p>
        </w:tc>
        <w:tc>
          <w:tcPr>
            <w:tcW w:w="5339" w:type="dxa"/>
            <w:tcBorders>
              <w:top w:val="nil"/>
              <w:left w:val="nil"/>
              <w:bottom w:val="nil"/>
              <w:right w:val="nil"/>
            </w:tcBorders>
            <w:tcMar>
              <w:top w:w="0" w:type="dxa"/>
              <w:left w:w="62" w:type="dxa"/>
              <w:bottom w:w="0" w:type="dxa"/>
              <w:right w:w="62" w:type="dxa"/>
            </w:tcMar>
          </w:tcPr>
          <w:p w:rsidR="00000000" w:rsidP="00B958CF">
            <w:pPr>
              <w:pStyle w:val="BodyText"/>
              <w:rPr>
                <w:lang w:val="en-NZ"/>
              </w:rPr>
            </w:pPr>
            <w:r w:rsidRPr="00B958CF">
              <w:t>Non-compliance operations and anomalies are corrected to comply with manufacturer's and customer requirements.</w:t>
            </w:r>
          </w:p>
        </w:tc>
      </w:tr>
      <w:tr w:rsidTr="00881D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58CF">
            <w:pPr>
              <w:pStyle w:val="BodyText"/>
              <w:rPr>
                <w:lang w:val="en-NZ"/>
              </w:rPr>
            </w:pPr>
            <w:r w:rsidRPr="00B958CF">
              <w:t>3.5</w:t>
            </w:r>
          </w:p>
        </w:tc>
        <w:tc>
          <w:tcPr>
            <w:tcW w:w="5339" w:type="dxa"/>
            <w:tcBorders>
              <w:top w:val="nil"/>
              <w:left w:val="nil"/>
              <w:bottom w:val="nil"/>
              <w:right w:val="nil"/>
            </w:tcBorders>
            <w:tcMar>
              <w:top w:w="0" w:type="dxa"/>
              <w:left w:w="62" w:type="dxa"/>
              <w:bottom w:w="0" w:type="dxa"/>
              <w:right w:w="62" w:type="dxa"/>
            </w:tcMar>
          </w:tcPr>
          <w:p w:rsidR="00000000" w:rsidRPr="00B958CF" w:rsidP="00B958CF">
            <w:pPr>
              <w:pStyle w:val="BodyText"/>
            </w:pPr>
            <w:r w:rsidRPr="00B958CF">
              <w:t>A copy of the documentation of the as-programmed access specifications is given the client or client's representative.</w:t>
            </w:r>
          </w:p>
        </w:tc>
      </w:tr>
    </w:tbl>
    <w:p w:rsidR="00881DB1" w:rsidP="00B958CF">
      <w:pPr>
        <w:pStyle w:val="BodyText"/>
      </w:pPr>
    </w:p>
    <w:p w:rsidR="00881DB1" w:rsidP="00B958CF">
      <w:pPr>
        <w:pStyle w:val="BodyText"/>
      </w:pPr>
    </w:p>
    <w:p w:rsidR="00000000" w:rsidRPr="00B958CF" w:rsidP="00B958CF">
      <w:pPr>
        <w:pStyle w:val="Heading1"/>
      </w:pPr>
      <w:bookmarkStart w:id="9" w:name="O_263315"/>
      <w:bookmarkEnd w:id="9"/>
      <w:r w:rsidRPr="00B958CF">
        <w:t>Required Skills and Knowledge</w:t>
      </w:r>
    </w:p>
    <w:tbl>
      <w:tblPr>
        <w:tblW w:w="0" w:type="auto"/>
        <w:tblLayout w:type="fixed"/>
        <w:tblCellMar>
          <w:left w:w="62" w:type="dxa"/>
          <w:right w:w="62" w:type="dxa"/>
        </w:tblCellMar>
        <w:tblLook w:val="0000"/>
      </w:tblPr>
      <w:tblGrid>
        <w:gridCol w:w="2552"/>
        <w:gridCol w:w="1559"/>
        <w:gridCol w:w="4680"/>
      </w:tblGrid>
      <w:tr w:rsidTr="00881DB1">
        <w:tblPrEx>
          <w:tblW w:w="0" w:type="auto"/>
          <w:tblLayout w:type="fixed"/>
          <w:tblCellMar>
            <w:left w:w="62" w:type="dxa"/>
            <w:right w:w="62" w:type="dxa"/>
          </w:tblCellMar>
          <w:tblLook w:val="0000"/>
        </w:tblPrEx>
        <w:trPr>
          <w:tblHeader/>
        </w:trPr>
        <w:tc>
          <w:tcPr>
            <w:tcW w:w="8791" w:type="dxa"/>
            <w:gridSpan w:val="3"/>
            <w:tcBorders>
              <w:top w:val="nil"/>
              <w:left w:val="nil"/>
              <w:bottom w:val="nil"/>
              <w:right w:val="nil"/>
            </w:tcBorders>
            <w:tcMar>
              <w:top w:w="0" w:type="dxa"/>
              <w:left w:w="62" w:type="dxa"/>
              <w:bottom w:w="0" w:type="dxa"/>
              <w:right w:w="62" w:type="dxa"/>
            </w:tcMar>
          </w:tcPr>
          <w:p w:rsidR="00000000" w:rsidP="00B958CF">
            <w:pPr>
              <w:pStyle w:val="BodyText"/>
              <w:rPr>
                <w:lang w:val="en-NZ"/>
              </w:rPr>
            </w:pPr>
            <w:r w:rsidRPr="00B958CF">
              <w:rPr>
                <w:rStyle w:val="SpecialBold"/>
              </w:rPr>
              <w:t>REQUIRED SKILLS AND KNOWLEDGE</w:t>
            </w:r>
          </w:p>
        </w:tc>
      </w:tr>
      <w:tr w:rsidTr="00881DB1">
        <w:tblPrEx>
          <w:tblW w:w="0" w:type="auto"/>
          <w:tblLayout w:type="fixed"/>
          <w:tblCellMar>
            <w:left w:w="62" w:type="dxa"/>
            <w:right w:w="62" w:type="dxa"/>
          </w:tblCellMar>
          <w:tblLook w:val="0000"/>
        </w:tblPrEx>
        <w:tc>
          <w:tcPr>
            <w:tcW w:w="8791" w:type="dxa"/>
            <w:gridSpan w:val="3"/>
            <w:tcBorders>
              <w:top w:val="nil"/>
              <w:left w:val="nil"/>
              <w:bottom w:val="nil"/>
              <w:right w:val="nil"/>
            </w:tcBorders>
            <w:tcMar>
              <w:top w:w="0" w:type="dxa"/>
              <w:left w:w="62" w:type="dxa"/>
              <w:bottom w:w="0" w:type="dxa"/>
              <w:right w:w="62" w:type="dxa"/>
            </w:tcMar>
          </w:tcPr>
          <w:p w:rsidR="00000000" w:rsidP="00B958CF">
            <w:pPr>
              <w:pStyle w:val="BodyText"/>
              <w:rPr>
                <w:lang w:val="en-NZ"/>
              </w:rPr>
            </w:pPr>
            <w:r w:rsidRPr="00B958CF">
              <w:rPr>
                <w:rStyle w:val="SpecialBold"/>
              </w:rPr>
              <w:t>7</w:t>
            </w:r>
            <w:r w:rsidRPr="00B958CF">
              <w:t>) This describes the essential skills and knowledge and their level, required for this unit.</w:t>
            </w:r>
          </w:p>
        </w:tc>
      </w:tr>
      <w:tr w:rsidTr="00881DB1">
        <w:tblPrEx>
          <w:tblW w:w="0" w:type="auto"/>
          <w:tblLayout w:type="fixed"/>
          <w:tblCellMar>
            <w:left w:w="62" w:type="dxa"/>
            <w:right w:w="62" w:type="dxa"/>
          </w:tblCellMar>
          <w:tblLook w:val="0000"/>
        </w:tblPrEx>
        <w:tc>
          <w:tcPr>
            <w:tcW w:w="8791" w:type="dxa"/>
            <w:gridSpan w:val="3"/>
            <w:tcBorders>
              <w:top w:val="nil"/>
              <w:left w:val="nil"/>
              <w:bottom w:val="nil"/>
              <w:right w:val="nil"/>
            </w:tcBorders>
            <w:tcMar>
              <w:top w:w="0" w:type="dxa"/>
              <w:left w:w="62" w:type="dxa"/>
              <w:bottom w:w="0" w:type="dxa"/>
              <w:right w:w="62" w:type="dxa"/>
            </w:tcMar>
          </w:tcPr>
          <w:p w:rsidR="00000000" w:rsidRPr="00B958CF" w:rsidP="00B958CF">
            <w:pPr>
              <w:pStyle w:val="BodyText"/>
            </w:pPr>
            <w:r w:rsidRPr="00B958CF">
              <w:t>Evidence shall show that knowledge and associated skills for developing access control of integrated systems using logic-based programming tools have been acquired.</w:t>
            </w:r>
          </w:p>
          <w:p w:rsidR="00000000" w:rsidRPr="00B958CF" w:rsidP="00B958CF">
            <w:pPr>
              <w:pStyle w:val="BodyText"/>
            </w:pPr>
            <w:r w:rsidRPr="00B958CF">
              <w:t>All knowledge and skills detailed in this unit should be contextualised to current industry</w:t>
            </w:r>
            <w:r w:rsidRPr="00B958CF">
              <w:t xml:space="preserve"> practices and technologies.</w:t>
            </w:r>
          </w:p>
          <w:p w:rsidR="00000000" w:rsidP="00B958CF">
            <w:pPr>
              <w:pStyle w:val="BodyText"/>
              <w:rPr>
                <w:lang w:val="en-NZ"/>
              </w:rPr>
            </w:pPr>
            <w:r w:rsidRPr="00B958CF">
              <w:t>The extent of the essential knowledge and associated skills (EKAS) required is given in Volume 2 - Part 2.2 EKAS.  It forms an integral part of this unit.</w:t>
            </w:r>
          </w:p>
        </w:tc>
      </w:tr>
      <w:tr w:rsidTr="00881DB1">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9" w:type="dxa"/>
            <w:tcBorders>
              <w:top w:val="nil"/>
              <w:left w:val="nil"/>
              <w:bottom w:val="nil"/>
              <w:right w:val="nil"/>
            </w:tcBorders>
            <w:tcMar>
              <w:top w:w="0" w:type="dxa"/>
              <w:left w:w="62" w:type="dxa"/>
              <w:bottom w:w="0" w:type="dxa"/>
              <w:right w:w="62" w:type="dxa"/>
            </w:tcMar>
          </w:tcPr>
          <w:p w:rsidR="00000000" w:rsidP="00B958CF">
            <w:pPr>
              <w:pStyle w:val="BodyText"/>
              <w:rPr>
                <w:lang w:val="en-NZ"/>
              </w:rPr>
            </w:pPr>
            <w:r w:rsidRPr="00B958CF">
              <w:t>KS01-EI043A</w:t>
            </w:r>
          </w:p>
        </w:tc>
        <w:tc>
          <w:tcPr>
            <w:tcW w:w="4680" w:type="dxa"/>
            <w:tcBorders>
              <w:top w:val="nil"/>
              <w:left w:val="nil"/>
              <w:bottom w:val="nil"/>
              <w:right w:val="nil"/>
            </w:tcBorders>
            <w:tcMar>
              <w:top w:w="0" w:type="dxa"/>
              <w:left w:w="62" w:type="dxa"/>
              <w:bottom w:w="0" w:type="dxa"/>
              <w:right w:w="62" w:type="dxa"/>
            </w:tcMar>
          </w:tcPr>
          <w:p w:rsidR="00000000" w:rsidRPr="00B958CF" w:rsidP="00B958CF">
            <w:pPr>
              <w:pStyle w:val="BodyText"/>
            </w:pPr>
            <w:r w:rsidRPr="00B958CF">
              <w:t>Logic-based programming for integrated systems</w:t>
            </w:r>
          </w:p>
        </w:tc>
      </w:tr>
    </w:tbl>
    <w:p w:rsidR="00881DB1" w:rsidP="00B958CF">
      <w:pPr>
        <w:pStyle w:val="BodyText"/>
      </w:pPr>
    </w:p>
    <w:p w:rsidR="00881DB1" w:rsidP="00B958CF">
      <w:pPr>
        <w:pStyle w:val="BodyText"/>
      </w:pPr>
    </w:p>
    <w:p w:rsidR="00000000" w:rsidRPr="00B958CF" w:rsidP="00B958CF">
      <w:pPr>
        <w:pStyle w:val="Heading1"/>
      </w:pPr>
      <w:bookmarkStart w:id="10" w:name="O_247508"/>
      <w:bookmarkEnd w:id="10"/>
      <w:r w:rsidRPr="00B958CF">
        <w:t>Evidence Guide</w:t>
      </w:r>
    </w:p>
    <w:tbl>
      <w:tblPr>
        <w:tblW w:w="0" w:type="auto"/>
        <w:tblLayout w:type="fixed"/>
        <w:tblCellMar>
          <w:left w:w="62" w:type="dxa"/>
          <w:right w:w="62" w:type="dxa"/>
        </w:tblCellMar>
        <w:tblLook w:val="0000"/>
      </w:tblPr>
      <w:tblGrid>
        <w:gridCol w:w="2160"/>
        <w:gridCol w:w="572"/>
        <w:gridCol w:w="540"/>
        <w:gridCol w:w="5519"/>
      </w:tblGrid>
      <w:tr w:rsidTr="00881DB1">
        <w:tblPrEx>
          <w:tblW w:w="0" w:type="auto"/>
          <w:tblLayout w:type="fixed"/>
          <w:tblCellMar>
            <w:left w:w="62" w:type="dxa"/>
            <w:right w:w="62" w:type="dxa"/>
          </w:tblCellMar>
          <w:tblLook w:val="0000"/>
        </w:tblPrEx>
        <w:trPr>
          <w:tblHeader/>
        </w:trPr>
        <w:tc>
          <w:tcPr>
            <w:tcW w:w="8791" w:type="dxa"/>
            <w:gridSpan w:val="4"/>
            <w:tcBorders>
              <w:top w:val="nil"/>
              <w:left w:val="nil"/>
              <w:bottom w:val="nil"/>
              <w:right w:val="nil"/>
            </w:tcBorders>
            <w:tcMar>
              <w:top w:w="0" w:type="dxa"/>
              <w:left w:w="62" w:type="dxa"/>
              <w:bottom w:w="0" w:type="dxa"/>
              <w:right w:w="62" w:type="dxa"/>
            </w:tcMar>
          </w:tcPr>
          <w:p w:rsidR="00000000" w:rsidP="00B958CF">
            <w:pPr>
              <w:pStyle w:val="BodyText"/>
              <w:rPr>
                <w:lang w:val="en-NZ"/>
              </w:rPr>
            </w:pPr>
            <w:r w:rsidRPr="00B958CF">
              <w:rPr>
                <w:rStyle w:val="SpecialBold"/>
              </w:rPr>
              <w:t>EVIDENCE GUIDE</w:t>
            </w:r>
          </w:p>
        </w:tc>
      </w:tr>
      <w:tr w:rsidTr="00881DB1">
        <w:tblPrEx>
          <w:tblW w:w="0" w:type="auto"/>
          <w:tblLayout w:type="fixed"/>
          <w:tblCellMar>
            <w:left w:w="62" w:type="dxa"/>
            <w:right w:w="62" w:type="dxa"/>
          </w:tblCellMar>
          <w:tblLook w:val="0000"/>
        </w:tblPrEx>
        <w:tc>
          <w:tcPr>
            <w:tcW w:w="8791" w:type="dxa"/>
            <w:gridSpan w:val="4"/>
            <w:tcBorders>
              <w:top w:val="nil"/>
              <w:left w:val="nil"/>
              <w:bottom w:val="nil"/>
              <w:right w:val="nil"/>
            </w:tcBorders>
            <w:tcMar>
              <w:top w:w="0" w:type="dxa"/>
              <w:left w:w="62" w:type="dxa"/>
              <w:bottom w:w="0" w:type="dxa"/>
              <w:right w:w="62" w:type="dxa"/>
            </w:tcMar>
          </w:tcPr>
          <w:p w:rsidR="00000000" w:rsidRPr="00B958CF" w:rsidP="00B958CF">
            <w:pPr>
              <w:pStyle w:val="BodyText"/>
            </w:pPr>
            <w:r w:rsidRPr="00B958CF">
              <w:rPr>
                <w:rStyle w:val="SpecialBold"/>
              </w:rPr>
              <w:t>9</w:t>
            </w:r>
            <w:r w:rsidRPr="00B958CF">
              <w:t xml:space="preserve">) The evidence guide provides advice on assessment and must be read in conjunction with the Performance </w:t>
            </w:r>
            <w:r w:rsidRPr="00B958CF">
              <w:t>Criteria, Required Skills and Knowledge, the Range Statement and the Assessment Guidelines for this Training Package.</w:t>
            </w:r>
          </w:p>
          <w:p w:rsidR="00000000" w:rsidP="00B958CF">
            <w:pPr>
              <w:pStyle w:val="BodyText"/>
              <w:rPr>
                <w:lang w:val="en-NZ"/>
              </w:rPr>
            </w:pPr>
            <w:r w:rsidRPr="00B958CF">
              <w:t>The Evidence Guide forms an integral part of this unit. It must be used in conjunction with all parts of the unit and performed in accorda</w:t>
            </w:r>
            <w:r w:rsidRPr="00B958CF">
              <w:t>nce with the Assessment Guidelines of this Training Package.</w:t>
            </w:r>
          </w:p>
        </w:tc>
      </w:tr>
      <w:tr w:rsidTr="00881DB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958CF" w:rsidP="00B958CF">
            <w:pPr>
              <w:pStyle w:val="BodyText"/>
            </w:pPr>
            <w:r w:rsidRPr="00B958CF">
              <w:rPr>
                <w:rStyle w:val="SpecialBold"/>
              </w:rPr>
              <w:t>Overview of Assessment</w:t>
            </w:r>
          </w:p>
        </w:tc>
        <w:tc>
          <w:tcPr>
            <w:tcW w:w="6631" w:type="dxa"/>
            <w:gridSpan w:val="3"/>
            <w:tcBorders>
              <w:top w:val="nil"/>
              <w:left w:val="nil"/>
              <w:bottom w:val="nil"/>
              <w:right w:val="nil"/>
            </w:tcBorders>
            <w:tcMar>
              <w:top w:w="0" w:type="dxa"/>
              <w:left w:w="62" w:type="dxa"/>
              <w:bottom w:w="0" w:type="dxa"/>
              <w:right w:w="62" w:type="dxa"/>
            </w:tcMar>
          </w:tcPr>
          <w:p w:rsidR="00000000" w:rsidRPr="00B958CF" w:rsidP="00B958CF">
            <w:pPr>
              <w:pStyle w:val="BodyText"/>
            </w:pPr>
            <w:r w:rsidRPr="00B958CF">
              <w:rPr>
                <w:rStyle w:val="SpecialBold"/>
              </w:rPr>
              <w:t>9</w:t>
            </w:r>
            <w:r w:rsidRPr="00B958CF">
              <w:t>.</w:t>
            </w:r>
            <w:r w:rsidRPr="00B958CF">
              <w:rPr>
                <w:rStyle w:val="SpecialBold"/>
              </w:rPr>
              <w:t>1</w:t>
            </w:r>
            <w:r w:rsidRPr="00B958CF">
              <w:t xml:space="preserve">) </w:t>
            </w:r>
          </w:p>
          <w:p w:rsidR="00000000" w:rsidRPr="00B958CF" w:rsidP="00B958CF">
            <w:pPr>
              <w:pStyle w:val="BodyText"/>
            </w:pPr>
            <w:r w:rsidRPr="00B958CF">
              <w:t>Longitudinal competency development approaches to assessment, such as Profiling, require data to be reliably gathered in a form that can be consistently interpret</w:t>
            </w:r>
            <w:r w:rsidRPr="00B958CF">
              <w:t xml:space="preserve">ed over time. This approach is best utilised in Apprenticeship programs and reduces assessment intervention. It is the industry-preferred model for apprenticeships. However, where summative (or final) assessment is used it is to include the application of </w:t>
            </w:r>
            <w:r w:rsidRPr="00B958CF">
              <w:t>the competency in the normal work environment or, at a minimum, the application of the competency in a realistically simulated work environment. It is recognised that, in some circumstances, assessment in part or full can occur outside the workplace. Howev</w:t>
            </w:r>
            <w:r w:rsidRPr="00B958CF">
              <w:t>er, it must be in accordance with industry and regulatory policy.</w:t>
            </w:r>
          </w:p>
          <w:p w:rsidR="00000000" w:rsidRPr="00B958CF" w:rsidP="00B958CF">
            <w:pPr>
              <w:pStyle w:val="BodyText"/>
            </w:pPr>
            <w:r w:rsidRPr="00B958CF">
              <w:t>Methods chosen for a particular assessment will be influenced by various factors. These include the extent of the assessment, the most effective locations for the assessment activities to ta</w:t>
            </w:r>
            <w:r w:rsidRPr="00B958CF">
              <w:t>ke place, access to physical resources, additional safety measures that may be required and the critical nature of the competencies being assessed.</w:t>
            </w:r>
          </w:p>
          <w:p w:rsidR="00000000" w:rsidRPr="00B958CF" w:rsidP="00B958CF">
            <w:pPr>
              <w:pStyle w:val="BodyText"/>
            </w:pPr>
            <w:r w:rsidRPr="00B958CF">
              <w:t>The critical safety nature of working with electricity, electrical equipment, gas or any other hazardous sub</w:t>
            </w:r>
            <w:r w:rsidRPr="00B958CF">
              <w:t>stance/material carries risk in deeming a person competent. Sources of evidence need to be 'rich' in nature to minimise error in judgment.</w:t>
            </w:r>
          </w:p>
          <w:p w:rsidR="00000000" w:rsidP="00B958CF">
            <w:pPr>
              <w:pStyle w:val="BodyText"/>
              <w:rPr>
                <w:lang w:val="en-NZ"/>
              </w:rPr>
            </w:pPr>
            <w:r w:rsidRPr="00B958CF">
              <w:t>Activities associated with normal everyday work have a bearing on the decision as to how much and how detailed the da</w:t>
            </w:r>
            <w:r w:rsidRPr="00B958CF">
              <w:t>ta gathered will contribute to its 'richness'. Some skills are more critical to safety and operational requirements while the same skills may be more or less frequently practised. These points are raised for the assessors to consider when choosing an asses</w:t>
            </w:r>
            <w:r w:rsidRPr="00B958CF">
              <w:t>sment method and developing assessment instruments. Sample assessment instruments are included for Assessors in the Assessment Guidelines of this Training Package.</w:t>
            </w:r>
          </w:p>
        </w:tc>
      </w:tr>
      <w:tr w:rsidTr="00881DB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958CF" w:rsidP="00B958CF">
            <w:pPr>
              <w:pStyle w:val="BodyText"/>
            </w:pPr>
            <w:r w:rsidRPr="00B958CF">
              <w:rPr>
                <w:rStyle w:val="SpecialBold"/>
              </w:rPr>
              <w:t xml:space="preserve">Critical aspects of evidence required to demonstrate competency </w:t>
            </w:r>
            <w:r w:rsidRPr="00B958CF">
              <w:rPr>
                <w:rStyle w:val="SpecialBold"/>
              </w:rPr>
              <w:t>in this unit</w:t>
            </w:r>
          </w:p>
        </w:tc>
        <w:tc>
          <w:tcPr>
            <w:tcW w:w="6631" w:type="dxa"/>
            <w:gridSpan w:val="3"/>
            <w:tcBorders>
              <w:top w:val="nil"/>
              <w:left w:val="nil"/>
              <w:bottom w:val="nil"/>
              <w:right w:val="nil"/>
            </w:tcBorders>
            <w:tcMar>
              <w:top w:w="0" w:type="dxa"/>
              <w:left w:w="62" w:type="dxa"/>
              <w:bottom w:w="0" w:type="dxa"/>
              <w:right w:w="62" w:type="dxa"/>
            </w:tcMar>
          </w:tcPr>
          <w:p w:rsidR="00000000" w:rsidRPr="00B958CF" w:rsidP="00B958CF">
            <w:pPr>
              <w:pStyle w:val="BodyText"/>
            </w:pPr>
            <w:r w:rsidRPr="00B958CF">
              <w:rPr>
                <w:rStyle w:val="SpecialBold"/>
              </w:rPr>
              <w:t>9</w:t>
            </w:r>
            <w:r w:rsidRPr="00B958CF">
              <w:t>.</w:t>
            </w:r>
            <w:r w:rsidRPr="00B958CF">
              <w:rPr>
                <w:rStyle w:val="SpecialBold"/>
              </w:rPr>
              <w:t>2</w:t>
            </w:r>
            <w:r w:rsidRPr="00B958CF">
              <w:t xml:space="preserve">) </w:t>
            </w:r>
          </w:p>
          <w:p w:rsidR="00000000" w:rsidP="00B958CF">
            <w:pPr>
              <w:pStyle w:val="BodyText"/>
              <w:rPr>
                <w:lang w:val="en-NZ"/>
              </w:rPr>
            </w:pPr>
            <w:r w:rsidRPr="00B958CF">
              <w:t>Before the critical aspects of evidence are considered all prerequisites must be met.</w:t>
            </w:r>
          </w:p>
        </w:tc>
      </w:tr>
      <w:tr w:rsidTr="00881DB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31" w:type="dxa"/>
            <w:gridSpan w:val="3"/>
            <w:tcBorders>
              <w:top w:val="nil"/>
              <w:left w:val="nil"/>
              <w:bottom w:val="nil"/>
              <w:right w:val="nil"/>
            </w:tcBorders>
            <w:tcMar>
              <w:top w:w="0" w:type="dxa"/>
              <w:left w:w="62" w:type="dxa"/>
              <w:bottom w:w="0" w:type="dxa"/>
              <w:right w:w="62" w:type="dxa"/>
            </w:tcMar>
          </w:tcPr>
          <w:p w:rsidR="00000000" w:rsidRPr="00B958CF" w:rsidP="00B958CF">
            <w:pPr>
              <w:pStyle w:val="BodyText"/>
            </w:pPr>
            <w:r w:rsidRPr="00B958CF">
              <w:t>Evidence for competence in this unit shall be considered holistically.  Each element and associated performance criteria shall be demonstrated on at least two occasio</w:t>
            </w:r>
            <w:r w:rsidRPr="00B958CF">
              <w:t>ns in accordance with the 'Assessment Guidelines - UEE07'.  Evidence shall also comprise:</w:t>
            </w:r>
          </w:p>
          <w:p w:rsidR="00000000" w:rsidP="00B958CF">
            <w:pPr>
              <w:pStyle w:val="ListBullet"/>
              <w:rPr>
                <w:lang w:val="en-NZ"/>
              </w:rPr>
            </w:pPr>
            <w:r w:rsidRPr="00B958CF">
              <w:t>A representative body of performance criteria demonstrated within the timeframes typically expected of the discipline, work function and industrial environment. In pa</w:t>
            </w:r>
            <w:r w:rsidRPr="00B958CF">
              <w:t>rticular this shall incorporate evidence that shows a candidate is able to:</w:t>
            </w:r>
          </w:p>
        </w:tc>
      </w:tr>
      <w:tr w:rsidTr="00881DB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958CF">
            <w:pPr>
              <w:pStyle w:val="BodyText"/>
              <w:rPr>
                <w:lang w:val="en-NZ"/>
              </w:rPr>
            </w:pPr>
          </w:p>
        </w:tc>
        <w:tc>
          <w:tcPr>
            <w:tcW w:w="6631" w:type="dxa"/>
            <w:gridSpan w:val="3"/>
            <w:tcBorders>
              <w:top w:val="nil"/>
              <w:left w:val="nil"/>
              <w:bottom w:val="nil"/>
              <w:right w:val="nil"/>
            </w:tcBorders>
            <w:tcMar>
              <w:top w:w="0" w:type="dxa"/>
              <w:left w:w="62" w:type="dxa"/>
              <w:bottom w:w="0" w:type="dxa"/>
              <w:right w:w="62" w:type="dxa"/>
            </w:tcMar>
          </w:tcPr>
          <w:p w:rsidR="00000000" w:rsidRPr="00B958CF" w:rsidP="00B958CF">
            <w:pPr>
              <w:pStyle w:val="ListBullet2"/>
            </w:pPr>
            <w:r w:rsidRPr="00B958CF">
              <w:t xml:space="preserve">Implement Occupational Health and Safety workplace procedures and practices, including </w:t>
            </w:r>
            <w:r w:rsidRPr="00B958CF">
              <w:t>the use of risk control measures as specified in the performance criteria and range statement</w:t>
            </w:r>
          </w:p>
          <w:p w:rsidR="00000000" w:rsidRPr="00B958CF" w:rsidP="00B958CF">
            <w:pPr>
              <w:pStyle w:val="ListBullet2"/>
            </w:pPr>
            <w:r w:rsidRPr="00B958CF">
              <w:t>Apply sustainable energy principles and practices as specified in the performance criteria and range statement</w:t>
            </w:r>
          </w:p>
          <w:p w:rsidR="00000000" w:rsidRPr="00B958CF" w:rsidP="00B958CF">
            <w:pPr>
              <w:pStyle w:val="ListBullet2"/>
            </w:pPr>
            <w:r w:rsidRPr="00B958CF">
              <w:t>Demonstrate an understanding of the essential knowl</w:t>
            </w:r>
            <w:r w:rsidRPr="00B958CF">
              <w:t xml:space="preserve">edge and associated skills as described in this unit.  It may be required by some jurisdictions that RTOs provide a percentile graded result for the purpose of regulatory or licensing requirements.   </w:t>
            </w:r>
          </w:p>
          <w:p w:rsidR="00000000" w:rsidRPr="00B958CF" w:rsidP="00B958CF">
            <w:pPr>
              <w:pStyle w:val="ListBullet2"/>
            </w:pPr>
            <w:r w:rsidRPr="00B958CF">
              <w:t>Demonstrate an appropriate level of skills enabling emp</w:t>
            </w:r>
            <w:r w:rsidRPr="00B958CF">
              <w:t>loyment</w:t>
            </w:r>
          </w:p>
          <w:p w:rsidR="00000000" w:rsidP="00B958CF">
            <w:pPr>
              <w:pStyle w:val="ListBullet2"/>
              <w:rPr>
                <w:lang w:val="en-NZ"/>
              </w:rPr>
            </w:pPr>
            <w:r w:rsidRPr="00B958CF">
              <w:t>Conduct work observing the relevant Anti Discrimination legislation, regulations, polices and workplace procedures</w:t>
            </w:r>
          </w:p>
        </w:tc>
      </w:tr>
      <w:tr w:rsidTr="00881DB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958CF">
            <w:pPr>
              <w:pStyle w:val="BodyText"/>
              <w:rPr>
                <w:lang w:val="en-NZ"/>
              </w:rPr>
            </w:pPr>
          </w:p>
        </w:tc>
        <w:tc>
          <w:tcPr>
            <w:tcW w:w="6631" w:type="dxa"/>
            <w:gridSpan w:val="3"/>
            <w:tcBorders>
              <w:top w:val="nil"/>
              <w:left w:val="nil"/>
              <w:bottom w:val="nil"/>
              <w:right w:val="nil"/>
            </w:tcBorders>
            <w:tcMar>
              <w:top w:w="0" w:type="dxa"/>
              <w:left w:w="62" w:type="dxa"/>
              <w:bottom w:w="0" w:type="dxa"/>
              <w:right w:w="62" w:type="dxa"/>
            </w:tcMar>
          </w:tcPr>
          <w:p w:rsidR="00000000" w:rsidP="00B958CF">
            <w:pPr>
              <w:pStyle w:val="ListBullet"/>
              <w:rPr>
                <w:lang w:val="en-NZ"/>
              </w:rPr>
            </w:pPr>
            <w:r w:rsidRPr="00B958CF">
              <w:t>Demonstrated consistent performance across a representative range of contexts from the prescribed items below:</w:t>
            </w:r>
          </w:p>
        </w:tc>
      </w:tr>
      <w:tr w:rsidTr="00881DB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958CF">
            <w:pPr>
              <w:pStyle w:val="BodyText"/>
              <w:rPr>
                <w:lang w:val="en-NZ"/>
              </w:rPr>
            </w:pPr>
          </w:p>
        </w:tc>
        <w:tc>
          <w:tcPr>
            <w:tcW w:w="6631" w:type="dxa"/>
            <w:gridSpan w:val="3"/>
            <w:tcBorders>
              <w:top w:val="nil"/>
              <w:left w:val="nil"/>
              <w:bottom w:val="nil"/>
              <w:right w:val="nil"/>
            </w:tcBorders>
            <w:tcMar>
              <w:top w:w="0" w:type="dxa"/>
              <w:left w:w="62" w:type="dxa"/>
              <w:bottom w:w="0" w:type="dxa"/>
              <w:right w:w="62" w:type="dxa"/>
            </w:tcMar>
          </w:tcPr>
          <w:p w:rsidR="00000000" w:rsidP="00B958CF">
            <w:pPr>
              <w:pStyle w:val="ListBullet2"/>
              <w:rPr>
                <w:lang w:val="en-NZ"/>
              </w:rPr>
            </w:pPr>
            <w:r w:rsidRPr="00B958CF">
              <w:t>Programming integrated system controllers using logic-based programming tools  as described in 8) and including:</w:t>
            </w:r>
          </w:p>
        </w:tc>
      </w:tr>
      <w:tr w:rsidTr="00881DB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958CF">
            <w:pPr>
              <w:pStyle w:val="BodyText"/>
              <w:rPr>
                <w:lang w:val="en-NZ"/>
              </w:rPr>
            </w:pPr>
            <w:r w:rsidRPr="00B958CF">
              <w:t>A</w:t>
            </w:r>
          </w:p>
        </w:tc>
        <w:tc>
          <w:tcPr>
            <w:tcW w:w="5519" w:type="dxa"/>
            <w:tcBorders>
              <w:top w:val="nil"/>
              <w:left w:val="nil"/>
              <w:bottom w:val="nil"/>
              <w:right w:val="nil"/>
            </w:tcBorders>
            <w:tcMar>
              <w:top w:w="0" w:type="dxa"/>
              <w:left w:w="62" w:type="dxa"/>
              <w:bottom w:w="0" w:type="dxa"/>
              <w:right w:w="62" w:type="dxa"/>
            </w:tcMar>
          </w:tcPr>
          <w:p w:rsidR="00000000" w:rsidP="00B958CF">
            <w:pPr>
              <w:pStyle w:val="BodyText"/>
              <w:rPr>
                <w:lang w:val="en-NZ"/>
              </w:rPr>
            </w:pPr>
            <w:r w:rsidRPr="00B958CF">
              <w:t xml:space="preserve">Determining the functions and parameters of the integrated system </w:t>
            </w:r>
          </w:p>
        </w:tc>
      </w:tr>
      <w:tr w:rsidTr="00881DB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958CF">
            <w:pPr>
              <w:pStyle w:val="BodyText"/>
              <w:rPr>
                <w:lang w:val="en-NZ"/>
              </w:rPr>
            </w:pPr>
            <w:r w:rsidRPr="00B958CF">
              <w:t>B</w:t>
            </w:r>
          </w:p>
        </w:tc>
        <w:tc>
          <w:tcPr>
            <w:tcW w:w="5519" w:type="dxa"/>
            <w:tcBorders>
              <w:top w:val="nil"/>
              <w:left w:val="nil"/>
              <w:bottom w:val="nil"/>
              <w:right w:val="nil"/>
            </w:tcBorders>
            <w:tcMar>
              <w:top w:w="0" w:type="dxa"/>
              <w:left w:w="62" w:type="dxa"/>
              <w:bottom w:w="0" w:type="dxa"/>
              <w:right w:w="62" w:type="dxa"/>
            </w:tcMar>
          </w:tcPr>
          <w:p w:rsidR="00000000" w:rsidP="00B958CF">
            <w:pPr>
              <w:pStyle w:val="BodyText"/>
              <w:rPr>
                <w:lang w:val="en-NZ"/>
              </w:rPr>
            </w:pPr>
            <w:r w:rsidRPr="00B958CF">
              <w:t>Down loading a PC and che</w:t>
            </w:r>
            <w:r w:rsidRPr="00B958CF">
              <w:t>cking software tools and integrated system programming software and project data.</w:t>
            </w:r>
          </w:p>
        </w:tc>
      </w:tr>
      <w:tr w:rsidTr="00881DB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958CF">
            <w:pPr>
              <w:pStyle w:val="BodyText"/>
              <w:rPr>
                <w:lang w:val="en-NZ"/>
              </w:rPr>
            </w:pPr>
            <w:r w:rsidRPr="00B958CF">
              <w:t>C</w:t>
            </w:r>
          </w:p>
        </w:tc>
        <w:tc>
          <w:tcPr>
            <w:tcW w:w="5519" w:type="dxa"/>
            <w:tcBorders>
              <w:top w:val="nil"/>
              <w:left w:val="nil"/>
              <w:bottom w:val="nil"/>
              <w:right w:val="nil"/>
            </w:tcBorders>
            <w:tcMar>
              <w:top w:w="0" w:type="dxa"/>
              <w:left w:w="62" w:type="dxa"/>
              <w:bottom w:w="0" w:type="dxa"/>
              <w:right w:w="62" w:type="dxa"/>
            </w:tcMar>
          </w:tcPr>
          <w:p w:rsidR="00000000" w:rsidP="00B958CF">
            <w:pPr>
              <w:pStyle w:val="BodyText"/>
              <w:rPr>
                <w:lang w:val="en-NZ"/>
              </w:rPr>
            </w:pPr>
            <w:r w:rsidRPr="00B958CF">
              <w:t>Checking that network equipment and connectivity comply with manufacture's requirements.</w:t>
            </w:r>
          </w:p>
        </w:tc>
      </w:tr>
      <w:tr w:rsidTr="00881DB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958CF">
            <w:pPr>
              <w:pStyle w:val="BodyText"/>
              <w:rPr>
                <w:lang w:val="en-NZ"/>
              </w:rPr>
            </w:pPr>
            <w:r w:rsidRPr="00B958CF">
              <w:t>D</w:t>
            </w:r>
          </w:p>
        </w:tc>
        <w:tc>
          <w:tcPr>
            <w:tcW w:w="5519" w:type="dxa"/>
            <w:tcBorders>
              <w:top w:val="nil"/>
              <w:left w:val="nil"/>
              <w:bottom w:val="nil"/>
              <w:right w:val="nil"/>
            </w:tcBorders>
            <w:tcMar>
              <w:top w:w="0" w:type="dxa"/>
              <w:left w:w="62" w:type="dxa"/>
              <w:bottom w:w="0" w:type="dxa"/>
              <w:right w:w="62" w:type="dxa"/>
            </w:tcMar>
          </w:tcPr>
          <w:p w:rsidR="00000000" w:rsidP="00B958CF">
            <w:pPr>
              <w:pStyle w:val="BodyText"/>
              <w:rPr>
                <w:lang w:val="en-NZ"/>
              </w:rPr>
            </w:pPr>
            <w:r w:rsidRPr="00B958CF">
              <w:t>Developing integrated system functions and parameters  in accordance for co</w:t>
            </w:r>
            <w:r w:rsidRPr="00B958CF">
              <w:t>mpatibility with the integrated system and to customer requirements</w:t>
            </w:r>
          </w:p>
        </w:tc>
      </w:tr>
      <w:tr w:rsidTr="00881DB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958CF">
            <w:pPr>
              <w:pStyle w:val="BodyText"/>
              <w:rPr>
                <w:lang w:val="en-NZ"/>
              </w:rPr>
            </w:pPr>
            <w:r w:rsidRPr="00B958CF">
              <w:t>E</w:t>
            </w:r>
          </w:p>
        </w:tc>
        <w:tc>
          <w:tcPr>
            <w:tcW w:w="5519" w:type="dxa"/>
            <w:tcBorders>
              <w:top w:val="nil"/>
              <w:left w:val="nil"/>
              <w:bottom w:val="nil"/>
              <w:right w:val="nil"/>
            </w:tcBorders>
            <w:tcMar>
              <w:top w:w="0" w:type="dxa"/>
              <w:left w:w="62" w:type="dxa"/>
              <w:bottom w:w="0" w:type="dxa"/>
              <w:right w:w="62" w:type="dxa"/>
            </w:tcMar>
          </w:tcPr>
          <w:p w:rsidR="00000000" w:rsidP="00B958CF">
            <w:pPr>
              <w:pStyle w:val="BodyText"/>
              <w:rPr>
                <w:lang w:val="en-NZ"/>
              </w:rPr>
            </w:pPr>
            <w:r w:rsidRPr="00B958CF">
              <w:t xml:space="preserve">Backing up and transferring programmed functions and parameters following manufacturer's instructions. </w:t>
            </w:r>
          </w:p>
        </w:tc>
      </w:tr>
      <w:tr w:rsidTr="00881DB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958CF">
            <w:pPr>
              <w:pStyle w:val="BodyText"/>
              <w:rPr>
                <w:lang w:val="en-NZ"/>
              </w:rPr>
            </w:pPr>
            <w:r w:rsidRPr="00B958CF">
              <w:t>F</w:t>
            </w:r>
          </w:p>
        </w:tc>
        <w:tc>
          <w:tcPr>
            <w:tcW w:w="5519" w:type="dxa"/>
            <w:tcBorders>
              <w:top w:val="nil"/>
              <w:left w:val="nil"/>
              <w:bottom w:val="nil"/>
              <w:right w:val="nil"/>
            </w:tcBorders>
            <w:tcMar>
              <w:top w:w="0" w:type="dxa"/>
              <w:left w:w="62" w:type="dxa"/>
              <w:bottom w:w="0" w:type="dxa"/>
              <w:right w:w="62" w:type="dxa"/>
            </w:tcMar>
          </w:tcPr>
          <w:p w:rsidR="00000000" w:rsidP="00B958CF">
            <w:pPr>
              <w:pStyle w:val="BodyText"/>
              <w:rPr>
                <w:lang w:val="en-NZ"/>
              </w:rPr>
            </w:pPr>
            <w:r w:rsidRPr="00B958CF">
              <w:t>Testing access and correcting non-compliance operations and anomalies.</w:t>
            </w:r>
          </w:p>
        </w:tc>
      </w:tr>
      <w:tr w:rsidTr="00881DB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958CF">
            <w:pPr>
              <w:pStyle w:val="BodyText"/>
              <w:rPr>
                <w:lang w:val="en-NZ"/>
              </w:rPr>
            </w:pPr>
            <w:r w:rsidRPr="00B958CF">
              <w:t>G</w:t>
            </w:r>
          </w:p>
        </w:tc>
        <w:tc>
          <w:tcPr>
            <w:tcW w:w="5519" w:type="dxa"/>
            <w:tcBorders>
              <w:top w:val="nil"/>
              <w:left w:val="nil"/>
              <w:bottom w:val="nil"/>
              <w:right w:val="nil"/>
            </w:tcBorders>
            <w:tcMar>
              <w:top w:w="0" w:type="dxa"/>
              <w:left w:w="62" w:type="dxa"/>
              <w:bottom w:w="0" w:type="dxa"/>
              <w:right w:w="62" w:type="dxa"/>
            </w:tcMar>
          </w:tcPr>
          <w:p w:rsidR="00000000" w:rsidP="00B958CF">
            <w:pPr>
              <w:pStyle w:val="BodyText"/>
              <w:rPr>
                <w:lang w:val="en-NZ"/>
              </w:rPr>
            </w:pPr>
            <w:r w:rsidRPr="00B958CF">
              <w:t>Documenting the as-programmed access control specifications.</w:t>
            </w:r>
          </w:p>
        </w:tc>
      </w:tr>
      <w:tr w:rsidTr="00881DB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958CF" w:rsidP="00B958CF">
            <w:pPr>
              <w:pStyle w:val="BodyText"/>
            </w:pPr>
            <w:r w:rsidRPr="00B958CF">
              <w:rPr>
                <w:rStyle w:val="SpecialBold"/>
              </w:rPr>
              <w:t>Context of and specific resources for assessment</w:t>
            </w:r>
          </w:p>
        </w:tc>
        <w:tc>
          <w:tcPr>
            <w:tcW w:w="6631" w:type="dxa"/>
            <w:gridSpan w:val="3"/>
            <w:tcBorders>
              <w:top w:val="nil"/>
              <w:left w:val="nil"/>
              <w:bottom w:val="nil"/>
              <w:right w:val="nil"/>
            </w:tcBorders>
            <w:tcMar>
              <w:top w:w="0" w:type="dxa"/>
              <w:left w:w="62" w:type="dxa"/>
              <w:bottom w:w="0" w:type="dxa"/>
              <w:right w:w="62" w:type="dxa"/>
            </w:tcMar>
          </w:tcPr>
          <w:p w:rsidR="00000000" w:rsidRPr="00B958CF" w:rsidP="00B958CF">
            <w:pPr>
              <w:pStyle w:val="BodyText"/>
            </w:pPr>
            <w:r w:rsidRPr="00B958CF">
              <w:rPr>
                <w:rStyle w:val="SpecialBold"/>
              </w:rPr>
              <w:t>9</w:t>
            </w:r>
            <w:r w:rsidRPr="00B958CF">
              <w:t>.</w:t>
            </w:r>
            <w:r w:rsidRPr="00B958CF">
              <w:rPr>
                <w:rStyle w:val="SpecialBold"/>
              </w:rPr>
              <w:t>3</w:t>
            </w:r>
            <w:r w:rsidRPr="00B958CF">
              <w:t xml:space="preserve">)  </w:t>
            </w:r>
          </w:p>
          <w:p w:rsidR="00000000" w:rsidRPr="00B958CF" w:rsidP="00B958CF">
            <w:pPr>
              <w:pStyle w:val="BodyText"/>
            </w:pPr>
            <w:r w:rsidRPr="00B958CF">
              <w:t>This unit should be assessed as it relates to normal work practice using procedures, information and resources typical of a workplace. T</w:t>
            </w:r>
            <w:r w:rsidRPr="00B958CF">
              <w:t>his should include:</w:t>
            </w:r>
          </w:p>
          <w:p w:rsidR="00000000" w:rsidRPr="00B958CF" w:rsidP="00B958CF">
            <w:pPr>
              <w:pStyle w:val="ListBullet"/>
            </w:pPr>
            <w:r w:rsidRPr="00B958CF">
              <w:t>OHS policy and work procedures and instructions.</w:t>
            </w:r>
          </w:p>
          <w:p w:rsidR="00000000" w:rsidRPr="00B958CF" w:rsidP="00B958CF">
            <w:pPr>
              <w:pStyle w:val="ListBullet"/>
            </w:pPr>
            <w:r w:rsidRPr="00B958CF">
              <w:t>Suitable work environment, facilities, equipment and materials to undertake actual work as prescribed in this unit.</w:t>
            </w:r>
          </w:p>
          <w:p w:rsidR="00000000" w:rsidRPr="00B958CF" w:rsidP="00B958CF">
            <w:pPr>
              <w:pStyle w:val="BodyText"/>
            </w:pPr>
            <w:r w:rsidRPr="00B958CF">
              <w:t>These should be used in the formal learning/assessment environment.</w:t>
            </w:r>
          </w:p>
          <w:p w:rsidR="00000000" w:rsidRPr="00B958CF" w:rsidP="00B958CF">
            <w:pPr>
              <w:pStyle w:val="BodyText"/>
            </w:pPr>
            <w:r w:rsidRPr="00B958CF">
              <w:t>Not</w:t>
            </w:r>
            <w:r w:rsidRPr="00B958CF">
              <w:t>e:</w:t>
            </w:r>
          </w:p>
          <w:p w:rsidR="00000000" w:rsidP="00B958CF">
            <w:pPr>
              <w:pStyle w:val="BodyText"/>
              <w:rPr>
                <w:lang w:val="en-NZ"/>
              </w:rPr>
            </w:pPr>
            <w:r w:rsidRPr="00B958CF">
              <w:t>Where simulation is considered a suitable strategy for assessment, conditions for assessment must be authentic and as far as possible reproduce and replicate the workplace and be consistent with the approved industry simulation policy.</w:t>
            </w:r>
          </w:p>
        </w:tc>
      </w:tr>
      <w:tr w:rsidTr="00881DB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31" w:type="dxa"/>
            <w:gridSpan w:val="3"/>
            <w:tcBorders>
              <w:top w:val="nil"/>
              <w:left w:val="nil"/>
              <w:bottom w:val="nil"/>
              <w:right w:val="nil"/>
            </w:tcBorders>
            <w:tcMar>
              <w:top w:w="0" w:type="dxa"/>
              <w:left w:w="62" w:type="dxa"/>
              <w:bottom w:w="0" w:type="dxa"/>
              <w:right w:w="62" w:type="dxa"/>
            </w:tcMar>
          </w:tcPr>
          <w:p w:rsidR="00000000" w:rsidP="00B958CF">
            <w:pPr>
              <w:pStyle w:val="BodyText"/>
              <w:rPr>
                <w:lang w:val="en-NZ"/>
              </w:rPr>
            </w:pPr>
            <w:r w:rsidRPr="00B958CF">
              <w:t>The resources used for assessment should reflect current industry practices in relation to developing access control of integrated systems using logic-based programming tools.</w:t>
            </w:r>
          </w:p>
        </w:tc>
      </w:tr>
      <w:tr w:rsidTr="00881DB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958CF" w:rsidP="00B958CF">
            <w:pPr>
              <w:pStyle w:val="BodyText"/>
            </w:pPr>
            <w:r w:rsidRPr="00B958CF">
              <w:rPr>
                <w:rStyle w:val="SpecialBold"/>
              </w:rPr>
              <w:t>Method of assessment</w:t>
            </w:r>
          </w:p>
        </w:tc>
        <w:tc>
          <w:tcPr>
            <w:tcW w:w="6631" w:type="dxa"/>
            <w:gridSpan w:val="3"/>
            <w:tcBorders>
              <w:top w:val="nil"/>
              <w:left w:val="nil"/>
              <w:bottom w:val="nil"/>
              <w:right w:val="nil"/>
            </w:tcBorders>
            <w:tcMar>
              <w:top w:w="0" w:type="dxa"/>
              <w:left w:w="62" w:type="dxa"/>
              <w:bottom w:w="0" w:type="dxa"/>
              <w:right w:w="62" w:type="dxa"/>
            </w:tcMar>
          </w:tcPr>
          <w:p w:rsidR="00000000" w:rsidRPr="00B958CF" w:rsidP="00B958CF">
            <w:pPr>
              <w:pStyle w:val="BodyText"/>
            </w:pPr>
            <w:r w:rsidRPr="00B958CF">
              <w:rPr>
                <w:rStyle w:val="SpecialBold"/>
              </w:rPr>
              <w:t>9</w:t>
            </w:r>
            <w:r w:rsidRPr="00B958CF">
              <w:t>.</w:t>
            </w:r>
            <w:r w:rsidRPr="00B958CF">
              <w:rPr>
                <w:rStyle w:val="SpecialBold"/>
              </w:rPr>
              <w:t>4</w:t>
            </w:r>
            <w:r w:rsidRPr="00B958CF">
              <w:t xml:space="preserve">) </w:t>
            </w:r>
          </w:p>
          <w:p w:rsidR="00000000" w:rsidRPr="00B958CF" w:rsidP="00B958CF">
            <w:pPr>
              <w:pStyle w:val="BodyText"/>
            </w:pPr>
            <w:r w:rsidRPr="00B958CF">
              <w:t>This unit shall be assessed by methods given in Vo</w:t>
            </w:r>
            <w:r w:rsidRPr="00B958CF">
              <w:t>lume 1, Part 3 'Assessment Guidelines'.</w:t>
            </w:r>
          </w:p>
          <w:p w:rsidR="00000000" w:rsidP="00B958CF">
            <w:pPr>
              <w:pStyle w:val="BodyText"/>
              <w:rPr>
                <w:lang w:val="en-NZ"/>
              </w:rPr>
            </w:pPr>
            <w:r w:rsidRPr="00B958CF">
              <w:t>Note:</w:t>
            </w:r>
            <w:r w:rsidRPr="00B958CF">
              <w:br/>
              <w:t>Competent performance with inherent safe working practices is expected in the Industry to which this unit applies. This requires that the specified essential knowledge and associated skills are assessed in a st</w:t>
            </w:r>
            <w:r w:rsidRPr="00B958CF">
              <w:t>ructured environment which is primarily intended for learning/assessment and incorporates all necessary equipment and facilities for learners to develop and demonstrate the essential knowledge and skills described in this unit.</w:t>
            </w:r>
          </w:p>
        </w:tc>
      </w:tr>
      <w:tr w:rsidTr="00881DB1">
        <w:tblPrEx>
          <w:tblW w:w="0" w:type="auto"/>
          <w:tblLayout w:type="fixed"/>
          <w:tblCellMar>
            <w:left w:w="62" w:type="dxa"/>
            <w:right w:w="62" w:type="dxa"/>
          </w:tblCellMar>
          <w:tblLook w:val="0000"/>
        </w:tblPrEx>
        <w:tc>
          <w:tcPr>
            <w:tcW w:w="2160" w:type="dxa"/>
            <w:vMerge w:val="restart"/>
            <w:tcBorders>
              <w:top w:val="nil"/>
              <w:left w:val="nil"/>
              <w:bottom w:val="single" w:sz="6" w:space="0" w:color="auto"/>
              <w:right w:val="nil"/>
            </w:tcBorders>
            <w:tcMar>
              <w:top w:w="0" w:type="dxa"/>
              <w:left w:w="62" w:type="dxa"/>
              <w:bottom w:w="0" w:type="dxa"/>
              <w:right w:w="62" w:type="dxa"/>
            </w:tcMar>
          </w:tcPr>
          <w:p w:rsidR="00000000" w:rsidRPr="00B958CF" w:rsidP="00B958CF">
            <w:pPr>
              <w:pStyle w:val="BodyText"/>
            </w:pPr>
            <w:r w:rsidRPr="00B958CF">
              <w:rPr>
                <w:rStyle w:val="SpecialBold"/>
              </w:rPr>
              <w:t>Concurrent assessment and</w:t>
            </w:r>
            <w:r w:rsidRPr="00B958CF">
              <w:rPr>
                <w:rStyle w:val="SpecialBold"/>
              </w:rPr>
              <w:t xml:space="preserve"> relationship with other units</w:t>
            </w:r>
          </w:p>
        </w:tc>
        <w:tc>
          <w:tcPr>
            <w:tcW w:w="6631" w:type="dxa"/>
            <w:gridSpan w:val="3"/>
            <w:tcBorders>
              <w:top w:val="nil"/>
              <w:left w:val="nil"/>
              <w:bottom w:val="nil"/>
              <w:right w:val="nil"/>
            </w:tcBorders>
            <w:tcMar>
              <w:top w:w="0" w:type="dxa"/>
              <w:left w:w="62" w:type="dxa"/>
              <w:bottom w:w="0" w:type="dxa"/>
              <w:right w:w="62" w:type="dxa"/>
            </w:tcMar>
          </w:tcPr>
          <w:p w:rsidR="00000000" w:rsidP="00B958CF">
            <w:pPr>
              <w:pStyle w:val="BodyText"/>
              <w:rPr>
                <w:lang w:val="en-NZ"/>
              </w:rPr>
            </w:pPr>
            <w:r w:rsidRPr="00B958CF">
              <w:rPr>
                <w:rStyle w:val="SpecialBold"/>
              </w:rPr>
              <w:t>9</w:t>
            </w:r>
            <w:r w:rsidRPr="00B958CF">
              <w:t>.</w:t>
            </w:r>
            <w:r w:rsidRPr="00B958CF">
              <w:rPr>
                <w:rStyle w:val="SpecialBold"/>
              </w:rPr>
              <w:t>5</w:t>
            </w:r>
            <w:r w:rsidRPr="00B958CF">
              <w:t>)</w:t>
            </w:r>
          </w:p>
        </w:tc>
      </w:tr>
      <w:tr w:rsidTr="00881DB1">
        <w:tblPrEx>
          <w:tblW w:w="0" w:type="auto"/>
          <w:tblLayout w:type="fixed"/>
          <w:tblCellMar>
            <w:left w:w="62" w:type="dxa"/>
            <w:right w:w="62" w:type="dxa"/>
          </w:tblCellMar>
          <w:tblLook w:val="0000"/>
        </w:tblPrEx>
        <w:tc>
          <w:tcPr>
            <w:tcW w:w="216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31" w:type="dxa"/>
            <w:gridSpan w:val="3"/>
            <w:tcBorders>
              <w:top w:val="nil"/>
              <w:left w:val="nil"/>
              <w:bottom w:val="nil"/>
              <w:right w:val="nil"/>
            </w:tcBorders>
            <w:tcMar>
              <w:top w:w="0" w:type="dxa"/>
              <w:left w:w="62" w:type="dxa"/>
              <w:bottom w:w="0" w:type="dxa"/>
              <w:right w:w="62" w:type="dxa"/>
            </w:tcMar>
          </w:tcPr>
          <w:p w:rsidR="00000000" w:rsidRPr="00B958CF" w:rsidP="00B958CF">
            <w:pPr>
              <w:pStyle w:val="BodyText"/>
            </w:pPr>
            <w:r w:rsidRPr="00B958CF">
              <w:t>There are no concurrent assessment recommendations for this unit.</w:t>
            </w:r>
          </w:p>
        </w:tc>
      </w:tr>
    </w:tbl>
    <w:p w:rsidR="00881DB1" w:rsidP="00B958CF">
      <w:pPr>
        <w:pStyle w:val="BodyText"/>
      </w:pPr>
    </w:p>
    <w:p w:rsidR="00881DB1" w:rsidP="00B958CF">
      <w:pPr>
        <w:pStyle w:val="BodyText"/>
      </w:pPr>
    </w:p>
    <w:p w:rsidR="00000000" w:rsidRPr="00B958CF" w:rsidP="00B958CF">
      <w:pPr>
        <w:pStyle w:val="Heading1"/>
      </w:pPr>
      <w:bookmarkStart w:id="11" w:name="O_255491"/>
      <w:bookmarkEnd w:id="11"/>
      <w:r w:rsidRPr="00B958CF">
        <w:t>Range Statement</w:t>
      </w:r>
    </w:p>
    <w:tbl>
      <w:tblPr>
        <w:tblW w:w="0" w:type="auto"/>
        <w:tblLayout w:type="fixed"/>
        <w:tblCellMar>
          <w:left w:w="62" w:type="dxa"/>
          <w:right w:w="62" w:type="dxa"/>
        </w:tblCellMar>
        <w:tblLook w:val="0000"/>
      </w:tblPr>
      <w:tblGrid>
        <w:gridCol w:w="2160"/>
        <w:gridCol w:w="6631"/>
      </w:tblGrid>
      <w:tr w:rsidTr="00881DB1">
        <w:tblPrEx>
          <w:tblW w:w="0" w:type="auto"/>
          <w:tblLayout w:type="fixed"/>
          <w:tblCellMar>
            <w:left w:w="62" w:type="dxa"/>
            <w:right w:w="62" w:type="dxa"/>
          </w:tblCellMar>
          <w:tblLook w:val="0000"/>
        </w:tblPrEx>
        <w:trPr>
          <w:tblHeader/>
        </w:trPr>
        <w:tc>
          <w:tcPr>
            <w:tcW w:w="8791" w:type="dxa"/>
            <w:gridSpan w:val="2"/>
            <w:tcBorders>
              <w:top w:val="nil"/>
              <w:left w:val="nil"/>
              <w:bottom w:val="nil"/>
              <w:right w:val="nil"/>
            </w:tcBorders>
            <w:tcMar>
              <w:top w:w="0" w:type="dxa"/>
              <w:left w:w="62" w:type="dxa"/>
              <w:bottom w:w="0" w:type="dxa"/>
              <w:right w:w="62" w:type="dxa"/>
            </w:tcMar>
          </w:tcPr>
          <w:p w:rsidR="00000000" w:rsidP="00B958CF">
            <w:pPr>
              <w:pStyle w:val="BodyText"/>
              <w:rPr>
                <w:lang w:val="en-NZ"/>
              </w:rPr>
            </w:pPr>
            <w:r w:rsidRPr="00B958CF">
              <w:rPr>
                <w:rStyle w:val="SpecialBold"/>
              </w:rPr>
              <w:t>RANGE STATEMENT</w:t>
            </w:r>
          </w:p>
        </w:tc>
      </w:tr>
      <w:tr w:rsidTr="00881DB1">
        <w:tblPrEx>
          <w:tblW w:w="0" w:type="auto"/>
          <w:tblLayout w:type="fixed"/>
          <w:tblCellMar>
            <w:left w:w="62" w:type="dxa"/>
            <w:right w:w="62" w:type="dxa"/>
          </w:tblCellMar>
          <w:tblLook w:val="0000"/>
        </w:tblPrEx>
        <w:tc>
          <w:tcPr>
            <w:tcW w:w="8791" w:type="dxa"/>
            <w:gridSpan w:val="2"/>
            <w:tcBorders>
              <w:top w:val="nil"/>
              <w:left w:val="nil"/>
              <w:bottom w:val="nil"/>
              <w:right w:val="nil"/>
            </w:tcBorders>
            <w:tcMar>
              <w:top w:w="0" w:type="dxa"/>
              <w:left w:w="62" w:type="dxa"/>
              <w:bottom w:w="0" w:type="dxa"/>
              <w:right w:w="62" w:type="dxa"/>
            </w:tcMar>
          </w:tcPr>
          <w:p w:rsidR="00000000" w:rsidP="00B958CF">
            <w:pPr>
              <w:pStyle w:val="BodyText"/>
              <w:rPr>
                <w:lang w:val="en-NZ"/>
              </w:rPr>
            </w:pPr>
            <w:r w:rsidRPr="00B958CF">
              <w:rPr>
                <w:rStyle w:val="SpecialBold"/>
              </w:rPr>
              <w:t>8</w:t>
            </w:r>
            <w:r w:rsidRPr="00B958CF">
              <w:t>) This relates to the unit as a whole providing the range of contexts and conditions to which the performance criteria apply. It allows for different work environments and situations that will affect performance.</w:t>
            </w:r>
          </w:p>
        </w:tc>
      </w:tr>
      <w:tr w:rsidTr="00881DB1">
        <w:tblPrEx>
          <w:tblW w:w="0" w:type="auto"/>
          <w:tblLayout w:type="fixed"/>
          <w:tblCellMar>
            <w:left w:w="62" w:type="dxa"/>
            <w:right w:w="62" w:type="dxa"/>
          </w:tblCellMar>
          <w:tblLook w:val="0000"/>
        </w:tblPrEx>
        <w:tc>
          <w:tcPr>
            <w:tcW w:w="8791" w:type="dxa"/>
            <w:gridSpan w:val="2"/>
            <w:tcBorders>
              <w:top w:val="nil"/>
              <w:left w:val="nil"/>
              <w:bottom w:val="nil"/>
              <w:right w:val="nil"/>
            </w:tcBorders>
            <w:tcMar>
              <w:top w:w="0" w:type="dxa"/>
              <w:left w:w="62" w:type="dxa"/>
              <w:bottom w:w="0" w:type="dxa"/>
              <w:right w:w="62" w:type="dxa"/>
            </w:tcMar>
          </w:tcPr>
          <w:p w:rsidR="00000000" w:rsidP="00B958CF">
            <w:pPr>
              <w:pStyle w:val="BodyText"/>
              <w:rPr>
                <w:lang w:val="en-NZ"/>
              </w:rPr>
            </w:pPr>
            <w:r w:rsidRPr="00B958CF">
              <w:t>This unit shall be demonstrated in relati</w:t>
            </w:r>
            <w:r w:rsidRPr="00B958CF">
              <w:t>on to programming integrated system access using logic-based programming tools with at least the following functions:</w:t>
            </w:r>
          </w:p>
        </w:tc>
      </w:tr>
      <w:tr w:rsidTr="00881DB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958CF">
            <w:pPr>
              <w:pStyle w:val="BodyText"/>
              <w:rPr>
                <w:lang w:val="en-NZ"/>
              </w:rPr>
            </w:pPr>
          </w:p>
        </w:tc>
        <w:tc>
          <w:tcPr>
            <w:tcW w:w="6631" w:type="dxa"/>
            <w:tcBorders>
              <w:top w:val="nil"/>
              <w:left w:val="nil"/>
              <w:bottom w:val="nil"/>
              <w:right w:val="nil"/>
            </w:tcBorders>
            <w:tcMar>
              <w:top w:w="0" w:type="dxa"/>
              <w:left w:w="62" w:type="dxa"/>
              <w:bottom w:w="0" w:type="dxa"/>
              <w:right w:w="62" w:type="dxa"/>
            </w:tcMar>
          </w:tcPr>
          <w:p w:rsidR="00000000" w:rsidRPr="00B958CF" w:rsidP="00B958CF">
            <w:pPr>
              <w:pStyle w:val="ListBullet"/>
            </w:pPr>
            <w:r w:rsidRPr="00B958CF">
              <w:t>Selectors</w:t>
            </w:r>
          </w:p>
          <w:p w:rsidR="00000000" w:rsidRPr="00B958CF" w:rsidP="00B958CF">
            <w:pPr>
              <w:pStyle w:val="ListBullet"/>
            </w:pPr>
            <w:r w:rsidRPr="00B958CF">
              <w:t xml:space="preserve">Room Joining </w:t>
            </w:r>
          </w:p>
          <w:p w:rsidR="00000000" w:rsidRPr="00B958CF" w:rsidP="00B958CF">
            <w:pPr>
              <w:pStyle w:val="ListBullet"/>
            </w:pPr>
            <w:r w:rsidRPr="00B958CF">
              <w:t xml:space="preserve">Counters and Drawing </w:t>
            </w:r>
          </w:p>
          <w:p w:rsidR="00000000" w:rsidRPr="00B958CF" w:rsidP="00B958CF">
            <w:pPr>
              <w:pStyle w:val="ListBullet"/>
            </w:pPr>
            <w:r w:rsidRPr="00B958CF">
              <w:t xml:space="preserve">Logic Timer </w:t>
            </w:r>
          </w:p>
          <w:p w:rsidR="00000000" w:rsidRPr="00B958CF" w:rsidP="00B958CF">
            <w:pPr>
              <w:pStyle w:val="ListBullet"/>
            </w:pPr>
            <w:r w:rsidRPr="00B958CF">
              <w:t xml:space="preserve">Run On Timer </w:t>
            </w:r>
          </w:p>
          <w:p w:rsidR="00000000" w:rsidRPr="00B958CF" w:rsidP="00B958CF">
            <w:pPr>
              <w:pStyle w:val="ListBullet"/>
            </w:pPr>
            <w:r w:rsidRPr="00B958CF">
              <w:t>Corridor Linking</w:t>
            </w:r>
          </w:p>
          <w:p w:rsidR="00000000" w:rsidRPr="00B958CF" w:rsidP="00B958CF">
            <w:pPr>
              <w:pStyle w:val="ListBullet"/>
            </w:pPr>
            <w:r w:rsidRPr="00B958CF">
              <w:t xml:space="preserve">Scene Storing </w:t>
            </w:r>
          </w:p>
          <w:p w:rsidR="00000000" w:rsidRPr="00B958CF" w:rsidP="00B958CF">
            <w:pPr>
              <w:pStyle w:val="ListBullet"/>
            </w:pPr>
            <w:r w:rsidRPr="00B958CF">
              <w:t>System I/O Scheduling</w:t>
            </w:r>
          </w:p>
          <w:p w:rsidR="00000000" w:rsidRPr="00B958CF" w:rsidP="00B958CF">
            <w:pPr>
              <w:pStyle w:val="ListBullet"/>
            </w:pPr>
            <w:r w:rsidRPr="00B958CF">
              <w:t>After Hours</w:t>
            </w:r>
          </w:p>
          <w:p w:rsidR="00000000" w:rsidP="00B958CF">
            <w:pPr>
              <w:pStyle w:val="ListBullet"/>
              <w:rPr>
                <w:lang w:val="en-NZ"/>
              </w:rPr>
            </w:pPr>
            <w:r w:rsidRPr="00B958CF">
              <w:t xml:space="preserve">Enable / Disable functions </w:t>
            </w:r>
          </w:p>
        </w:tc>
      </w:tr>
      <w:tr w:rsidTr="00881DB1">
        <w:tblPrEx>
          <w:tblW w:w="0" w:type="auto"/>
          <w:tblLayout w:type="fixed"/>
          <w:tblCellMar>
            <w:left w:w="62" w:type="dxa"/>
            <w:right w:w="62" w:type="dxa"/>
          </w:tblCellMar>
          <w:tblLook w:val="0000"/>
        </w:tblPrEx>
        <w:tc>
          <w:tcPr>
            <w:tcW w:w="8791" w:type="dxa"/>
            <w:gridSpan w:val="2"/>
            <w:tcBorders>
              <w:top w:val="nil"/>
              <w:left w:val="nil"/>
              <w:bottom w:val="nil"/>
              <w:right w:val="nil"/>
            </w:tcBorders>
            <w:tcMar>
              <w:top w:w="0" w:type="dxa"/>
              <w:left w:w="62" w:type="dxa"/>
              <w:bottom w:w="0" w:type="dxa"/>
              <w:right w:w="62" w:type="dxa"/>
            </w:tcMar>
          </w:tcPr>
          <w:p w:rsidR="00000000" w:rsidRPr="00B958CF" w:rsidP="00B958CF">
            <w:pPr>
              <w:pStyle w:val="BodyText"/>
            </w:pPr>
            <w:r w:rsidRPr="00B958CF">
              <w:t xml:space="preserve">Generic terms used throughout this Vocational Standard shall be regarded as part of the Range Statement in which competency is demonstrated. The definition of these and other terms that apply are given in Volume 2, </w:t>
            </w:r>
            <w:r w:rsidRPr="00B958CF">
              <w:t>Part 2.1.</w:t>
            </w:r>
          </w:p>
        </w:tc>
      </w:tr>
    </w:tbl>
    <w:p w:rsidR="00881DB1" w:rsidP="00B958CF">
      <w:pPr>
        <w:pStyle w:val="BodyText"/>
      </w:pPr>
    </w:p>
    <w:p w:rsidR="00881DB1" w:rsidP="00B958CF">
      <w:pPr>
        <w:pStyle w:val="BodyText"/>
      </w:pPr>
    </w:p>
    <w:p w:rsidR="00000000" w:rsidRPr="00B958CF" w:rsidP="00B958CF">
      <w:pPr>
        <w:pStyle w:val="Heading1"/>
      </w:pPr>
      <w:bookmarkStart w:id="12" w:name="O_296504"/>
      <w:bookmarkEnd w:id="12"/>
      <w:r w:rsidRPr="00B958CF">
        <w:t>Unit Sector(s)</w:t>
      </w:r>
    </w:p>
    <w:p w:rsidR="00000000" w:rsidRPr="00B958CF" w:rsidP="00B958CF">
      <w:pPr>
        <w:pStyle w:val="BodyText"/>
      </w:pPr>
      <w:r w:rsidRPr="00B958CF">
        <w:t>Not Applicable</w:t>
      </w:r>
    </w:p>
    <w:p w:rsidR="00000000" w:rsidRPr="00B958CF" w:rsidP="00B958CF">
      <w:pPr>
        <w:pStyle w:val="AllowPageBreak"/>
      </w:pPr>
    </w:p>
    <w:p w:rsidR="00000000" w:rsidRPr="00B958CF" w:rsidP="00B958CF">
      <w:pPr>
        <w:pStyle w:val="Heading1"/>
      </w:pPr>
      <w:bookmarkStart w:id="13" w:name="O_227428"/>
      <w:bookmarkEnd w:id="13"/>
      <w:r w:rsidRPr="00B958CF">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881DB1">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B958CF" w:rsidP="00B958CF">
            <w:pPr>
              <w:pStyle w:val="BodyText"/>
            </w:pPr>
            <w:r w:rsidRPr="00B958CF">
              <w:rPr>
                <w:rStyle w:val="SpecialBold"/>
              </w:rPr>
              <w:t>2</w:t>
            </w:r>
            <w:r w:rsidRPr="00B958CF">
              <w:t>.</w:t>
            </w:r>
            <w:r w:rsidRPr="00B958CF">
              <w:rPr>
                <w:rStyle w:val="SpecialBold"/>
              </w:rPr>
              <w:t>2</w:t>
            </w:r>
            <w:r w:rsidRPr="00B958CF">
              <w:t xml:space="preserve">) </w:t>
            </w:r>
            <w:r w:rsidRPr="00B958CF">
              <w:rPr>
                <w:rStyle w:val="SpecialBold"/>
              </w:rPr>
              <w:t>Literacy and numeracy skills</w:t>
            </w:r>
          </w:p>
          <w:p w:rsidR="00000000" w:rsidP="00B958CF">
            <w:pPr>
              <w:pStyle w:val="BodyText"/>
              <w:rPr>
                <w:lang w:val="en-NZ"/>
              </w:rPr>
            </w:pPr>
            <w:r w:rsidRPr="00B958CF">
              <w:t>Participants are best equipped to achieve competency in this unit if they have reading, writing and numeracy skills indicated by the following scales. Description of each scale is given in Volume 2, Part 3 'Literacy and Numeracy'</w:t>
            </w:r>
          </w:p>
        </w:tc>
      </w:tr>
      <w:tr w:rsidTr="00881DB1">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B958CF">
            <w:pPr>
              <w:pStyle w:val="BodyText"/>
              <w:rPr>
                <w:lang w:val="en-NZ"/>
              </w:rPr>
            </w:pPr>
            <w:r w:rsidRPr="00B958CF">
              <w:t>Reading</w:t>
            </w:r>
          </w:p>
        </w:tc>
        <w:tc>
          <w:tcPr>
            <w:tcW w:w="1182" w:type="dxa"/>
            <w:tcBorders>
              <w:top w:val="nil"/>
              <w:left w:val="nil"/>
              <w:bottom w:val="nil"/>
              <w:right w:val="nil"/>
            </w:tcBorders>
            <w:tcMar>
              <w:top w:w="0" w:type="dxa"/>
              <w:left w:w="62" w:type="dxa"/>
              <w:bottom w:w="0" w:type="dxa"/>
              <w:right w:w="62" w:type="dxa"/>
            </w:tcMar>
          </w:tcPr>
          <w:p w:rsidR="00000000" w:rsidP="00B958CF">
            <w:pPr>
              <w:pStyle w:val="BodyText"/>
              <w:rPr>
                <w:lang w:val="en-NZ"/>
              </w:rPr>
            </w:pPr>
            <w:r w:rsidRPr="00B958CF">
              <w:t>5</w:t>
            </w:r>
          </w:p>
        </w:tc>
        <w:tc>
          <w:tcPr>
            <w:tcW w:w="1739" w:type="dxa"/>
            <w:tcBorders>
              <w:top w:val="nil"/>
              <w:left w:val="nil"/>
              <w:bottom w:val="nil"/>
              <w:right w:val="nil"/>
            </w:tcBorders>
            <w:tcMar>
              <w:top w:w="0" w:type="dxa"/>
              <w:left w:w="62" w:type="dxa"/>
              <w:bottom w:w="0" w:type="dxa"/>
              <w:right w:w="62" w:type="dxa"/>
            </w:tcMar>
          </w:tcPr>
          <w:p w:rsidR="00000000" w:rsidP="00B958CF">
            <w:pPr>
              <w:pStyle w:val="BodyText"/>
              <w:rPr>
                <w:lang w:val="en-NZ"/>
              </w:rPr>
            </w:pPr>
            <w:r w:rsidRPr="00B958CF">
              <w:t>Writing</w:t>
            </w:r>
          </w:p>
        </w:tc>
        <w:tc>
          <w:tcPr>
            <w:tcW w:w="1182" w:type="dxa"/>
            <w:tcBorders>
              <w:top w:val="nil"/>
              <w:left w:val="nil"/>
              <w:bottom w:val="nil"/>
              <w:right w:val="nil"/>
            </w:tcBorders>
            <w:tcMar>
              <w:top w:w="0" w:type="dxa"/>
              <w:left w:w="62" w:type="dxa"/>
              <w:bottom w:w="0" w:type="dxa"/>
              <w:right w:w="62" w:type="dxa"/>
            </w:tcMar>
          </w:tcPr>
          <w:p w:rsidR="00000000" w:rsidP="00B958CF">
            <w:pPr>
              <w:pStyle w:val="BodyText"/>
              <w:rPr>
                <w:lang w:val="en-NZ"/>
              </w:rPr>
            </w:pPr>
            <w:r w:rsidRPr="00B958CF">
              <w:t>5</w:t>
            </w:r>
          </w:p>
        </w:tc>
        <w:tc>
          <w:tcPr>
            <w:tcW w:w="1721" w:type="dxa"/>
            <w:tcBorders>
              <w:top w:val="nil"/>
              <w:left w:val="nil"/>
              <w:bottom w:val="nil"/>
              <w:right w:val="nil"/>
            </w:tcBorders>
            <w:tcMar>
              <w:top w:w="0" w:type="dxa"/>
              <w:left w:w="62" w:type="dxa"/>
              <w:bottom w:w="0" w:type="dxa"/>
              <w:right w:w="62" w:type="dxa"/>
            </w:tcMar>
          </w:tcPr>
          <w:p w:rsidR="00000000" w:rsidP="00B958CF">
            <w:pPr>
              <w:pStyle w:val="BodyText"/>
              <w:rPr>
                <w:lang w:val="en-NZ"/>
              </w:rPr>
            </w:pPr>
            <w:r w:rsidRPr="00B958CF">
              <w:t>Numeracy</w:t>
            </w:r>
          </w:p>
        </w:tc>
        <w:tc>
          <w:tcPr>
            <w:tcW w:w="1182" w:type="dxa"/>
            <w:tcBorders>
              <w:top w:val="nil"/>
              <w:left w:val="nil"/>
              <w:bottom w:val="nil"/>
              <w:right w:val="nil"/>
            </w:tcBorders>
            <w:tcMar>
              <w:top w:w="0" w:type="dxa"/>
              <w:left w:w="62" w:type="dxa"/>
              <w:bottom w:w="0" w:type="dxa"/>
              <w:right w:w="62" w:type="dxa"/>
            </w:tcMar>
          </w:tcPr>
          <w:p w:rsidR="00000000" w:rsidRPr="00B958CF" w:rsidP="00B958CF">
            <w:pPr>
              <w:pStyle w:val="BodyText"/>
            </w:pPr>
            <w:r w:rsidRPr="00B958CF">
              <w:t>5</w:t>
            </w:r>
          </w:p>
        </w:tc>
      </w:tr>
    </w:tbl>
    <w:p w:rsidR="00881DB1" w:rsidP="00B958CF">
      <w:pPr>
        <w:pStyle w:val="BodyText"/>
      </w:pPr>
    </w:p>
    <w:p w:rsidR="00881DB1" w:rsidP="00B958CF">
      <w:pPr>
        <w:pStyle w:val="BodyText"/>
      </w:pPr>
    </w:p>
    <w:p w:rsidR="00000000" w:rsidRPr="00B958CF" w:rsidP="00B958CF">
      <w:pPr>
        <w:pStyle w:val="Heading1"/>
      </w:pPr>
      <w:bookmarkStart w:id="14" w:name="O_227431"/>
      <w:bookmarkEnd w:id="14"/>
      <w:r w:rsidRPr="00B958CF">
        <w:t>Custom Content Section</w:t>
      </w:r>
    </w:p>
    <w:tbl>
      <w:tblPr>
        <w:tblW w:w="0" w:type="auto"/>
        <w:tblLayout w:type="fixed"/>
        <w:tblCellMar>
          <w:left w:w="62" w:type="dxa"/>
          <w:right w:w="62" w:type="dxa"/>
        </w:tblCellMar>
        <w:tblLook w:val="0000"/>
      </w:tblPr>
      <w:tblGrid>
        <w:gridCol w:w="2700"/>
        <w:gridCol w:w="5760"/>
      </w:tblGrid>
      <w:tr w:rsidTr="00881DB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958CF" w:rsidP="00B958CF">
            <w:pPr>
              <w:pStyle w:val="BodyText"/>
            </w:pPr>
            <w:r w:rsidRPr="00B958C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958CF">
            <w:pPr>
              <w:pStyle w:val="BodyText"/>
              <w:rPr>
                <w:lang w:val="en-NZ"/>
              </w:rPr>
            </w:pPr>
            <w:r w:rsidRPr="00B958CF">
              <w:rPr>
                <w:rStyle w:val="SpecialBold"/>
              </w:rPr>
              <w:t>5</w:t>
            </w:r>
            <w:r w:rsidRPr="00B958CF">
              <w:t>)</w:t>
            </w:r>
          </w:p>
        </w:tc>
      </w:tr>
      <w:tr w:rsidTr="00881D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958CF" w:rsidP="00B958CF">
            <w:pPr>
              <w:pStyle w:val="BodyText"/>
            </w:pPr>
            <w:r w:rsidRPr="00B958CF">
              <w:t>Electrotechnology</w:t>
            </w:r>
          </w:p>
        </w:tc>
      </w:tr>
    </w:tbl>
    <w:p w:rsidR="00881DB1" w:rsidP="00B958CF">
      <w:pPr>
        <w:pStyle w:val="BodyText"/>
      </w:pPr>
    </w:p>
    <w:p w:rsidR="00881DB1" w:rsidP="00B958CF">
      <w:pPr>
        <w:pStyle w:val="BodyText"/>
      </w:pPr>
    </w:p>
    <w:p w:rsidR="00000000" w:rsidRPr="00B958CF" w:rsidP="00B958CF"/>
    <w:sectPr w:rsidSect="00B958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8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1DB1" w:rsidP="00881DB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8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DB1" w:rsidP="00B958C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81DB1" w:rsidP="00B958C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81DB1" w:rsidP="00B958C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8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8CF" w:rsidRPr="00881DB1" w:rsidP="00881DB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8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DB1" w:rsidRPr="002D2AF8" w:rsidP="00B958CF">
    <w:pPr>
      <w:pStyle w:val="Header"/>
      <w:framePr w:wrap="around"/>
    </w:pPr>
    <w:r>
      <w:fldChar w:fldCharType="begin"/>
    </w:r>
    <w:r>
      <w:instrText xml:space="preserve"> TITLE   \* MERGEFORMAT </w:instrText>
    </w:r>
    <w:r>
      <w:fldChar w:fldCharType="separate"/>
    </w:r>
    <w:r>
      <w:t>UEENEEI043A Develop access control of integrated systems using logic-based programming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881DB1" w:rsidP="00B958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F68C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5851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EC93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58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58CF"/>
    <w:pPr>
      <w:spacing w:before="360" w:after="60"/>
      <w:outlineLvl w:val="0"/>
    </w:pPr>
    <w:rPr>
      <w:sz w:val="32"/>
    </w:rPr>
  </w:style>
  <w:style w:type="paragraph" w:styleId="Heading2">
    <w:name w:val="heading 2"/>
    <w:basedOn w:val="HeadingBase"/>
    <w:next w:val="BodyText"/>
    <w:link w:val="Heading2Char"/>
    <w:qFormat/>
    <w:rsid w:val="00B958CF"/>
    <w:pPr>
      <w:keepLines/>
      <w:spacing w:before="240" w:after="120"/>
      <w:outlineLvl w:val="1"/>
    </w:pPr>
    <w:rPr>
      <w:sz w:val="28"/>
      <w:szCs w:val="40"/>
    </w:rPr>
  </w:style>
  <w:style w:type="paragraph" w:styleId="Heading3">
    <w:name w:val="heading 3"/>
    <w:basedOn w:val="HeadingBase"/>
    <w:next w:val="BodyText"/>
    <w:link w:val="Heading3Char"/>
    <w:qFormat/>
    <w:rsid w:val="00B958CF"/>
    <w:pPr>
      <w:spacing w:before="180" w:after="120"/>
      <w:outlineLvl w:val="2"/>
    </w:pPr>
    <w:rPr>
      <w:spacing w:val="-10"/>
      <w:kern w:val="32"/>
    </w:rPr>
  </w:style>
  <w:style w:type="paragraph" w:styleId="Heading4">
    <w:name w:val="heading 4"/>
    <w:basedOn w:val="HeadingBase"/>
    <w:next w:val="BodyText"/>
    <w:link w:val="Heading4Char"/>
    <w:qFormat/>
    <w:rsid w:val="00B958CF"/>
    <w:pPr>
      <w:spacing w:before="160" w:after="120"/>
      <w:outlineLvl w:val="3"/>
    </w:pPr>
    <w:rPr>
      <w:sz w:val="22"/>
    </w:rPr>
  </w:style>
  <w:style w:type="paragraph" w:styleId="Heading5">
    <w:name w:val="heading 5"/>
    <w:basedOn w:val="HeadingBase"/>
    <w:next w:val="Normal"/>
    <w:link w:val="Heading5Char"/>
    <w:qFormat/>
    <w:rsid w:val="00B958CF"/>
    <w:pPr>
      <w:spacing w:before="80"/>
      <w:outlineLvl w:val="4"/>
    </w:pPr>
    <w:rPr>
      <w:color w:val="918585"/>
      <w:sz w:val="20"/>
    </w:rPr>
  </w:style>
  <w:style w:type="paragraph" w:styleId="Heading6">
    <w:name w:val="heading 6"/>
    <w:basedOn w:val="HeadingBase"/>
    <w:next w:val="Normal"/>
    <w:link w:val="Heading6Char"/>
    <w:qFormat/>
    <w:rsid w:val="00B958CF"/>
    <w:pPr>
      <w:spacing w:before="60"/>
      <w:outlineLvl w:val="5"/>
    </w:pPr>
    <w:rPr>
      <w:color w:val="918585"/>
      <w:sz w:val="20"/>
    </w:rPr>
  </w:style>
  <w:style w:type="paragraph" w:styleId="Heading7">
    <w:name w:val="heading 7"/>
    <w:basedOn w:val="Normal"/>
    <w:next w:val="Normal"/>
    <w:link w:val="Heading7Char"/>
    <w:qFormat/>
    <w:rsid w:val="00B958CF"/>
    <w:pPr>
      <w:ind w:left="720"/>
      <w:outlineLvl w:val="6"/>
    </w:pPr>
    <w:rPr>
      <w:i/>
    </w:rPr>
  </w:style>
  <w:style w:type="paragraph" w:styleId="Heading8">
    <w:name w:val="heading 8"/>
    <w:basedOn w:val="Normal"/>
    <w:next w:val="Normal"/>
    <w:link w:val="Heading8Char"/>
    <w:qFormat/>
    <w:rsid w:val="00B958CF"/>
    <w:pPr>
      <w:ind w:left="720"/>
      <w:outlineLvl w:val="7"/>
    </w:pPr>
    <w:rPr>
      <w:i/>
    </w:rPr>
  </w:style>
  <w:style w:type="paragraph" w:styleId="Heading9">
    <w:name w:val="heading 9"/>
    <w:basedOn w:val="Normal"/>
    <w:next w:val="Normal"/>
    <w:link w:val="Heading9Char"/>
    <w:qFormat/>
    <w:rsid w:val="00B958CF"/>
    <w:pPr>
      <w:ind w:left="720"/>
      <w:outlineLvl w:val="8"/>
    </w:pPr>
    <w:rPr>
      <w:i/>
    </w:rPr>
  </w:style>
  <w:style w:type="character" w:default="1" w:styleId="DefaultParagraphFont">
    <w:name w:val="Default Paragraph Font"/>
    <w:uiPriority w:val="1"/>
    <w:unhideWhenUsed/>
    <w:rsid w:val="00B958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58CF"/>
  </w:style>
  <w:style w:type="character" w:customStyle="1" w:styleId="Heading1Char">
    <w:name w:val="Heading 1 Char"/>
    <w:basedOn w:val="DefaultParagraphFont"/>
    <w:link w:val="Heading1"/>
    <w:rsid w:val="00B958CF"/>
    <w:rPr>
      <w:rFonts w:ascii="Times New Roman" w:eastAsia="Times New Roman" w:hAnsi="Times New Roman" w:cs="Times New Roman"/>
      <w:b/>
      <w:sz w:val="32"/>
      <w:szCs w:val="20"/>
      <w:lang w:eastAsia="en-US"/>
    </w:rPr>
  </w:style>
  <w:style w:type="paragraph" w:styleId="BodyText">
    <w:name w:val="Body Text"/>
    <w:basedOn w:val="Normal"/>
    <w:link w:val="BodyTextChar"/>
    <w:rsid w:val="00B958C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958CF"/>
    <w:rPr>
      <w:rFonts w:ascii="Times New Roman" w:eastAsia="Times New Roman" w:hAnsi="Times New Roman" w:cs="Times New Roman"/>
      <w:sz w:val="24"/>
      <w:lang w:eastAsia="en-US"/>
    </w:rPr>
  </w:style>
  <w:style w:type="paragraph" w:styleId="Footer">
    <w:name w:val="footer"/>
    <w:basedOn w:val="Normal"/>
    <w:link w:val="FooterChar"/>
    <w:rsid w:val="00B958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58CF"/>
    <w:rPr>
      <w:rFonts w:ascii="Times New Roman" w:eastAsia="Times New Roman" w:hAnsi="Times New Roman" w:cs="Times New Roman"/>
      <w:sz w:val="16"/>
      <w:lang w:eastAsia="en-US"/>
    </w:rPr>
  </w:style>
  <w:style w:type="paragraph" w:styleId="ListBullet">
    <w:name w:val="List Bullet"/>
    <w:basedOn w:val="List"/>
    <w:rsid w:val="00B958CF"/>
    <w:pPr>
      <w:numPr>
        <w:numId w:val="13"/>
      </w:numPr>
      <w:tabs>
        <w:tab w:val="clear" w:pos="340"/>
      </w:tabs>
      <w:spacing w:before="40" w:after="40"/>
    </w:pPr>
  </w:style>
  <w:style w:type="character" w:customStyle="1" w:styleId="SpecialBold">
    <w:name w:val="Special Bold"/>
    <w:basedOn w:val="DefaultParagraphFont"/>
    <w:rsid w:val="00B958CF"/>
    <w:rPr>
      <w:b/>
      <w:spacing w:val="0"/>
    </w:rPr>
  </w:style>
  <w:style w:type="paragraph" w:styleId="ListBullet2">
    <w:name w:val="List Bullet 2"/>
    <w:basedOn w:val="List2"/>
    <w:rsid w:val="00B958CF"/>
    <w:pPr>
      <w:numPr>
        <w:numId w:val="14"/>
      </w:numPr>
      <w:tabs>
        <w:tab w:val="clear" w:pos="680"/>
      </w:tabs>
    </w:pPr>
  </w:style>
  <w:style w:type="paragraph" w:customStyle="1" w:styleId="SuperHeading">
    <w:name w:val="SuperHeading"/>
    <w:basedOn w:val="Normal"/>
    <w:rsid w:val="00B958CF"/>
    <w:pPr>
      <w:spacing w:before="240" w:after="120"/>
      <w:outlineLvl w:val="0"/>
    </w:pPr>
    <w:rPr>
      <w:rFonts w:ascii="Times New Roman" w:hAnsi="Times New Roman"/>
      <w:b/>
      <w:sz w:val="28"/>
    </w:rPr>
  </w:style>
  <w:style w:type="paragraph" w:customStyle="1" w:styleId="AllowPageBreak">
    <w:name w:val="AllowPageBreak"/>
    <w:rsid w:val="00B958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58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58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58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58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58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58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58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58CF"/>
    <w:rPr>
      <w:rFonts w:ascii="Courier New" w:eastAsia="Times New Roman" w:hAnsi="Courier New" w:cs="Times New Roman"/>
      <w:i/>
      <w:szCs w:val="20"/>
      <w:lang w:eastAsia="en-US"/>
    </w:rPr>
  </w:style>
  <w:style w:type="paragraph" w:customStyle="1" w:styleId="HeadingBase">
    <w:name w:val="Heading Base"/>
    <w:rsid w:val="00B958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58CF"/>
    <w:pPr>
      <w:tabs>
        <w:tab w:val="right" w:leader="dot" w:pos="9072"/>
      </w:tabs>
      <w:ind w:left="567"/>
    </w:pPr>
    <w:rPr>
      <w:szCs w:val="22"/>
    </w:rPr>
  </w:style>
  <w:style w:type="paragraph" w:customStyle="1" w:styleId="TOCBase">
    <w:name w:val="TOC Base"/>
    <w:rsid w:val="00B958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58CF"/>
    <w:pPr>
      <w:tabs>
        <w:tab w:val="right" w:leader="dot" w:pos="9072"/>
      </w:tabs>
      <w:spacing w:before="40" w:after="40"/>
      <w:ind w:left="284"/>
    </w:pPr>
    <w:rPr>
      <w:rFonts w:ascii="Times New Roman" w:hAnsi="Times New Roman"/>
    </w:rPr>
  </w:style>
  <w:style w:type="paragraph" w:styleId="TOC1">
    <w:name w:val="toc 1"/>
    <w:basedOn w:val="TOCBase"/>
    <w:next w:val="Normal"/>
    <w:rsid w:val="00B958C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958CF"/>
    <w:pPr>
      <w:spacing w:before="5040"/>
      <w:jc w:val="center"/>
    </w:pPr>
    <w:rPr>
      <w:sz w:val="48"/>
      <w:szCs w:val="72"/>
      <w:lang w:val="en-US"/>
    </w:rPr>
  </w:style>
  <w:style w:type="character" w:customStyle="1" w:styleId="TitleChar">
    <w:name w:val="Title Char"/>
    <w:basedOn w:val="DefaultParagraphFont"/>
    <w:link w:val="Title"/>
    <w:rsid w:val="00B958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58CF"/>
    <w:pPr>
      <w:tabs>
        <w:tab w:val="left" w:pos="3600"/>
        <w:tab w:val="left" w:pos="3958"/>
      </w:tabs>
    </w:pPr>
  </w:style>
  <w:style w:type="paragraph" w:styleId="List">
    <w:name w:val="List"/>
    <w:basedOn w:val="BodyText"/>
    <w:next w:val="BodyText"/>
    <w:rsid w:val="00B958CF"/>
    <w:pPr>
      <w:tabs>
        <w:tab w:val="left" w:pos="340"/>
      </w:tabs>
      <w:spacing w:before="60" w:after="60"/>
      <w:ind w:left="340" w:hanging="340"/>
    </w:pPr>
  </w:style>
  <w:style w:type="paragraph" w:customStyle="1" w:styleId="Note">
    <w:name w:val="Note"/>
    <w:basedOn w:val="BodyText"/>
    <w:rsid w:val="00B958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58CF"/>
    <w:pPr>
      <w:framePr w:wrap="auto" w:hAnchor="text" w:y="6049"/>
    </w:pPr>
    <w:rPr>
      <w:color w:val="000000"/>
      <w:sz w:val="40"/>
    </w:rPr>
  </w:style>
  <w:style w:type="paragraph" w:customStyle="1" w:styleId="TOCTitle">
    <w:name w:val="TOCTitle"/>
    <w:basedOn w:val="Heading1"/>
    <w:rsid w:val="00B958CF"/>
    <w:pPr>
      <w:spacing w:after="240"/>
      <w:jc w:val="center"/>
      <w:outlineLvl w:val="9"/>
    </w:pPr>
    <w:rPr>
      <w:caps/>
    </w:rPr>
  </w:style>
  <w:style w:type="paragraph" w:customStyle="1" w:styleId="Version">
    <w:name w:val="Version"/>
    <w:rsid w:val="00B958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58CF"/>
    <w:pPr>
      <w:keepNext w:val="0"/>
      <w:tabs>
        <w:tab w:val="right" w:pos="4176"/>
      </w:tabs>
      <w:ind w:left="198" w:hanging="198"/>
    </w:pPr>
    <w:rPr>
      <w:rFonts w:ascii="Garamond" w:hAnsi="Garamond"/>
    </w:rPr>
  </w:style>
  <w:style w:type="paragraph" w:styleId="IndexHeading">
    <w:name w:val="index heading"/>
    <w:basedOn w:val="Normal"/>
    <w:next w:val="Index1"/>
    <w:semiHidden/>
    <w:rsid w:val="00B958CF"/>
    <w:pPr>
      <w:spacing w:before="120" w:after="120"/>
    </w:pPr>
    <w:rPr>
      <w:rFonts w:ascii="Arial" w:hAnsi="Arial"/>
      <w:b/>
      <w:color w:val="918585"/>
      <w:sz w:val="24"/>
    </w:rPr>
  </w:style>
  <w:style w:type="paragraph" w:styleId="Header">
    <w:name w:val="header"/>
    <w:basedOn w:val="Normal"/>
    <w:link w:val="HeaderChar"/>
    <w:rsid w:val="00B958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58CF"/>
    <w:rPr>
      <w:rFonts w:ascii="Times New Roman" w:eastAsia="Times New Roman" w:hAnsi="Times New Roman" w:cs="Times New Roman"/>
      <w:sz w:val="16"/>
      <w:szCs w:val="20"/>
      <w:lang w:val="en-GB" w:eastAsia="en-US"/>
    </w:rPr>
  </w:style>
  <w:style w:type="paragraph" w:customStyle="1" w:styleId="Chapter">
    <w:name w:val="Chapter"/>
    <w:basedOn w:val="Normal"/>
    <w:rsid w:val="00B958CF"/>
    <w:pPr>
      <w:spacing w:before="240"/>
    </w:pPr>
    <w:rPr>
      <w:rFonts w:ascii="Times New Roman" w:hAnsi="Times New Roman"/>
      <w:smallCaps/>
      <w:spacing w:val="80"/>
      <w:sz w:val="28"/>
    </w:rPr>
  </w:style>
  <w:style w:type="paragraph" w:customStyle="1" w:styleId="InChapter">
    <w:name w:val="InChapter"/>
    <w:basedOn w:val="Heading3"/>
    <w:rsid w:val="00B958CF"/>
    <w:pPr>
      <w:spacing w:after="240"/>
      <w:outlineLvl w:val="9"/>
    </w:pPr>
    <w:rPr>
      <w:noProof/>
    </w:rPr>
  </w:style>
  <w:style w:type="paragraph" w:styleId="Index2">
    <w:name w:val="index 2"/>
    <w:basedOn w:val="Normal"/>
    <w:next w:val="Normal"/>
    <w:semiHidden/>
    <w:rsid w:val="00B958CF"/>
    <w:pPr>
      <w:tabs>
        <w:tab w:val="right" w:pos="4176"/>
      </w:tabs>
      <w:ind w:left="568" w:hanging="284"/>
    </w:pPr>
    <w:rPr>
      <w:rFonts w:ascii="Garamond" w:hAnsi="Garamond"/>
    </w:rPr>
  </w:style>
  <w:style w:type="paragraph" w:customStyle="1" w:styleId="Byline">
    <w:name w:val="Byline"/>
    <w:rsid w:val="00B958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58CF"/>
    <w:pPr>
      <w:tabs>
        <w:tab w:val="clear" w:pos="3600"/>
        <w:tab w:val="clear" w:pos="3958"/>
      </w:tabs>
      <w:jc w:val="right"/>
    </w:pPr>
  </w:style>
  <w:style w:type="character" w:styleId="Emphasis">
    <w:name w:val="Emphasis"/>
    <w:basedOn w:val="DefaultParagraphFont"/>
    <w:qFormat/>
    <w:rsid w:val="00B958CF"/>
    <w:rPr>
      <w:i/>
    </w:rPr>
  </w:style>
  <w:style w:type="paragraph" w:styleId="Caption">
    <w:name w:val="caption"/>
    <w:basedOn w:val="BodyText"/>
    <w:next w:val="Normal"/>
    <w:qFormat/>
    <w:rsid w:val="00B958CF"/>
    <w:pPr>
      <w:framePr w:w="2268" w:hSpace="181" w:vSpace="181" w:wrap="around" w:vAnchor="text" w:hAnchor="page" w:x="1135" w:y="285" w:anchorLock="1"/>
    </w:pPr>
    <w:rPr>
      <w:i/>
    </w:rPr>
  </w:style>
  <w:style w:type="paragraph" w:customStyle="1" w:styleId="MiniTOCTitle">
    <w:name w:val="MiniTOCTitle"/>
    <w:basedOn w:val="Heading4"/>
    <w:rsid w:val="00B958CF"/>
    <w:pPr>
      <w:spacing w:before="240"/>
      <w:outlineLvl w:val="9"/>
    </w:pPr>
    <w:rPr>
      <w:noProof/>
      <w:sz w:val="24"/>
    </w:rPr>
  </w:style>
  <w:style w:type="paragraph" w:customStyle="1" w:styleId="MiniTOCItem">
    <w:name w:val="MiniTOCItem"/>
    <w:basedOn w:val="ListBullet"/>
    <w:rsid w:val="00B958CF"/>
    <w:pPr>
      <w:numPr>
        <w:numId w:val="0"/>
      </w:numPr>
      <w:tabs>
        <w:tab w:val="right" w:leader="dot" w:pos="6521"/>
      </w:tabs>
      <w:spacing w:before="0" w:after="0"/>
    </w:pPr>
  </w:style>
  <w:style w:type="paragraph" w:customStyle="1" w:styleId="TOFTitle">
    <w:name w:val="TOFTitle"/>
    <w:basedOn w:val="TOCTitle"/>
    <w:rsid w:val="00B958CF"/>
  </w:style>
  <w:style w:type="paragraph" w:styleId="TableofFigures">
    <w:name w:val="table of figures"/>
    <w:basedOn w:val="Normal"/>
    <w:next w:val="Normal"/>
    <w:semiHidden/>
    <w:rsid w:val="00B958CF"/>
    <w:pPr>
      <w:tabs>
        <w:tab w:val="right" w:leader="dot" w:pos="9072"/>
      </w:tabs>
      <w:ind w:left="970" w:hanging="403"/>
    </w:pPr>
    <w:rPr>
      <w:rFonts w:ascii="Times New Roman" w:hAnsi="Times New Roman"/>
      <w:b/>
    </w:rPr>
  </w:style>
  <w:style w:type="paragraph" w:styleId="ListNumber">
    <w:name w:val="List Number"/>
    <w:basedOn w:val="List"/>
    <w:rsid w:val="00B958CF"/>
    <w:pPr>
      <w:numPr>
        <w:numId w:val="11"/>
      </w:numPr>
    </w:pPr>
  </w:style>
  <w:style w:type="character" w:customStyle="1" w:styleId="WingdingSymbols">
    <w:name w:val="Wingding Symbols"/>
    <w:rsid w:val="00B958CF"/>
    <w:rPr>
      <w:rFonts w:ascii="Wingdings" w:hAnsi="Wingdings"/>
    </w:rPr>
  </w:style>
  <w:style w:type="paragraph" w:customStyle="1" w:styleId="TableHeading">
    <w:name w:val="Table Heading"/>
    <w:basedOn w:val="HeadingBase"/>
    <w:rsid w:val="00B958CF"/>
    <w:pPr>
      <w:keepLines/>
      <w:pBdr>
        <w:bottom w:val="single" w:sz="6" w:space="1" w:color="918585"/>
      </w:pBdr>
      <w:spacing w:before="240"/>
    </w:pPr>
  </w:style>
  <w:style w:type="character" w:customStyle="1" w:styleId="HotSpot">
    <w:name w:val="HotSpot"/>
    <w:rsid w:val="00B958CF"/>
    <w:rPr>
      <w:color w:val="0033CC"/>
      <w:u w:val="none"/>
    </w:rPr>
  </w:style>
  <w:style w:type="paragraph" w:customStyle="1" w:styleId="BodyTextRight">
    <w:name w:val="Body Text Right"/>
    <w:basedOn w:val="BodyText"/>
    <w:rsid w:val="00B958CF"/>
    <w:pPr>
      <w:spacing w:before="0" w:after="0"/>
      <w:jc w:val="right"/>
    </w:pPr>
  </w:style>
  <w:style w:type="paragraph" w:styleId="Index3">
    <w:name w:val="index 3"/>
    <w:basedOn w:val="ListNumber2"/>
    <w:next w:val="Normal"/>
    <w:semiHidden/>
    <w:rsid w:val="00B958CF"/>
    <w:pPr>
      <w:numPr>
        <w:numId w:val="0"/>
      </w:numPr>
      <w:tabs>
        <w:tab w:val="right" w:leader="dot" w:pos="4176"/>
      </w:tabs>
    </w:pPr>
  </w:style>
  <w:style w:type="paragraph" w:styleId="ListNumber2">
    <w:name w:val="List Number 2"/>
    <w:basedOn w:val="List2"/>
    <w:rsid w:val="00B958CF"/>
    <w:pPr>
      <w:numPr>
        <w:numId w:val="10"/>
      </w:numPr>
      <w:tabs>
        <w:tab w:val="clear" w:pos="1060"/>
      </w:tabs>
    </w:pPr>
  </w:style>
  <w:style w:type="paragraph" w:customStyle="1" w:styleId="MarginNote">
    <w:name w:val="Margin Note"/>
    <w:basedOn w:val="BodyText"/>
    <w:rsid w:val="00B958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58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58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58CF"/>
    <w:rPr>
      <w:sz w:val="32"/>
    </w:rPr>
  </w:style>
  <w:style w:type="paragraph" w:customStyle="1" w:styleId="HeadingProcedure">
    <w:name w:val="Heading Procedure"/>
    <w:basedOn w:val="HeadingBase"/>
    <w:next w:val="Normal"/>
    <w:rsid w:val="00B958CF"/>
    <w:pPr>
      <w:tabs>
        <w:tab w:val="left" w:pos="0"/>
      </w:tabs>
      <w:spacing w:before="120" w:after="60"/>
    </w:pPr>
    <w:rPr>
      <w:i/>
      <w:color w:val="918585"/>
      <w:sz w:val="22"/>
    </w:rPr>
  </w:style>
  <w:style w:type="paragraph" w:customStyle="1" w:styleId="TableBodyText">
    <w:name w:val="Table Body Text"/>
    <w:basedOn w:val="BodyText"/>
    <w:rsid w:val="00B958CF"/>
    <w:pPr>
      <w:spacing w:before="60" w:after="60"/>
    </w:pPr>
  </w:style>
  <w:style w:type="paragraph" w:styleId="ListContinue">
    <w:name w:val="List Continue"/>
    <w:basedOn w:val="List"/>
    <w:rsid w:val="00B958CF"/>
    <w:pPr>
      <w:ind w:firstLine="0"/>
    </w:pPr>
  </w:style>
  <w:style w:type="paragraph" w:customStyle="1" w:styleId="ListNote">
    <w:name w:val="List Note"/>
    <w:basedOn w:val="List"/>
    <w:rsid w:val="00B958CF"/>
    <w:pPr>
      <w:pBdr>
        <w:top w:val="single" w:sz="6" w:space="2" w:color="918585"/>
        <w:bottom w:val="single" w:sz="6" w:space="2" w:color="918585"/>
      </w:pBdr>
      <w:tabs>
        <w:tab w:val="left" w:pos="1021"/>
      </w:tabs>
      <w:ind w:firstLine="0"/>
    </w:pPr>
  </w:style>
  <w:style w:type="paragraph" w:customStyle="1" w:styleId="Warning">
    <w:name w:val="Warning"/>
    <w:basedOn w:val="BodyText"/>
    <w:rsid w:val="00B958CF"/>
    <w:pPr>
      <w:shd w:val="clear" w:color="auto" w:fill="D9D9D9"/>
      <w:tabs>
        <w:tab w:val="left" w:pos="992"/>
      </w:tabs>
      <w:ind w:left="119" w:right="119"/>
    </w:pPr>
    <w:rPr>
      <w:sz w:val="20"/>
    </w:rPr>
  </w:style>
  <w:style w:type="paragraph" w:customStyle="1" w:styleId="MarginIcons">
    <w:name w:val="Margin Icons"/>
    <w:basedOn w:val="BodyText"/>
    <w:rsid w:val="00B958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58CF"/>
    <w:rPr>
      <w:rFonts w:ascii="Courier New" w:hAnsi="Courier New"/>
    </w:rPr>
  </w:style>
  <w:style w:type="paragraph" w:customStyle="1" w:styleId="NoteBullet">
    <w:name w:val="Note Bullet"/>
    <w:basedOn w:val="Note"/>
    <w:rsid w:val="00B958CF"/>
    <w:pPr>
      <w:tabs>
        <w:tab w:val="clear" w:pos="680"/>
      </w:tabs>
      <w:spacing w:before="60" w:after="60"/>
    </w:pPr>
  </w:style>
  <w:style w:type="paragraph" w:customStyle="1" w:styleId="SubHeading2">
    <w:name w:val="SubHeading2"/>
    <w:basedOn w:val="HeadingBase"/>
    <w:rsid w:val="00B958CF"/>
    <w:pPr>
      <w:spacing w:before="240" w:after="60"/>
    </w:pPr>
    <w:rPr>
      <w:sz w:val="20"/>
    </w:rPr>
  </w:style>
  <w:style w:type="paragraph" w:customStyle="1" w:styleId="SubHeading1">
    <w:name w:val="SubHeading1"/>
    <w:basedOn w:val="HeadingBase"/>
    <w:rsid w:val="00B958CF"/>
    <w:pPr>
      <w:spacing w:before="240" w:after="60"/>
    </w:pPr>
    <w:rPr>
      <w:color w:val="918585"/>
      <w:sz w:val="22"/>
    </w:rPr>
  </w:style>
  <w:style w:type="paragraph" w:customStyle="1" w:styleId="SideHeading">
    <w:name w:val="Side Heading"/>
    <w:basedOn w:val="HeadingBase"/>
    <w:rsid w:val="00B958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58CF"/>
    <w:pPr>
      <w:numPr>
        <w:numId w:val="12"/>
      </w:numPr>
    </w:pPr>
  </w:style>
  <w:style w:type="paragraph" w:styleId="PlainText">
    <w:name w:val="Plain Text"/>
    <w:basedOn w:val="Normal"/>
    <w:link w:val="PlainTextChar"/>
    <w:rsid w:val="00B958CF"/>
    <w:rPr>
      <w:sz w:val="20"/>
    </w:rPr>
  </w:style>
  <w:style w:type="character" w:customStyle="1" w:styleId="PlainTextChar">
    <w:name w:val="Plain Text Char"/>
    <w:basedOn w:val="DefaultParagraphFont"/>
    <w:link w:val="PlainText"/>
    <w:rsid w:val="00B958CF"/>
    <w:rPr>
      <w:rFonts w:ascii="Courier New" w:eastAsia="Times New Roman" w:hAnsi="Courier New" w:cs="Times New Roman"/>
      <w:sz w:val="20"/>
      <w:szCs w:val="20"/>
      <w:lang w:eastAsia="en-US"/>
    </w:rPr>
  </w:style>
  <w:style w:type="character" w:customStyle="1" w:styleId="MenuOption">
    <w:name w:val="Menu Option"/>
    <w:basedOn w:val="DefaultParagraphFont"/>
    <w:rsid w:val="00B958CF"/>
    <w:rPr>
      <w:b/>
      <w:smallCaps/>
    </w:rPr>
  </w:style>
  <w:style w:type="paragraph" w:customStyle="1" w:styleId="TableListNumber">
    <w:name w:val="Table List Number"/>
    <w:basedOn w:val="ListNumber"/>
    <w:rsid w:val="00B958CF"/>
    <w:pPr>
      <w:numPr>
        <w:numId w:val="0"/>
      </w:numPr>
    </w:pPr>
  </w:style>
  <w:style w:type="paragraph" w:styleId="TOC4">
    <w:name w:val="toc 4"/>
    <w:basedOn w:val="TOCBase"/>
    <w:next w:val="Normal"/>
    <w:semiHidden/>
    <w:rsid w:val="00B958CF"/>
    <w:pPr>
      <w:tabs>
        <w:tab w:val="right" w:leader="dot" w:pos="9071"/>
      </w:tabs>
      <w:ind w:left="1701"/>
    </w:pPr>
  </w:style>
  <w:style w:type="paragraph" w:customStyle="1" w:styleId="ListAlpha">
    <w:name w:val="List Alpha"/>
    <w:basedOn w:val="List"/>
    <w:rsid w:val="00B958CF"/>
    <w:pPr>
      <w:numPr>
        <w:numId w:val="9"/>
      </w:numPr>
    </w:pPr>
  </w:style>
  <w:style w:type="paragraph" w:customStyle="1" w:styleId="ListAlpha2">
    <w:name w:val="List Alpha 2"/>
    <w:basedOn w:val="List2"/>
    <w:rsid w:val="00B958CF"/>
    <w:pPr>
      <w:numPr>
        <w:numId w:val="8"/>
      </w:numPr>
    </w:pPr>
  </w:style>
  <w:style w:type="paragraph" w:styleId="List2">
    <w:name w:val="List 2"/>
    <w:basedOn w:val="BodyText"/>
    <w:rsid w:val="00B958CF"/>
    <w:pPr>
      <w:tabs>
        <w:tab w:val="left" w:pos="680"/>
      </w:tabs>
      <w:spacing w:before="60" w:after="60"/>
      <w:ind w:left="680" w:hanging="340"/>
    </w:pPr>
  </w:style>
  <w:style w:type="paragraph" w:styleId="List3">
    <w:name w:val="List 3"/>
    <w:basedOn w:val="BodyText"/>
    <w:rsid w:val="00B958CF"/>
    <w:pPr>
      <w:tabs>
        <w:tab w:val="left" w:pos="1021"/>
      </w:tabs>
      <w:spacing w:before="60" w:after="60"/>
      <w:ind w:left="1020" w:hanging="340"/>
    </w:pPr>
  </w:style>
  <w:style w:type="paragraph" w:styleId="List4">
    <w:name w:val="List 4"/>
    <w:basedOn w:val="BodyText"/>
    <w:rsid w:val="00B958CF"/>
    <w:pPr>
      <w:tabs>
        <w:tab w:val="left" w:pos="1361"/>
      </w:tabs>
      <w:spacing w:before="60" w:after="60"/>
      <w:ind w:left="1361" w:hanging="340"/>
    </w:pPr>
  </w:style>
  <w:style w:type="paragraph" w:styleId="List5">
    <w:name w:val="List 5"/>
    <w:basedOn w:val="BodyText"/>
    <w:rsid w:val="00B958CF"/>
    <w:pPr>
      <w:tabs>
        <w:tab w:val="left" w:pos="1701"/>
      </w:tabs>
      <w:spacing w:before="60" w:after="60"/>
      <w:ind w:left="1701" w:hanging="340"/>
    </w:pPr>
  </w:style>
  <w:style w:type="paragraph" w:styleId="ListBullet3">
    <w:name w:val="List Bullet 3"/>
    <w:basedOn w:val="List3"/>
    <w:rsid w:val="00B958CF"/>
    <w:pPr>
      <w:numPr>
        <w:numId w:val="15"/>
      </w:numPr>
      <w:tabs>
        <w:tab w:val="clear" w:pos="1021"/>
      </w:tabs>
      <w:ind w:left="1037" w:hanging="357"/>
    </w:pPr>
  </w:style>
  <w:style w:type="paragraph" w:styleId="ListBullet4">
    <w:name w:val="List Bullet 4"/>
    <w:basedOn w:val="List4"/>
    <w:rsid w:val="00B958CF"/>
    <w:pPr>
      <w:numPr>
        <w:numId w:val="3"/>
      </w:numPr>
    </w:pPr>
  </w:style>
  <w:style w:type="paragraph" w:styleId="ListBullet5">
    <w:name w:val="List Bullet 5"/>
    <w:basedOn w:val="List5"/>
    <w:rsid w:val="00B958CF"/>
    <w:pPr>
      <w:numPr>
        <w:numId w:val="4"/>
      </w:numPr>
    </w:pPr>
  </w:style>
  <w:style w:type="paragraph" w:styleId="ListContinue2">
    <w:name w:val="List Continue 2"/>
    <w:basedOn w:val="List2"/>
    <w:rsid w:val="00B958CF"/>
    <w:pPr>
      <w:ind w:firstLine="0"/>
    </w:pPr>
  </w:style>
  <w:style w:type="paragraph" w:styleId="ListContinue3">
    <w:name w:val="List Continue 3"/>
    <w:basedOn w:val="List3"/>
    <w:rsid w:val="00B958CF"/>
    <w:pPr>
      <w:ind w:left="1021" w:firstLine="0"/>
    </w:pPr>
  </w:style>
  <w:style w:type="paragraph" w:styleId="ListContinue4">
    <w:name w:val="List Continue 4"/>
    <w:basedOn w:val="List4"/>
    <w:rsid w:val="00B958CF"/>
    <w:pPr>
      <w:ind w:firstLine="0"/>
    </w:pPr>
  </w:style>
  <w:style w:type="paragraph" w:styleId="ListContinue5">
    <w:name w:val="List Continue 5"/>
    <w:basedOn w:val="List5"/>
    <w:rsid w:val="00B958CF"/>
    <w:pPr>
      <w:ind w:firstLine="0"/>
    </w:pPr>
  </w:style>
  <w:style w:type="paragraph" w:styleId="ListNumber3">
    <w:name w:val="List Number 3"/>
    <w:basedOn w:val="List3"/>
    <w:rsid w:val="00B958CF"/>
    <w:pPr>
      <w:numPr>
        <w:numId w:val="5"/>
      </w:numPr>
    </w:pPr>
  </w:style>
  <w:style w:type="paragraph" w:styleId="ListNumber4">
    <w:name w:val="List Number 4"/>
    <w:basedOn w:val="List4"/>
    <w:rsid w:val="00B958CF"/>
    <w:pPr>
      <w:numPr>
        <w:numId w:val="6"/>
      </w:numPr>
    </w:pPr>
  </w:style>
  <w:style w:type="paragraph" w:styleId="ListNumber5">
    <w:name w:val="List Number 5"/>
    <w:basedOn w:val="List5"/>
    <w:rsid w:val="00B958CF"/>
    <w:pPr>
      <w:numPr>
        <w:numId w:val="7"/>
      </w:numPr>
    </w:pPr>
  </w:style>
  <w:style w:type="paragraph" w:styleId="BlockText">
    <w:name w:val="Block Text"/>
    <w:basedOn w:val="Normal"/>
    <w:rsid w:val="00B958CF"/>
    <w:pPr>
      <w:spacing w:after="120"/>
      <w:ind w:left="1440" w:right="1440"/>
    </w:pPr>
  </w:style>
  <w:style w:type="character" w:customStyle="1" w:styleId="Subscript">
    <w:name w:val="Subscript"/>
    <w:basedOn w:val="DefaultParagraphFont"/>
    <w:rsid w:val="00B958CF"/>
    <w:rPr>
      <w:sz w:val="16"/>
      <w:vertAlign w:val="subscript"/>
    </w:rPr>
  </w:style>
  <w:style w:type="character" w:customStyle="1" w:styleId="Superscript">
    <w:name w:val="Superscript"/>
    <w:basedOn w:val="DefaultParagraphFont"/>
    <w:rsid w:val="00B958CF"/>
    <w:rPr>
      <w:sz w:val="16"/>
      <w:vertAlign w:val="superscript"/>
    </w:rPr>
  </w:style>
  <w:style w:type="character" w:customStyle="1" w:styleId="Symbols">
    <w:name w:val="Symbols"/>
    <w:basedOn w:val="DefaultParagraphFont"/>
    <w:rsid w:val="00B958CF"/>
    <w:rPr>
      <w:rFonts w:ascii="Symbol" w:hAnsi="Symbol"/>
    </w:rPr>
  </w:style>
  <w:style w:type="character" w:customStyle="1" w:styleId="MenuOptions">
    <w:name w:val="Menu Options"/>
    <w:basedOn w:val="DefaultParagraphFont"/>
    <w:rsid w:val="00B958CF"/>
    <w:rPr>
      <w:rFonts w:ascii="Arial Narrow" w:hAnsi="Arial Narrow"/>
      <w:smallCaps/>
    </w:rPr>
  </w:style>
  <w:style w:type="character" w:customStyle="1" w:styleId="Buttons">
    <w:name w:val="Buttons"/>
    <w:basedOn w:val="DefaultParagraphFont"/>
    <w:rsid w:val="00B958CF"/>
    <w:rPr>
      <w:b/>
    </w:rPr>
  </w:style>
  <w:style w:type="character" w:customStyle="1" w:styleId="Underlined">
    <w:name w:val="Underlined"/>
    <w:basedOn w:val="DefaultParagraphFont"/>
    <w:rsid w:val="00B958CF"/>
    <w:rPr>
      <w:u w:val="single"/>
    </w:rPr>
  </w:style>
  <w:style w:type="paragraph" w:customStyle="1" w:styleId="TableBodyTextRight">
    <w:name w:val="Table Body Text Right"/>
    <w:basedOn w:val="TableBodyText"/>
    <w:rsid w:val="00B958CF"/>
    <w:pPr>
      <w:widowControl w:val="0"/>
      <w:autoSpaceDE w:val="0"/>
      <w:autoSpaceDN w:val="0"/>
      <w:adjustRightInd w:val="0"/>
      <w:jc w:val="right"/>
    </w:pPr>
    <w:rPr>
      <w:rFonts w:cs="Arial"/>
      <w:szCs w:val="18"/>
    </w:rPr>
  </w:style>
  <w:style w:type="paragraph" w:customStyle="1" w:styleId="CopyrightText">
    <w:name w:val="Copyright Text"/>
    <w:basedOn w:val="BodyText"/>
    <w:rsid w:val="00B958CF"/>
    <w:rPr>
      <w:sz w:val="18"/>
    </w:rPr>
  </w:style>
  <w:style w:type="paragraph" w:customStyle="1" w:styleId="BodySmallRight">
    <w:name w:val="Body Small Right"/>
    <w:basedOn w:val="BodyTextRight"/>
    <w:rsid w:val="00B958CF"/>
    <w:rPr>
      <w:sz w:val="18"/>
      <w:szCs w:val="18"/>
    </w:rPr>
  </w:style>
  <w:style w:type="paragraph" w:customStyle="1" w:styleId="MarginEdition">
    <w:name w:val="Margin Edition"/>
    <w:basedOn w:val="MarginNote"/>
    <w:rsid w:val="00B958CF"/>
    <w:pPr>
      <w:spacing w:before="0" w:after="0"/>
    </w:pPr>
    <w:rPr>
      <w:rFonts w:ascii="Times New Roman" w:hAnsi="Times New Roman"/>
      <w:color w:val="999999"/>
    </w:rPr>
  </w:style>
  <w:style w:type="paragraph" w:customStyle="1" w:styleId="Spacer">
    <w:name w:val="Spacer"/>
    <w:basedOn w:val="Normal"/>
    <w:rsid w:val="00B958CF"/>
    <w:rPr>
      <w:sz w:val="2"/>
      <w:szCs w:val="2"/>
    </w:rPr>
  </w:style>
  <w:style w:type="character" w:customStyle="1" w:styleId="Small">
    <w:name w:val="Small"/>
    <w:basedOn w:val="DefaultParagraphFont"/>
    <w:rsid w:val="00B958CF"/>
    <w:rPr>
      <w:sz w:val="16"/>
    </w:rPr>
  </w:style>
  <w:style w:type="paragraph" w:customStyle="1" w:styleId="WideTable">
    <w:name w:val="Wide Table"/>
    <w:basedOn w:val="Normal"/>
    <w:rsid w:val="00B958CF"/>
    <w:pPr>
      <w:ind w:left="-1418"/>
    </w:pPr>
    <w:rPr>
      <w:sz w:val="2"/>
      <w:szCs w:val="2"/>
    </w:rPr>
  </w:style>
  <w:style w:type="character" w:styleId="PageNumber">
    <w:name w:val="page number"/>
    <w:basedOn w:val="DefaultParagraphFont"/>
    <w:rsid w:val="00B958CF"/>
  </w:style>
  <w:style w:type="paragraph" w:styleId="Quote">
    <w:name w:val="Quote"/>
    <w:basedOn w:val="Heading1"/>
    <w:link w:val="QuoteChar"/>
    <w:qFormat/>
    <w:rsid w:val="00B958CF"/>
    <w:rPr>
      <w:b w:val="0"/>
      <w:sz w:val="72"/>
      <w:szCs w:val="72"/>
      <w:lang w:val="en-NZ"/>
    </w:rPr>
  </w:style>
  <w:style w:type="character" w:customStyle="1" w:styleId="QuoteChar">
    <w:name w:val="Quote Char"/>
    <w:basedOn w:val="DefaultParagraphFont"/>
    <w:link w:val="Quote"/>
    <w:rsid w:val="00B958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58CF"/>
    <w:pPr>
      <w:pageBreakBefore/>
    </w:pPr>
  </w:style>
  <w:style w:type="paragraph" w:customStyle="1" w:styleId="Border">
    <w:name w:val="Border"/>
    <w:basedOn w:val="Normal"/>
    <w:qFormat/>
    <w:rsid w:val="00B958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58CF"/>
    <w:rPr>
      <w:b/>
      <w:bCs/>
      <w:i/>
      <w:iCs/>
      <w:color w:val="auto"/>
    </w:rPr>
  </w:style>
  <w:style w:type="paragraph" w:styleId="IntenseQuote">
    <w:name w:val="Intense Quote"/>
    <w:basedOn w:val="Normal"/>
    <w:next w:val="Normal"/>
    <w:link w:val="IntenseQuoteChar"/>
    <w:uiPriority w:val="30"/>
    <w:qFormat/>
    <w:rsid w:val="00B958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58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58CF"/>
    <w:rPr>
      <w:smallCaps/>
      <w:color w:val="auto"/>
      <w:u w:val="single"/>
    </w:rPr>
  </w:style>
  <w:style w:type="character" w:styleId="IntenseReference">
    <w:name w:val="Intense Reference"/>
    <w:basedOn w:val="DefaultParagraphFont"/>
    <w:uiPriority w:val="32"/>
    <w:qFormat/>
    <w:rsid w:val="00B958CF"/>
    <w:rPr>
      <w:b/>
      <w:bCs/>
      <w:smallCaps/>
      <w:color w:val="auto"/>
      <w:spacing w:val="5"/>
      <w:u w:val="single"/>
    </w:rPr>
  </w:style>
  <w:style w:type="paragraph" w:customStyle="1" w:styleId="2ColumnHeading">
    <w:name w:val="2Column Heading"/>
    <w:basedOn w:val="BodyText"/>
    <w:qFormat/>
    <w:rsid w:val="00B958CF"/>
    <w:pPr>
      <w:spacing w:after="60"/>
      <w:ind w:left="-2268"/>
    </w:pPr>
    <w:rPr>
      <w:b/>
    </w:rPr>
  </w:style>
  <w:style w:type="paragraph" w:customStyle="1" w:styleId="Heading1TOC">
    <w:name w:val="Heading1 TOC"/>
    <w:basedOn w:val="Normal"/>
    <w:qFormat/>
    <w:rsid w:val="00B958CF"/>
    <w:pPr>
      <w:spacing w:before="240" w:after="120"/>
    </w:pPr>
    <w:rPr>
      <w:rFonts w:ascii="Times New Roman" w:hAnsi="Times New Roman"/>
      <w:b/>
      <w:sz w:val="32"/>
    </w:rPr>
  </w:style>
  <w:style w:type="paragraph" w:customStyle="1" w:styleId="Heading2TOC">
    <w:name w:val="Heading2 TOC"/>
    <w:basedOn w:val="Normal"/>
    <w:qFormat/>
    <w:rsid w:val="00B958CF"/>
    <w:pPr>
      <w:spacing w:before="240" w:after="60"/>
    </w:pPr>
    <w:rPr>
      <w:rFonts w:ascii="Times New Roman" w:hAnsi="Times New Roman"/>
      <w:b/>
      <w:sz w:val="28"/>
    </w:rPr>
  </w:style>
  <w:style w:type="character" w:customStyle="1" w:styleId="Underline">
    <w:name w:val="Underline"/>
    <w:basedOn w:val="DefaultParagraphFont"/>
    <w:qFormat/>
    <w:rsid w:val="00B958CF"/>
    <w:rPr>
      <w:u w:val="single"/>
    </w:rPr>
  </w:style>
  <w:style w:type="character" w:customStyle="1" w:styleId="BoldandItalics">
    <w:name w:val="Bold and Italics"/>
    <w:qFormat/>
    <w:rsid w:val="00B958CF"/>
    <w:rPr>
      <w:b/>
      <w:i/>
      <w:u w:val="none"/>
    </w:rPr>
  </w:style>
  <w:style w:type="paragraph" w:styleId="BalloonText">
    <w:name w:val="Balloon Text"/>
    <w:basedOn w:val="Normal"/>
    <w:link w:val="BalloonTextChar"/>
    <w:rsid w:val="00B958CF"/>
    <w:rPr>
      <w:rFonts w:ascii="Tahoma" w:hAnsi="Tahoma" w:cs="Tahoma"/>
      <w:sz w:val="16"/>
      <w:szCs w:val="16"/>
    </w:rPr>
  </w:style>
  <w:style w:type="character" w:customStyle="1" w:styleId="BalloonTextChar">
    <w:name w:val="Balloon Text Char"/>
    <w:basedOn w:val="DefaultParagraphFont"/>
    <w:link w:val="BalloonText"/>
    <w:rsid w:val="00B958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58C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958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58CF"/>
    <w:rPr>
      <w:b/>
      <w:color w:val="660033"/>
      <w:spacing w:val="0"/>
    </w:rPr>
  </w:style>
  <w:style w:type="paragraph" w:customStyle="1" w:styleId="Nameditemlist">
    <w:name w:val="Named item list"/>
    <w:basedOn w:val="BodyText"/>
    <w:qFormat/>
    <w:rsid w:val="00B958C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1736</Words>
  <Characters>10387</Characters>
  <Application>Microsoft Office Word</Application>
  <DocSecurity>0</DocSecurity>
  <Lines>392</Lines>
  <Paragraphs>158</Paragraphs>
  <ScaleCrop>false</ScaleCrop>
  <Company>Author-it Software Corporation Ltd.</Company>
  <LinksUpToDate>false</LinksUpToDate>
  <CharactersWithSpaces>12008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UEENEEI043A Develop access control of integrated systems using logic-based programming tools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2012-10-11T18:08:00Z</dcterms:created>
  <dcterms:modified xsi:type="dcterms:W3CDTF">2012-10-11T18:08:00Z</dcterms:modified>
</cp:coreProperties>
</file>