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2999" w:rsidP="004F2999">
      <w:pPr>
        <w:pStyle w:val="Title"/>
      </w:pPr>
      <w:bookmarkStart w:id="0" w:name="_GoBack"/>
      <w:bookmarkEnd w:id="0"/>
      <w:r>
        <w:fldChar w:fldCharType="begin"/>
      </w:r>
      <w:r>
        <w:instrText xml:space="preserve"> TITLE   \* MERGEFORMAT </w:instrText>
      </w:r>
      <w:r>
        <w:fldChar w:fldCharType="separate"/>
      </w:r>
      <w:r>
        <w:t>UEENEEI012B Verify compliance and functionality of process control installations</w:t>
      </w:r>
      <w:r>
        <w:fldChar w:fldCharType="end"/>
      </w:r>
    </w:p>
    <w:p w:rsidR="004F2999" w:rsidP="004F2999">
      <w:pPr>
        <w:pStyle w:val="Version"/>
        <w:sectPr w:rsidSect="00CB12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1259" w:rsidP="00CB1259">
      <w:pPr>
        <w:pStyle w:val="SuperHeading"/>
      </w:pPr>
      <w:r w:rsidRPr="00CB1259">
        <w:t>UEENEEI012B Verify compliance and functionality of process control installations</w:t>
      </w:r>
    </w:p>
    <w:p w:rsidR="00000000" w:rsidRPr="00CB1259" w:rsidP="00CB1259">
      <w:pPr>
        <w:pStyle w:val="Heading1"/>
      </w:pPr>
      <w:bookmarkStart w:id="1" w:name="O_274786"/>
      <w:bookmarkEnd w:id="1"/>
      <w:r w:rsidRPr="00CB1259">
        <w:t>Modification History</w:t>
      </w:r>
    </w:p>
    <w:p w:rsidR="00000000" w:rsidRPr="00CB1259" w:rsidP="00CB1259">
      <w:pPr>
        <w:pStyle w:val="BodyText"/>
      </w:pPr>
      <w:r w:rsidRPr="00CB1259">
        <w:t>Not Applicable</w:t>
      </w:r>
    </w:p>
    <w:p w:rsidR="00000000" w:rsidRPr="00CB1259" w:rsidP="00CB1259">
      <w:pPr>
        <w:pStyle w:val="AllowPageBreak"/>
      </w:pPr>
    </w:p>
    <w:p w:rsidR="00000000" w:rsidRPr="00CB1259" w:rsidP="00CB1259">
      <w:pPr>
        <w:pStyle w:val="Heading1"/>
      </w:pPr>
      <w:bookmarkStart w:id="2" w:name="O_227257"/>
      <w:bookmarkEnd w:id="2"/>
      <w:r w:rsidRPr="00CB1259">
        <w:t>Unit Descriptor</w:t>
      </w:r>
    </w:p>
    <w:tbl>
      <w:tblPr>
        <w:tblW w:w="0" w:type="auto"/>
        <w:tblLayout w:type="fixed"/>
        <w:tblCellMar>
          <w:left w:w="62" w:type="dxa"/>
          <w:right w:w="62" w:type="dxa"/>
        </w:tblCellMar>
        <w:tblLook w:val="0000"/>
      </w:tblPr>
      <w:tblGrid>
        <w:gridCol w:w="2700"/>
        <w:gridCol w:w="5760"/>
      </w:tblGrid>
      <w:tr w:rsidTr="004F299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B1259" w:rsidP="00CB1259">
            <w:pPr>
              <w:pStyle w:val="BodyText"/>
            </w:pPr>
            <w:r w:rsidRPr="00CB125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CB1259" w:rsidP="00CB1259">
            <w:pPr>
              <w:pStyle w:val="BodyText"/>
            </w:pPr>
            <w:r w:rsidRPr="00CB1259">
              <w:rPr>
                <w:rStyle w:val="SpecialBold"/>
              </w:rPr>
              <w:t>1</w:t>
            </w:r>
            <w:r w:rsidRPr="00CB1259">
              <w:t xml:space="preserve">) </w:t>
            </w:r>
          </w:p>
          <w:p w:rsidR="00000000" w:rsidP="00CB1259">
            <w:pPr>
              <w:pStyle w:val="BodyText"/>
              <w:rPr>
                <w:lang w:val="en-NZ"/>
              </w:rPr>
            </w:pPr>
            <w:r w:rsidRPr="00CB1259">
              <w:rPr>
                <w:rStyle w:val="SpecialBold"/>
              </w:rPr>
              <w:t>1</w:t>
            </w:r>
            <w:r w:rsidRPr="00CB1259">
              <w:t>.</w:t>
            </w:r>
            <w:r w:rsidRPr="00CB1259">
              <w:rPr>
                <w:rStyle w:val="SpecialBold"/>
              </w:rPr>
              <w:t>1</w:t>
            </w:r>
            <w:r w:rsidRPr="00CB1259">
              <w:t xml:space="preserve">) </w:t>
            </w:r>
            <w:r w:rsidRPr="00CB1259">
              <w:rPr>
                <w:rStyle w:val="SpecialBold"/>
              </w:rPr>
              <w:t>Descriptor</w:t>
            </w:r>
          </w:p>
        </w:tc>
      </w:tr>
      <w:tr w:rsidTr="004F299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B1259" w:rsidP="00CB1259">
            <w:pPr>
              <w:pStyle w:val="BodyText"/>
            </w:pPr>
            <w:r w:rsidRPr="00CB1259">
              <w:t xml:space="preserve">This unit covers pre-commissioning testing and visual inspection for verifying that installed process control apparatus in non-hazardous areas is safe and complies with requirements. It encompasses procedures for safely conducting safety tests, conducting </w:t>
            </w:r>
            <w:r w:rsidRPr="00CB1259">
              <w:t>visual inspections, identifying non-compliance defects and reporting requirements.</w:t>
            </w:r>
          </w:p>
        </w:tc>
      </w:tr>
    </w:tbl>
    <w:p w:rsidR="004F2999" w:rsidP="00CB1259">
      <w:pPr>
        <w:pStyle w:val="BodyText"/>
      </w:pPr>
    </w:p>
    <w:p w:rsidR="004F2999" w:rsidP="00CB1259">
      <w:pPr>
        <w:pStyle w:val="BodyText"/>
      </w:pPr>
    </w:p>
    <w:p w:rsidR="00000000" w:rsidRPr="00CB1259" w:rsidP="00CB1259">
      <w:pPr>
        <w:pStyle w:val="Heading1"/>
      </w:pPr>
      <w:bookmarkStart w:id="3" w:name="O_227262"/>
      <w:bookmarkEnd w:id="3"/>
      <w:r w:rsidRPr="00CB1259">
        <w:t>Application of the Unit</w:t>
      </w:r>
    </w:p>
    <w:tbl>
      <w:tblPr>
        <w:tblW w:w="0" w:type="auto"/>
        <w:tblLayout w:type="fixed"/>
        <w:tblCellMar>
          <w:left w:w="62" w:type="dxa"/>
          <w:right w:w="62" w:type="dxa"/>
        </w:tblCellMar>
        <w:tblLook w:val="0000"/>
      </w:tblPr>
      <w:tblGrid>
        <w:gridCol w:w="2700"/>
        <w:gridCol w:w="5760"/>
      </w:tblGrid>
      <w:tr w:rsidTr="004F299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B1259" w:rsidP="00CB1259">
            <w:pPr>
              <w:pStyle w:val="BodyText"/>
            </w:pPr>
            <w:r w:rsidRPr="00CB1259">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CB1259">
            <w:pPr>
              <w:pStyle w:val="BodyText"/>
              <w:rPr>
                <w:lang w:val="en-NZ"/>
              </w:rPr>
            </w:pPr>
            <w:r w:rsidRPr="00CB1259">
              <w:rPr>
                <w:rStyle w:val="SpecialBold"/>
              </w:rPr>
              <w:t>4</w:t>
            </w:r>
            <w:r w:rsidRPr="00CB1259">
              <w:t>)</w:t>
            </w:r>
          </w:p>
        </w:tc>
      </w:tr>
      <w:tr w:rsidTr="004F299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B1259" w:rsidP="00CB1259">
            <w:pPr>
              <w:pStyle w:val="BodyText"/>
            </w:pPr>
            <w:r w:rsidRPr="00CB1259">
              <w:t>This unit is intended to augment previously acquired competencies. It is suitable for employment bas</w:t>
            </w:r>
            <w:r w:rsidRPr="00CB1259">
              <w:t>ed programs under an approved contract of training.</w:t>
            </w:r>
          </w:p>
        </w:tc>
      </w:tr>
    </w:tbl>
    <w:p w:rsidR="004F2999" w:rsidP="00CB1259">
      <w:pPr>
        <w:pStyle w:val="BodyText"/>
      </w:pPr>
    </w:p>
    <w:p w:rsidR="004F2999" w:rsidP="00CB1259">
      <w:pPr>
        <w:pStyle w:val="BodyText"/>
      </w:pPr>
    </w:p>
    <w:p w:rsidR="00000000" w:rsidRPr="00CB1259" w:rsidP="00CB1259">
      <w:pPr>
        <w:pStyle w:val="Heading1"/>
      </w:pPr>
      <w:bookmarkStart w:id="4" w:name="O_227258"/>
      <w:bookmarkEnd w:id="4"/>
      <w:r w:rsidRPr="00CB1259">
        <w:t>Licensing/Regulatory Information</w:t>
      </w:r>
    </w:p>
    <w:tbl>
      <w:tblPr>
        <w:tblW w:w="0" w:type="auto"/>
        <w:tblLayout w:type="fixed"/>
        <w:tblCellMar>
          <w:left w:w="62" w:type="dxa"/>
          <w:right w:w="62" w:type="dxa"/>
        </w:tblCellMar>
        <w:tblLook w:val="0000"/>
      </w:tblPr>
      <w:tblGrid>
        <w:gridCol w:w="8460"/>
      </w:tblGrid>
      <w:tr w:rsidTr="004F299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B1259">
            <w:pPr>
              <w:pStyle w:val="BodyText"/>
              <w:rPr>
                <w:lang w:val="en-NZ"/>
              </w:rPr>
            </w:pPr>
            <w:r w:rsidRPr="00CB1259">
              <w:rPr>
                <w:rStyle w:val="SpecialBold"/>
              </w:rPr>
              <w:t>1</w:t>
            </w:r>
            <w:r w:rsidRPr="00CB1259">
              <w:t>.</w:t>
            </w:r>
            <w:r w:rsidRPr="00CB1259">
              <w:rPr>
                <w:rStyle w:val="SpecialBold"/>
              </w:rPr>
              <w:t>2</w:t>
            </w:r>
            <w:r w:rsidRPr="00CB1259">
              <w:t xml:space="preserve">) </w:t>
            </w:r>
            <w:r w:rsidRPr="00CB1259">
              <w:rPr>
                <w:rStyle w:val="SpecialBold"/>
              </w:rPr>
              <w:t>License to practice</w:t>
            </w:r>
          </w:p>
        </w:tc>
      </w:tr>
      <w:tr w:rsidTr="004F299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B1259" w:rsidP="00CB1259">
            <w:pPr>
              <w:pStyle w:val="BodyText"/>
            </w:pPr>
            <w:r w:rsidRPr="00CB1259">
              <w:t>The skills and knowledge described in this unit require a license to practice in the workp</w:t>
            </w:r>
            <w:r w:rsidRPr="00CB1259">
              <w:t>lace where plant and equipment operate at voltage above 50 V a.c. or 120 V d.c. However other conditions may apply in some jurisdictions subject to regulations related to electrical work. Practice in the workplace and during training is also subject to reg</w:t>
            </w:r>
            <w:r w:rsidRPr="00CB1259">
              <w:t>ulations directly related to occupational health and safety and where applicable contracts of training such as apprenticeships.</w:t>
            </w:r>
          </w:p>
          <w:p w:rsidR="00000000" w:rsidRPr="00CB1259" w:rsidP="00CB1259">
            <w:pPr>
              <w:pStyle w:val="BodyText"/>
            </w:pPr>
            <w:r w:rsidRPr="00CB1259">
              <w:t xml:space="preserve">Note: </w:t>
            </w:r>
            <w:r w:rsidRPr="00CB1259">
              <w:br/>
              <w:t>1. Compliance with permits may be required in various jurisdictions and typically relates to the operation of plant, mach</w:t>
            </w:r>
            <w:r w:rsidRPr="00CB1259">
              <w:t>inery and equipment such as elevating work platforms, powder operated fixing tools, power operated tools, vehicles, road signage and traffic control and lifting equipment. Permits may also be required for some work environments such as confined spaces, wor</w:t>
            </w:r>
            <w:r w:rsidRPr="00CB1259">
              <w:t>king aloft, near live electrical apparatus and site rehabilitation.</w:t>
            </w:r>
            <w:r w:rsidRPr="00CB1259">
              <w:br/>
              <w:t>2. Compliance may be required in various jurisdictions relating to currency in First Aid, confined space and lifting and risk safety measures.</w:t>
            </w:r>
          </w:p>
        </w:tc>
      </w:tr>
    </w:tbl>
    <w:p w:rsidR="004F2999" w:rsidP="00CB1259">
      <w:pPr>
        <w:pStyle w:val="BodyText"/>
      </w:pPr>
    </w:p>
    <w:p w:rsidR="004F2999" w:rsidP="00CB1259">
      <w:pPr>
        <w:pStyle w:val="BodyText"/>
      </w:pPr>
    </w:p>
    <w:p w:rsidR="00000000" w:rsidRPr="00CB1259" w:rsidP="00CB1259">
      <w:pPr>
        <w:pStyle w:val="Heading1"/>
      </w:pPr>
      <w:bookmarkStart w:id="5" w:name="O_227259"/>
      <w:bookmarkEnd w:id="5"/>
      <w:r w:rsidRPr="00CB1259">
        <w:t>Pre-Requisites</w:t>
      </w:r>
    </w:p>
    <w:tbl>
      <w:tblPr>
        <w:tblW w:w="0" w:type="auto"/>
        <w:tblLayout w:type="fixed"/>
        <w:tblCellMar>
          <w:left w:w="62" w:type="dxa"/>
          <w:right w:w="62" w:type="dxa"/>
        </w:tblCellMar>
        <w:tblLook w:val="0000"/>
      </w:tblPr>
      <w:tblGrid>
        <w:gridCol w:w="2700"/>
        <w:gridCol w:w="5760"/>
      </w:tblGrid>
      <w:tr w:rsidTr="004F299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B1259" w:rsidP="00CB1259">
            <w:pPr>
              <w:pStyle w:val="BodyText"/>
            </w:pPr>
            <w:r w:rsidRPr="00CB1259">
              <w:rPr>
                <w:rStyle w:val="SpecialBold"/>
              </w:rPr>
              <w:t>Prerequisite Unit</w:t>
            </w:r>
            <w:r w:rsidRPr="00CB1259">
              <w:t>(</w:t>
            </w:r>
            <w:r w:rsidRPr="00CB1259">
              <w:rPr>
                <w:rStyle w:val="SpecialBold"/>
              </w:rPr>
              <w:t>s</w:t>
            </w:r>
            <w:r w:rsidRPr="00CB1259">
              <w:t>)</w:t>
            </w:r>
          </w:p>
        </w:tc>
        <w:tc>
          <w:tcPr>
            <w:tcW w:w="5760" w:type="dxa"/>
            <w:tcBorders>
              <w:top w:val="nil"/>
              <w:left w:val="nil"/>
              <w:bottom w:val="nil"/>
              <w:right w:val="nil"/>
            </w:tcBorders>
            <w:tcMar>
              <w:top w:w="0" w:type="dxa"/>
              <w:left w:w="62" w:type="dxa"/>
              <w:bottom w:w="0" w:type="dxa"/>
              <w:right w:w="62" w:type="dxa"/>
            </w:tcMar>
          </w:tcPr>
          <w:p w:rsidR="00000000" w:rsidP="00CB1259">
            <w:pPr>
              <w:pStyle w:val="BodyText"/>
              <w:rPr>
                <w:lang w:val="en-NZ"/>
              </w:rPr>
            </w:pPr>
            <w:r w:rsidRPr="00CB1259">
              <w:rPr>
                <w:rStyle w:val="SpecialBold"/>
              </w:rPr>
              <w:t>2</w:t>
            </w:r>
            <w:r w:rsidRPr="00CB1259">
              <w:t xml:space="preserve">) </w:t>
            </w:r>
          </w:p>
        </w:tc>
      </w:tr>
      <w:tr w:rsidTr="004F299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B1259">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CB1259">
            <w:pPr>
              <w:pStyle w:val="BodyText"/>
              <w:rPr>
                <w:lang w:val="en-NZ"/>
              </w:rPr>
            </w:pPr>
            <w:r w:rsidRPr="00CB1259">
              <w:rPr>
                <w:rStyle w:val="SpecialBold"/>
              </w:rPr>
              <w:t>2</w:t>
            </w:r>
            <w:r w:rsidRPr="00CB1259">
              <w:t>.</w:t>
            </w:r>
            <w:r w:rsidRPr="00CB1259">
              <w:rPr>
                <w:rStyle w:val="SpecialBold"/>
              </w:rPr>
              <w:t>1</w:t>
            </w:r>
            <w:r w:rsidRPr="00CB1259">
              <w:t xml:space="preserve">) </w:t>
            </w:r>
            <w:r w:rsidRPr="00CB1259">
              <w:rPr>
                <w:rStyle w:val="SpecialBold"/>
              </w:rPr>
              <w:t>Competencies</w:t>
            </w:r>
          </w:p>
        </w:tc>
      </w:tr>
      <w:tr w:rsidTr="004F299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B1259" w:rsidP="00CB1259">
            <w:pPr>
              <w:pStyle w:val="BodyText"/>
            </w:pPr>
            <w:r w:rsidRPr="00CB1259">
              <w:t>Granting competency in this unit shall be made only after competency in the following unit(s) has/have been confirmed.</w:t>
            </w:r>
          </w:p>
          <w:p w:rsidR="00000000" w:rsidRPr="00CB1259" w:rsidP="00CB1259">
            <w:pPr>
              <w:pStyle w:val="BodyText"/>
            </w:pPr>
            <w:r w:rsidRPr="00CB1259">
              <w:t>UEENEEI010B Set up and adjust process control loops</w:t>
            </w:r>
          </w:p>
          <w:p w:rsidR="00000000" w:rsidRPr="00CB1259" w:rsidP="00CB1259">
            <w:pPr>
              <w:pStyle w:val="BodyText"/>
            </w:pPr>
            <w:r w:rsidRPr="00CB1259">
              <w:t>UEENEEI013B Select equipment for process control systems</w:t>
            </w:r>
          </w:p>
          <w:p w:rsidR="00000000" w:rsidRPr="00CB1259" w:rsidP="00CB1259">
            <w:pPr>
              <w:pStyle w:val="BodyText"/>
            </w:pPr>
            <w:r w:rsidRPr="00CB1259">
              <w:t>For the full prerequisite chain details for this unit please refer to Table 2 in Volume 1, Part 2</w:t>
            </w:r>
          </w:p>
        </w:tc>
      </w:tr>
    </w:tbl>
    <w:p w:rsidR="004F2999" w:rsidP="00CB1259">
      <w:pPr>
        <w:pStyle w:val="BodyText"/>
      </w:pPr>
    </w:p>
    <w:p w:rsidR="004F2999" w:rsidP="00CB1259">
      <w:pPr>
        <w:pStyle w:val="BodyText"/>
      </w:pPr>
    </w:p>
    <w:p w:rsidR="00000000" w:rsidRPr="00CB1259" w:rsidP="00CB1259">
      <w:pPr>
        <w:pStyle w:val="Heading1"/>
      </w:pPr>
      <w:bookmarkStart w:id="6" w:name="O_227261"/>
      <w:bookmarkEnd w:id="6"/>
      <w:r w:rsidRPr="00CB1259">
        <w:t>Employability Skills Information</w:t>
      </w:r>
    </w:p>
    <w:tbl>
      <w:tblPr>
        <w:tblW w:w="0" w:type="auto"/>
        <w:tblLayout w:type="fixed"/>
        <w:tblCellMar>
          <w:left w:w="62" w:type="dxa"/>
          <w:right w:w="62" w:type="dxa"/>
        </w:tblCellMar>
        <w:tblLook w:val="0000"/>
      </w:tblPr>
      <w:tblGrid>
        <w:gridCol w:w="2700"/>
        <w:gridCol w:w="5760"/>
      </w:tblGrid>
      <w:tr w:rsidTr="004F299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B1259" w:rsidP="00CB1259">
            <w:pPr>
              <w:pStyle w:val="BodyText"/>
            </w:pPr>
            <w:r w:rsidRPr="00CB1259">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CB1259" w:rsidP="00CB1259">
            <w:pPr>
              <w:pStyle w:val="BodyText"/>
            </w:pPr>
            <w:r w:rsidRPr="00CB1259">
              <w:rPr>
                <w:rStyle w:val="SpecialBold"/>
              </w:rPr>
              <w:t>3</w:t>
            </w:r>
            <w:r w:rsidRPr="00CB1259">
              <w:t>)</w:t>
            </w:r>
          </w:p>
          <w:p w:rsidR="00000000" w:rsidRPr="00CB1259" w:rsidP="00CB1259">
            <w:pPr>
              <w:pStyle w:val="BodyText"/>
            </w:pPr>
            <w:r w:rsidRPr="00CB1259">
              <w:t>This unit contains Employability Skills</w:t>
            </w:r>
          </w:p>
          <w:p w:rsidR="00000000" w:rsidRPr="00CB1259" w:rsidP="00CB1259">
            <w:pPr>
              <w:pStyle w:val="BodyText"/>
            </w:pPr>
            <w:r w:rsidRPr="00CB1259">
              <w:t>The required outcomes described in this unit of competency contain applicable facets of Employability Skills. The Employability Skills Summary of the qualification in which this unit of competency is packaged will as</w:t>
            </w:r>
            <w:r w:rsidRPr="00CB1259">
              <w:t>sist in identifying Employability Skill requirements.</w:t>
            </w:r>
          </w:p>
        </w:tc>
      </w:tr>
    </w:tbl>
    <w:p w:rsidR="004F2999" w:rsidP="00CB1259">
      <w:pPr>
        <w:pStyle w:val="BodyText"/>
      </w:pPr>
    </w:p>
    <w:p w:rsidR="004F2999" w:rsidP="00CB1259">
      <w:pPr>
        <w:pStyle w:val="BodyText"/>
      </w:pPr>
    </w:p>
    <w:p w:rsidR="00000000" w:rsidRPr="00CB1259" w:rsidP="00CB1259">
      <w:pPr>
        <w:pStyle w:val="Heading1"/>
      </w:pPr>
      <w:bookmarkStart w:id="7" w:name="O_292832"/>
      <w:bookmarkEnd w:id="7"/>
      <w:r w:rsidRPr="00CB1259">
        <w:t>Elements and Performance Criteria Pre-Content</w:t>
      </w:r>
    </w:p>
    <w:tbl>
      <w:tblPr>
        <w:tblW w:w="0" w:type="auto"/>
        <w:tblLayout w:type="fixed"/>
        <w:tblCellMar>
          <w:left w:w="62" w:type="dxa"/>
          <w:right w:w="62" w:type="dxa"/>
        </w:tblCellMar>
        <w:tblLook w:val="0000"/>
      </w:tblPr>
      <w:tblGrid>
        <w:gridCol w:w="2700"/>
        <w:gridCol w:w="5760"/>
      </w:tblGrid>
      <w:tr w:rsidTr="004F299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B1259">
            <w:pPr>
              <w:pStyle w:val="BodyText"/>
              <w:rPr>
                <w:lang w:val="en-NZ"/>
              </w:rPr>
            </w:pPr>
            <w:r w:rsidRPr="00CB1259">
              <w:rPr>
                <w:rStyle w:val="SpecialBold"/>
              </w:rPr>
              <w:t>6</w:t>
            </w:r>
            <w:r w:rsidRPr="00CB1259">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CB1259" w:rsidP="00CB1259">
            <w:pPr>
              <w:pStyle w:val="BodyText"/>
            </w:pPr>
            <w:r w:rsidRPr="00CB1259">
              <w:t>Performance criteria describe the required performance needed to dem</w:t>
            </w:r>
            <w:r w:rsidRPr="00CB1259">
              <w:t>onstrate achievement of the Element. Assessment of performance is to be consistent with the evidence guide.</w:t>
            </w:r>
          </w:p>
        </w:tc>
      </w:tr>
    </w:tbl>
    <w:p w:rsidR="00000000" w:rsidRPr="00CB1259" w:rsidP="00CB1259">
      <w:pPr>
        <w:pStyle w:val="BodyText"/>
      </w:pPr>
    </w:p>
    <w:p w:rsidR="00000000" w:rsidRPr="00CB1259" w:rsidP="00CB1259">
      <w:pPr>
        <w:pStyle w:val="AllowPageBreak"/>
      </w:pPr>
    </w:p>
    <w:p w:rsidR="00000000" w:rsidRPr="00CB1259" w:rsidP="00CB1259">
      <w:pPr>
        <w:pStyle w:val="Heading1"/>
      </w:pPr>
      <w:bookmarkStart w:id="8" w:name="O_239500"/>
      <w:bookmarkEnd w:id="8"/>
      <w:r w:rsidRPr="00CB1259">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4F2999">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CB1259" w:rsidP="00CB1259">
            <w:pPr>
              <w:pStyle w:val="BodyText"/>
            </w:pPr>
            <w:r w:rsidRPr="00CB125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CB1259">
            <w:pPr>
              <w:pStyle w:val="BodyText"/>
              <w:rPr>
                <w:lang w:val="en-NZ"/>
              </w:rPr>
            </w:pPr>
            <w:r w:rsidRPr="00CB1259">
              <w:rPr>
                <w:rStyle w:val="SpecialBold"/>
              </w:rPr>
              <w:t>PERFORMANCE CRITERIA</w:t>
            </w:r>
          </w:p>
        </w:tc>
      </w:tr>
      <w:tr w:rsidTr="004F299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B1259">
            <w:pPr>
              <w:pStyle w:val="BodyText"/>
              <w:rPr>
                <w:lang w:val="en-NZ"/>
              </w:rPr>
            </w:pPr>
            <w:r w:rsidRPr="00CB1259">
              <w:t>1</w:t>
            </w:r>
          </w:p>
        </w:tc>
        <w:tc>
          <w:tcPr>
            <w:tcW w:w="2296" w:type="dxa"/>
            <w:vMerge w:val="restart"/>
            <w:tcBorders>
              <w:top w:val="nil"/>
              <w:left w:val="nil"/>
              <w:bottom w:val="nil"/>
              <w:right w:val="nil"/>
            </w:tcBorders>
            <w:tcMar>
              <w:top w:w="0" w:type="dxa"/>
              <w:left w:w="62" w:type="dxa"/>
              <w:bottom w:w="0" w:type="dxa"/>
              <w:right w:w="62" w:type="dxa"/>
            </w:tcMar>
          </w:tcPr>
          <w:p w:rsidR="00000000" w:rsidP="00CB1259">
            <w:pPr>
              <w:pStyle w:val="BodyText"/>
              <w:rPr>
                <w:lang w:val="en-NZ"/>
              </w:rPr>
            </w:pPr>
            <w:r w:rsidRPr="00CB1259">
              <w:t>Prepare to inspect and test a process control installations</w:t>
            </w:r>
          </w:p>
        </w:tc>
        <w:tc>
          <w:tcPr>
            <w:tcW w:w="900" w:type="dxa"/>
            <w:tcBorders>
              <w:top w:val="nil"/>
              <w:left w:val="nil"/>
              <w:bottom w:val="nil"/>
              <w:right w:val="nil"/>
            </w:tcBorders>
            <w:tcMar>
              <w:top w:w="0" w:type="dxa"/>
              <w:left w:w="62" w:type="dxa"/>
              <w:bottom w:w="0" w:type="dxa"/>
              <w:right w:w="62" w:type="dxa"/>
            </w:tcMar>
          </w:tcPr>
          <w:p w:rsidR="00000000" w:rsidP="00CB1259">
            <w:pPr>
              <w:pStyle w:val="BodyText"/>
              <w:rPr>
                <w:lang w:val="en-NZ"/>
              </w:rPr>
            </w:pPr>
            <w:r w:rsidRPr="00CB1259">
              <w:t>1.1</w:t>
            </w:r>
          </w:p>
        </w:tc>
        <w:tc>
          <w:tcPr>
            <w:tcW w:w="4860" w:type="dxa"/>
            <w:tcBorders>
              <w:top w:val="nil"/>
              <w:left w:val="nil"/>
              <w:bottom w:val="nil"/>
              <w:right w:val="nil"/>
            </w:tcBorders>
            <w:tcMar>
              <w:top w:w="0" w:type="dxa"/>
              <w:left w:w="62" w:type="dxa"/>
              <w:bottom w:w="0" w:type="dxa"/>
              <w:right w:w="62" w:type="dxa"/>
            </w:tcMar>
          </w:tcPr>
          <w:p w:rsidR="00000000" w:rsidP="00CB1259">
            <w:pPr>
              <w:pStyle w:val="BodyText"/>
              <w:rPr>
                <w:lang w:val="en-NZ"/>
              </w:rPr>
            </w:pPr>
            <w:r w:rsidRPr="00CB1259">
              <w:t>OHS measures for the site are identified, obtained and understood</w:t>
            </w:r>
          </w:p>
        </w:tc>
      </w:tr>
      <w:tr w:rsidTr="004F299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1259">
            <w:pPr>
              <w:pStyle w:val="BodyText"/>
              <w:rPr>
                <w:lang w:val="en-NZ"/>
              </w:rPr>
            </w:pPr>
            <w:r w:rsidRPr="00CB1259">
              <w:t>1.2</w:t>
            </w:r>
          </w:p>
        </w:tc>
        <w:tc>
          <w:tcPr>
            <w:tcW w:w="4860" w:type="dxa"/>
            <w:tcBorders>
              <w:top w:val="nil"/>
              <w:left w:val="nil"/>
              <w:bottom w:val="nil"/>
              <w:right w:val="nil"/>
            </w:tcBorders>
            <w:tcMar>
              <w:top w:w="0" w:type="dxa"/>
              <w:left w:w="62" w:type="dxa"/>
              <w:bottom w:w="0" w:type="dxa"/>
              <w:right w:w="62" w:type="dxa"/>
            </w:tcMar>
          </w:tcPr>
          <w:p w:rsidR="00000000" w:rsidP="00CB1259">
            <w:pPr>
              <w:pStyle w:val="BodyText"/>
              <w:rPr>
                <w:lang w:val="en-NZ"/>
              </w:rPr>
            </w:pPr>
            <w:r w:rsidRPr="00CB1259">
              <w:t>Established OHS risk control measures and procedures are followed in preparation for the work.</w:t>
            </w:r>
          </w:p>
        </w:tc>
      </w:tr>
      <w:tr w:rsidTr="004F299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1259">
            <w:pPr>
              <w:pStyle w:val="BodyText"/>
              <w:rPr>
                <w:lang w:val="en-NZ"/>
              </w:rPr>
            </w:pPr>
            <w:r w:rsidRPr="00CB1259">
              <w:t>1.3</w:t>
            </w:r>
          </w:p>
        </w:tc>
        <w:tc>
          <w:tcPr>
            <w:tcW w:w="4860" w:type="dxa"/>
            <w:tcBorders>
              <w:top w:val="nil"/>
              <w:left w:val="nil"/>
              <w:bottom w:val="nil"/>
              <w:right w:val="nil"/>
            </w:tcBorders>
            <w:tcMar>
              <w:top w:w="0" w:type="dxa"/>
              <w:left w:w="62" w:type="dxa"/>
              <w:bottom w:w="0" w:type="dxa"/>
              <w:right w:w="62" w:type="dxa"/>
            </w:tcMar>
          </w:tcPr>
          <w:p w:rsidR="00000000" w:rsidP="00CB1259">
            <w:pPr>
              <w:pStyle w:val="BodyText"/>
              <w:rPr>
                <w:lang w:val="en-NZ"/>
              </w:rPr>
            </w:pPr>
            <w:r w:rsidRPr="00CB1259">
              <w:t>Safety hazards which have not previously been identified are noted, and established risk control measures are implemented.</w:t>
            </w:r>
          </w:p>
        </w:tc>
      </w:tr>
      <w:tr w:rsidTr="004F299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1259">
            <w:pPr>
              <w:pStyle w:val="BodyText"/>
              <w:rPr>
                <w:lang w:val="en-NZ"/>
              </w:rPr>
            </w:pPr>
            <w:r w:rsidRPr="00CB1259">
              <w:t>1.4</w:t>
            </w:r>
          </w:p>
        </w:tc>
        <w:tc>
          <w:tcPr>
            <w:tcW w:w="4860" w:type="dxa"/>
            <w:tcBorders>
              <w:top w:val="nil"/>
              <w:left w:val="nil"/>
              <w:bottom w:val="nil"/>
              <w:right w:val="nil"/>
            </w:tcBorders>
            <w:tcMar>
              <w:top w:w="0" w:type="dxa"/>
              <w:left w:w="62" w:type="dxa"/>
              <w:bottom w:w="0" w:type="dxa"/>
              <w:right w:w="62" w:type="dxa"/>
            </w:tcMar>
          </w:tcPr>
          <w:p w:rsidR="00000000" w:rsidP="00CB1259">
            <w:pPr>
              <w:pStyle w:val="BodyText"/>
              <w:rPr>
                <w:lang w:val="en-NZ"/>
              </w:rPr>
            </w:pPr>
            <w:r w:rsidRPr="00CB1259">
              <w:t>Documentation or deemed to comply standard on which installation is based is reviewed and understood.</w:t>
            </w:r>
          </w:p>
        </w:tc>
      </w:tr>
      <w:tr w:rsidTr="004F299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1259">
            <w:pPr>
              <w:pStyle w:val="BodyText"/>
              <w:rPr>
                <w:lang w:val="en-NZ"/>
              </w:rPr>
            </w:pPr>
            <w:r w:rsidRPr="00CB1259">
              <w:t>1.5</w:t>
            </w:r>
          </w:p>
        </w:tc>
        <w:tc>
          <w:tcPr>
            <w:tcW w:w="4860" w:type="dxa"/>
            <w:tcBorders>
              <w:top w:val="nil"/>
              <w:left w:val="nil"/>
              <w:bottom w:val="nil"/>
              <w:right w:val="nil"/>
            </w:tcBorders>
            <w:tcMar>
              <w:top w:w="0" w:type="dxa"/>
              <w:left w:w="62" w:type="dxa"/>
              <w:bottom w:w="0" w:type="dxa"/>
              <w:right w:w="62" w:type="dxa"/>
            </w:tcMar>
          </w:tcPr>
          <w:p w:rsidR="00000000" w:rsidP="00CB1259">
            <w:pPr>
              <w:pStyle w:val="BodyText"/>
              <w:rPr>
                <w:lang w:val="en-NZ"/>
              </w:rPr>
            </w:pPr>
            <w:r w:rsidRPr="00CB1259">
              <w:t>Appropriate perso</w:t>
            </w:r>
            <w:r w:rsidRPr="00CB1259">
              <w:t>nnel are consulted to ensure the work is coordinated effectively with others involved on the work site</w:t>
            </w:r>
          </w:p>
        </w:tc>
      </w:tr>
      <w:tr w:rsidTr="004F299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1259">
            <w:pPr>
              <w:pStyle w:val="BodyText"/>
              <w:rPr>
                <w:lang w:val="en-NZ"/>
              </w:rPr>
            </w:pPr>
            <w:r w:rsidRPr="00CB1259">
              <w:t>1.6</w:t>
            </w:r>
          </w:p>
        </w:tc>
        <w:tc>
          <w:tcPr>
            <w:tcW w:w="4860" w:type="dxa"/>
            <w:tcBorders>
              <w:top w:val="nil"/>
              <w:left w:val="nil"/>
              <w:bottom w:val="nil"/>
              <w:right w:val="nil"/>
            </w:tcBorders>
            <w:tcMar>
              <w:top w:w="0" w:type="dxa"/>
              <w:left w:w="62" w:type="dxa"/>
              <w:bottom w:w="0" w:type="dxa"/>
              <w:right w:w="62" w:type="dxa"/>
            </w:tcMar>
          </w:tcPr>
          <w:p w:rsidR="00000000" w:rsidP="00CB1259">
            <w:pPr>
              <w:pStyle w:val="BodyText"/>
              <w:rPr>
                <w:lang w:val="en-NZ"/>
              </w:rPr>
            </w:pPr>
            <w:r w:rsidRPr="00CB1259">
              <w:t xml:space="preserve">Tools, equipment and testing devices needed to verify compliance are obtained in accordance with established procedures and checked for correct </w:t>
            </w:r>
            <w:r w:rsidRPr="00CB1259">
              <w:t>operation and safety</w:t>
            </w:r>
          </w:p>
        </w:tc>
      </w:tr>
      <w:tr w:rsidTr="004F299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1259">
            <w:pPr>
              <w:pStyle w:val="BodyText"/>
              <w:rPr>
                <w:lang w:val="en-NZ"/>
              </w:rPr>
            </w:pPr>
            <w:r w:rsidRPr="00CB1259">
              <w:t>1.7</w:t>
            </w:r>
          </w:p>
        </w:tc>
        <w:tc>
          <w:tcPr>
            <w:tcW w:w="4860" w:type="dxa"/>
            <w:tcBorders>
              <w:top w:val="nil"/>
              <w:left w:val="nil"/>
              <w:bottom w:val="nil"/>
              <w:right w:val="nil"/>
            </w:tcBorders>
            <w:tcMar>
              <w:top w:w="0" w:type="dxa"/>
              <w:left w:w="62" w:type="dxa"/>
              <w:bottom w:w="0" w:type="dxa"/>
              <w:right w:w="62" w:type="dxa"/>
            </w:tcMar>
          </w:tcPr>
          <w:p w:rsidR="00000000" w:rsidP="00CB1259">
            <w:pPr>
              <w:pStyle w:val="BodyText"/>
              <w:rPr>
                <w:lang w:val="en-NZ"/>
              </w:rPr>
            </w:pPr>
            <w:r w:rsidRPr="00CB1259">
              <w:t>Preparatory work is checked to ensure no damage has occurred and that work complies with requirements</w:t>
            </w:r>
          </w:p>
        </w:tc>
      </w:tr>
      <w:tr w:rsidTr="004F299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B1259">
            <w:pPr>
              <w:pStyle w:val="BodyText"/>
              <w:rPr>
                <w:lang w:val="en-NZ"/>
              </w:rPr>
            </w:pPr>
            <w:r w:rsidRPr="00CB1259">
              <w:t>2</w:t>
            </w:r>
          </w:p>
        </w:tc>
        <w:tc>
          <w:tcPr>
            <w:tcW w:w="2296" w:type="dxa"/>
            <w:vMerge w:val="restart"/>
            <w:tcBorders>
              <w:top w:val="nil"/>
              <w:left w:val="nil"/>
              <w:bottom w:val="nil"/>
              <w:right w:val="nil"/>
            </w:tcBorders>
            <w:tcMar>
              <w:top w:w="0" w:type="dxa"/>
              <w:left w:w="62" w:type="dxa"/>
              <w:bottom w:w="0" w:type="dxa"/>
              <w:right w:w="62" w:type="dxa"/>
            </w:tcMar>
          </w:tcPr>
          <w:p w:rsidR="00000000" w:rsidP="00CB1259">
            <w:pPr>
              <w:pStyle w:val="BodyText"/>
              <w:rPr>
                <w:lang w:val="en-NZ"/>
              </w:rPr>
            </w:pPr>
            <w:r w:rsidRPr="00CB1259">
              <w:t>Visually inspect the installation.</w:t>
            </w:r>
          </w:p>
        </w:tc>
        <w:tc>
          <w:tcPr>
            <w:tcW w:w="900" w:type="dxa"/>
            <w:tcBorders>
              <w:top w:val="nil"/>
              <w:left w:val="nil"/>
              <w:bottom w:val="nil"/>
              <w:right w:val="nil"/>
            </w:tcBorders>
            <w:tcMar>
              <w:top w:w="0" w:type="dxa"/>
              <w:left w:w="62" w:type="dxa"/>
              <w:bottom w:w="0" w:type="dxa"/>
              <w:right w:w="62" w:type="dxa"/>
            </w:tcMar>
          </w:tcPr>
          <w:p w:rsidR="00000000" w:rsidP="00CB1259">
            <w:pPr>
              <w:pStyle w:val="BodyText"/>
              <w:rPr>
                <w:lang w:val="en-NZ"/>
              </w:rPr>
            </w:pPr>
            <w:r w:rsidRPr="00CB1259">
              <w:t>2.1</w:t>
            </w:r>
          </w:p>
        </w:tc>
        <w:tc>
          <w:tcPr>
            <w:tcW w:w="4860" w:type="dxa"/>
            <w:tcBorders>
              <w:top w:val="nil"/>
              <w:left w:val="nil"/>
              <w:bottom w:val="nil"/>
              <w:right w:val="nil"/>
            </w:tcBorders>
            <w:tcMar>
              <w:top w:w="0" w:type="dxa"/>
              <w:left w:w="62" w:type="dxa"/>
              <w:bottom w:w="0" w:type="dxa"/>
              <w:right w:w="62" w:type="dxa"/>
            </w:tcMar>
          </w:tcPr>
          <w:p w:rsidR="00000000" w:rsidP="00CB1259">
            <w:pPr>
              <w:pStyle w:val="BodyText"/>
              <w:rPr>
                <w:lang w:val="en-NZ"/>
              </w:rPr>
            </w:pPr>
            <w:r w:rsidRPr="00CB1259">
              <w:t>OHS risk control measures and procedures for carrying out the work are followed.</w:t>
            </w:r>
          </w:p>
        </w:tc>
      </w:tr>
      <w:tr w:rsidTr="004F299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1259">
            <w:pPr>
              <w:pStyle w:val="BodyText"/>
              <w:rPr>
                <w:lang w:val="en-NZ"/>
              </w:rPr>
            </w:pPr>
            <w:r w:rsidRPr="00CB1259">
              <w:t>2.2</w:t>
            </w:r>
          </w:p>
        </w:tc>
        <w:tc>
          <w:tcPr>
            <w:tcW w:w="4860" w:type="dxa"/>
            <w:tcBorders>
              <w:top w:val="nil"/>
              <w:left w:val="nil"/>
              <w:bottom w:val="nil"/>
              <w:right w:val="nil"/>
            </w:tcBorders>
            <w:tcMar>
              <w:top w:w="0" w:type="dxa"/>
              <w:left w:w="62" w:type="dxa"/>
              <w:bottom w:w="0" w:type="dxa"/>
              <w:right w:w="62" w:type="dxa"/>
            </w:tcMar>
          </w:tcPr>
          <w:p w:rsidR="00000000" w:rsidP="00CB1259">
            <w:pPr>
              <w:pStyle w:val="BodyText"/>
              <w:rPr>
                <w:lang w:val="en-NZ"/>
              </w:rPr>
            </w:pPr>
            <w:r w:rsidRPr="00CB1259">
              <w:t>The need to test or measure live is determined in strict accordance with OHS requirements and when necessary conducted within established safety procedures.</w:t>
            </w:r>
          </w:p>
        </w:tc>
      </w:tr>
      <w:tr w:rsidTr="004F299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1259">
            <w:pPr>
              <w:pStyle w:val="BodyText"/>
              <w:rPr>
                <w:lang w:val="en-NZ"/>
              </w:rPr>
            </w:pPr>
            <w:r w:rsidRPr="00CB1259">
              <w:t>2.3</w:t>
            </w:r>
          </w:p>
        </w:tc>
        <w:tc>
          <w:tcPr>
            <w:tcW w:w="4860" w:type="dxa"/>
            <w:tcBorders>
              <w:top w:val="nil"/>
              <w:left w:val="nil"/>
              <w:bottom w:val="nil"/>
              <w:right w:val="nil"/>
            </w:tcBorders>
            <w:tcMar>
              <w:top w:w="0" w:type="dxa"/>
              <w:left w:w="62" w:type="dxa"/>
              <w:bottom w:w="0" w:type="dxa"/>
              <w:right w:w="62" w:type="dxa"/>
            </w:tcMar>
          </w:tcPr>
          <w:p w:rsidR="00000000" w:rsidP="00CB1259">
            <w:pPr>
              <w:pStyle w:val="BodyText"/>
              <w:rPr>
                <w:lang w:val="en-NZ"/>
              </w:rPr>
            </w:pPr>
            <w:r w:rsidRPr="00CB1259">
              <w:t>Circuits/machines/plant are checked as being isolated where necessary in strict accordan</w:t>
            </w:r>
            <w:r w:rsidRPr="00CB1259">
              <w:t>ce OHS requirements and procedures.</w:t>
            </w:r>
          </w:p>
        </w:tc>
      </w:tr>
      <w:tr w:rsidTr="004F299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1259">
            <w:pPr>
              <w:pStyle w:val="BodyText"/>
              <w:rPr>
                <w:lang w:val="en-NZ"/>
              </w:rPr>
            </w:pPr>
            <w:r w:rsidRPr="00CB1259">
              <w:t>2.4</w:t>
            </w:r>
          </w:p>
        </w:tc>
        <w:tc>
          <w:tcPr>
            <w:tcW w:w="4860" w:type="dxa"/>
            <w:tcBorders>
              <w:top w:val="nil"/>
              <w:left w:val="nil"/>
              <w:bottom w:val="nil"/>
              <w:right w:val="nil"/>
            </w:tcBorders>
            <w:tcMar>
              <w:top w:w="0" w:type="dxa"/>
              <w:left w:w="62" w:type="dxa"/>
              <w:bottom w:w="0" w:type="dxa"/>
              <w:right w:w="62" w:type="dxa"/>
            </w:tcMar>
          </w:tcPr>
          <w:p w:rsidR="00000000" w:rsidP="00CB1259">
            <w:pPr>
              <w:pStyle w:val="BodyText"/>
              <w:rPr>
                <w:lang w:val="en-NZ"/>
              </w:rPr>
            </w:pPr>
            <w:r w:rsidRPr="00CB1259">
              <w:t>Instrument cabling and tubing is checked for suitability for the environments in which they are installed and suitably protected from damage.</w:t>
            </w:r>
          </w:p>
        </w:tc>
      </w:tr>
      <w:tr w:rsidTr="004F299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1259">
            <w:pPr>
              <w:pStyle w:val="BodyText"/>
              <w:rPr>
                <w:lang w:val="en-NZ"/>
              </w:rPr>
            </w:pPr>
            <w:r w:rsidRPr="00CB1259">
              <w:t>2.5</w:t>
            </w:r>
          </w:p>
        </w:tc>
        <w:tc>
          <w:tcPr>
            <w:tcW w:w="4860" w:type="dxa"/>
            <w:tcBorders>
              <w:top w:val="nil"/>
              <w:left w:val="nil"/>
              <w:bottom w:val="nil"/>
              <w:right w:val="nil"/>
            </w:tcBorders>
            <w:tcMar>
              <w:top w:w="0" w:type="dxa"/>
              <w:left w:w="62" w:type="dxa"/>
              <w:bottom w:w="0" w:type="dxa"/>
              <w:right w:w="62" w:type="dxa"/>
            </w:tcMar>
          </w:tcPr>
          <w:p w:rsidR="00000000" w:rsidP="00CB1259">
            <w:pPr>
              <w:pStyle w:val="BodyText"/>
              <w:rPr>
                <w:lang w:val="en-NZ"/>
              </w:rPr>
            </w:pPr>
            <w:r w:rsidRPr="00CB1259">
              <w:t>The type and configuration/sizing of instrument cabling and tubing is confirmed as meeting that specified for the installation.</w:t>
            </w:r>
          </w:p>
        </w:tc>
      </w:tr>
      <w:tr w:rsidTr="004F299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1259">
            <w:pPr>
              <w:pStyle w:val="BodyText"/>
              <w:rPr>
                <w:lang w:val="en-NZ"/>
              </w:rPr>
            </w:pPr>
            <w:r w:rsidRPr="00CB1259">
              <w:t>2.6</w:t>
            </w:r>
          </w:p>
        </w:tc>
        <w:tc>
          <w:tcPr>
            <w:tcW w:w="4860" w:type="dxa"/>
            <w:tcBorders>
              <w:top w:val="nil"/>
              <w:left w:val="nil"/>
              <w:bottom w:val="nil"/>
              <w:right w:val="nil"/>
            </w:tcBorders>
            <w:tcMar>
              <w:top w:w="0" w:type="dxa"/>
              <w:left w:w="62" w:type="dxa"/>
              <w:bottom w:w="0" w:type="dxa"/>
              <w:right w:w="62" w:type="dxa"/>
            </w:tcMar>
          </w:tcPr>
          <w:p w:rsidR="00000000" w:rsidP="00CB1259">
            <w:pPr>
              <w:pStyle w:val="BodyText"/>
              <w:rPr>
                <w:lang w:val="en-NZ"/>
              </w:rPr>
            </w:pPr>
            <w:r w:rsidRPr="00CB1259">
              <w:t>Evidence that control apparatus complies with safety and installation requirements is cited.</w:t>
            </w:r>
          </w:p>
        </w:tc>
      </w:tr>
      <w:tr w:rsidTr="004F299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1259">
            <w:pPr>
              <w:pStyle w:val="BodyText"/>
              <w:rPr>
                <w:lang w:val="en-NZ"/>
              </w:rPr>
            </w:pPr>
            <w:r w:rsidRPr="00CB1259">
              <w:t>2.7</w:t>
            </w:r>
          </w:p>
        </w:tc>
        <w:tc>
          <w:tcPr>
            <w:tcW w:w="4860" w:type="dxa"/>
            <w:tcBorders>
              <w:top w:val="nil"/>
              <w:left w:val="nil"/>
              <w:bottom w:val="nil"/>
              <w:right w:val="nil"/>
            </w:tcBorders>
            <w:tcMar>
              <w:top w:w="0" w:type="dxa"/>
              <w:left w:w="62" w:type="dxa"/>
              <w:bottom w:w="0" w:type="dxa"/>
              <w:right w:w="62" w:type="dxa"/>
            </w:tcMar>
          </w:tcPr>
          <w:p w:rsidR="00000000" w:rsidP="00CB1259">
            <w:pPr>
              <w:pStyle w:val="BodyText"/>
              <w:rPr>
                <w:lang w:val="en-NZ"/>
              </w:rPr>
            </w:pPr>
            <w:r w:rsidRPr="00CB1259">
              <w:t>Marking of control ap</w:t>
            </w:r>
            <w:r w:rsidRPr="00CB1259">
              <w:t>paratus is checked for accuracy and clarity and compliance with requirements.</w:t>
            </w:r>
          </w:p>
        </w:tc>
      </w:tr>
      <w:tr w:rsidTr="004F299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B1259">
            <w:pPr>
              <w:pStyle w:val="BodyText"/>
              <w:rPr>
                <w:lang w:val="en-NZ"/>
              </w:rPr>
            </w:pPr>
            <w:r w:rsidRPr="00CB1259">
              <w:t>3</w:t>
            </w:r>
          </w:p>
        </w:tc>
        <w:tc>
          <w:tcPr>
            <w:tcW w:w="2296" w:type="dxa"/>
            <w:vMerge w:val="restart"/>
            <w:tcBorders>
              <w:top w:val="nil"/>
              <w:left w:val="nil"/>
              <w:bottom w:val="nil"/>
              <w:right w:val="nil"/>
            </w:tcBorders>
            <w:tcMar>
              <w:top w:w="0" w:type="dxa"/>
              <w:left w:w="62" w:type="dxa"/>
              <w:bottom w:w="0" w:type="dxa"/>
              <w:right w:w="62" w:type="dxa"/>
            </w:tcMar>
          </w:tcPr>
          <w:p w:rsidR="00000000" w:rsidP="00CB1259">
            <w:pPr>
              <w:pStyle w:val="BodyText"/>
              <w:rPr>
                <w:lang w:val="en-NZ"/>
              </w:rPr>
            </w:pPr>
            <w:r w:rsidRPr="00CB1259">
              <w:t>Conduct functional and safety testing.</w:t>
            </w:r>
          </w:p>
        </w:tc>
        <w:tc>
          <w:tcPr>
            <w:tcW w:w="900" w:type="dxa"/>
            <w:tcBorders>
              <w:top w:val="nil"/>
              <w:left w:val="nil"/>
              <w:bottom w:val="nil"/>
              <w:right w:val="nil"/>
            </w:tcBorders>
            <w:tcMar>
              <w:top w:w="0" w:type="dxa"/>
              <w:left w:w="62" w:type="dxa"/>
              <w:bottom w:w="0" w:type="dxa"/>
              <w:right w:w="62" w:type="dxa"/>
            </w:tcMar>
          </w:tcPr>
          <w:p w:rsidR="00000000" w:rsidP="00CB1259">
            <w:pPr>
              <w:pStyle w:val="BodyText"/>
              <w:rPr>
                <w:lang w:val="en-NZ"/>
              </w:rPr>
            </w:pPr>
            <w:r w:rsidRPr="00CB1259">
              <w:t>3.1</w:t>
            </w:r>
          </w:p>
        </w:tc>
        <w:tc>
          <w:tcPr>
            <w:tcW w:w="4860" w:type="dxa"/>
            <w:tcBorders>
              <w:top w:val="nil"/>
              <w:left w:val="nil"/>
              <w:bottom w:val="nil"/>
              <w:right w:val="nil"/>
            </w:tcBorders>
            <w:tcMar>
              <w:top w:w="0" w:type="dxa"/>
              <w:left w:w="62" w:type="dxa"/>
              <w:bottom w:w="0" w:type="dxa"/>
              <w:right w:w="62" w:type="dxa"/>
            </w:tcMar>
          </w:tcPr>
          <w:p w:rsidR="00000000" w:rsidP="00CB1259">
            <w:pPr>
              <w:pStyle w:val="BodyText"/>
              <w:rPr>
                <w:lang w:val="en-NZ"/>
              </w:rPr>
            </w:pPr>
            <w:r w:rsidRPr="00CB1259">
              <w:t>OHS risk control measures and procedures for carrying out the work are followed.</w:t>
            </w:r>
          </w:p>
        </w:tc>
      </w:tr>
      <w:tr w:rsidTr="004F299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1259">
            <w:pPr>
              <w:pStyle w:val="BodyText"/>
              <w:rPr>
                <w:lang w:val="en-NZ"/>
              </w:rPr>
            </w:pPr>
            <w:r w:rsidRPr="00CB1259">
              <w:t>3.2</w:t>
            </w:r>
          </w:p>
        </w:tc>
        <w:tc>
          <w:tcPr>
            <w:tcW w:w="4860" w:type="dxa"/>
            <w:tcBorders>
              <w:top w:val="nil"/>
              <w:left w:val="nil"/>
              <w:bottom w:val="nil"/>
              <w:right w:val="nil"/>
            </w:tcBorders>
            <w:tcMar>
              <w:top w:w="0" w:type="dxa"/>
              <w:left w:w="62" w:type="dxa"/>
              <w:bottom w:w="0" w:type="dxa"/>
              <w:right w:w="62" w:type="dxa"/>
            </w:tcMar>
          </w:tcPr>
          <w:p w:rsidR="00000000" w:rsidP="00CB1259">
            <w:pPr>
              <w:pStyle w:val="BodyText"/>
              <w:rPr>
                <w:lang w:val="en-NZ"/>
              </w:rPr>
            </w:pPr>
            <w:r w:rsidRPr="00CB1259">
              <w:t>The need to test or measure live is determined in strict accordance with OHS requirements and when necessary conducted within established safety procedures</w:t>
            </w:r>
          </w:p>
        </w:tc>
      </w:tr>
      <w:tr w:rsidTr="004F299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1259">
            <w:pPr>
              <w:pStyle w:val="BodyText"/>
              <w:rPr>
                <w:lang w:val="en-NZ"/>
              </w:rPr>
            </w:pPr>
            <w:r w:rsidRPr="00CB1259">
              <w:t>3.3</w:t>
            </w:r>
          </w:p>
        </w:tc>
        <w:tc>
          <w:tcPr>
            <w:tcW w:w="4860" w:type="dxa"/>
            <w:tcBorders>
              <w:top w:val="nil"/>
              <w:left w:val="nil"/>
              <w:bottom w:val="nil"/>
              <w:right w:val="nil"/>
            </w:tcBorders>
            <w:tcMar>
              <w:top w:w="0" w:type="dxa"/>
              <w:left w:w="62" w:type="dxa"/>
              <w:bottom w:w="0" w:type="dxa"/>
              <w:right w:w="62" w:type="dxa"/>
            </w:tcMar>
          </w:tcPr>
          <w:p w:rsidR="00000000" w:rsidP="00CB1259">
            <w:pPr>
              <w:pStyle w:val="BodyText"/>
              <w:rPr>
                <w:lang w:val="en-NZ"/>
              </w:rPr>
            </w:pPr>
            <w:r w:rsidRPr="00CB1259">
              <w:t>Circuits/machines/plant are checked as being isolated where necessary in strict accordance OH</w:t>
            </w:r>
            <w:r w:rsidRPr="00CB1259">
              <w:t>S requirements and procedures.</w:t>
            </w:r>
          </w:p>
        </w:tc>
      </w:tr>
      <w:tr w:rsidTr="004F299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1259">
            <w:pPr>
              <w:pStyle w:val="BodyText"/>
              <w:rPr>
                <w:lang w:val="en-NZ"/>
              </w:rPr>
            </w:pPr>
            <w:r w:rsidRPr="00CB1259">
              <w:t>3.4</w:t>
            </w:r>
          </w:p>
        </w:tc>
        <w:tc>
          <w:tcPr>
            <w:tcW w:w="4860" w:type="dxa"/>
            <w:tcBorders>
              <w:top w:val="nil"/>
              <w:left w:val="nil"/>
              <w:bottom w:val="nil"/>
              <w:right w:val="nil"/>
            </w:tcBorders>
            <w:tcMar>
              <w:top w:w="0" w:type="dxa"/>
              <w:left w:w="62" w:type="dxa"/>
              <w:bottom w:w="0" w:type="dxa"/>
              <w:right w:w="62" w:type="dxa"/>
            </w:tcMar>
          </w:tcPr>
          <w:p w:rsidR="00000000" w:rsidP="00CB1259">
            <w:pPr>
              <w:pStyle w:val="BodyText"/>
              <w:rPr>
                <w:lang w:val="en-NZ"/>
              </w:rPr>
            </w:pPr>
            <w:r w:rsidRPr="00CB1259">
              <w:t>Where process control apparatus operates at low voltage arrangements are made for an authorised person to conduct and report on all required electrical safety tests.</w:t>
            </w:r>
          </w:p>
        </w:tc>
      </w:tr>
      <w:tr w:rsidTr="004F299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1259">
            <w:pPr>
              <w:pStyle w:val="BodyText"/>
              <w:rPr>
                <w:lang w:val="en-NZ"/>
              </w:rPr>
            </w:pPr>
            <w:r w:rsidRPr="00CB1259">
              <w:t>3.5</w:t>
            </w:r>
          </w:p>
        </w:tc>
        <w:tc>
          <w:tcPr>
            <w:tcW w:w="4860" w:type="dxa"/>
            <w:tcBorders>
              <w:top w:val="nil"/>
              <w:left w:val="nil"/>
              <w:bottom w:val="nil"/>
              <w:right w:val="nil"/>
            </w:tcBorders>
            <w:tcMar>
              <w:top w:w="0" w:type="dxa"/>
              <w:left w:w="62" w:type="dxa"/>
              <w:bottom w:w="0" w:type="dxa"/>
              <w:right w:w="62" w:type="dxa"/>
            </w:tcMar>
          </w:tcPr>
          <w:p w:rsidR="00000000" w:rsidP="00CB1259">
            <w:pPr>
              <w:pStyle w:val="BodyText"/>
              <w:rPr>
                <w:lang w:val="en-NZ"/>
              </w:rPr>
            </w:pPr>
            <w:r w:rsidRPr="00CB1259">
              <w:t>Insulation and continuity tests are conducted on process control cabling operating at extra-low voltage.</w:t>
            </w:r>
          </w:p>
        </w:tc>
      </w:tr>
      <w:tr w:rsidTr="004F299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1259">
            <w:pPr>
              <w:pStyle w:val="BodyText"/>
              <w:rPr>
                <w:lang w:val="en-NZ"/>
              </w:rPr>
            </w:pPr>
            <w:r w:rsidRPr="00CB1259">
              <w:t>3.6</w:t>
            </w:r>
          </w:p>
        </w:tc>
        <w:tc>
          <w:tcPr>
            <w:tcW w:w="4860" w:type="dxa"/>
            <w:tcBorders>
              <w:top w:val="nil"/>
              <w:left w:val="nil"/>
              <w:bottom w:val="nil"/>
              <w:right w:val="nil"/>
            </w:tcBorders>
            <w:tcMar>
              <w:top w:w="0" w:type="dxa"/>
              <w:left w:w="62" w:type="dxa"/>
              <w:bottom w:w="0" w:type="dxa"/>
              <w:right w:w="62" w:type="dxa"/>
            </w:tcMar>
          </w:tcPr>
          <w:p w:rsidR="00000000" w:rsidP="00CB1259">
            <w:pPr>
              <w:pStyle w:val="BodyText"/>
              <w:rPr>
                <w:lang w:val="en-NZ"/>
              </w:rPr>
            </w:pPr>
            <w:r w:rsidRPr="00CB1259">
              <w:t>Process control tubing/piping is pressure tested in accordance with established practice.</w:t>
            </w:r>
          </w:p>
        </w:tc>
      </w:tr>
      <w:tr w:rsidTr="004F299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1259">
            <w:pPr>
              <w:pStyle w:val="BodyText"/>
              <w:rPr>
                <w:lang w:val="en-NZ"/>
              </w:rPr>
            </w:pPr>
            <w:r w:rsidRPr="00CB1259">
              <w:t>3.7</w:t>
            </w:r>
          </w:p>
        </w:tc>
        <w:tc>
          <w:tcPr>
            <w:tcW w:w="4860" w:type="dxa"/>
            <w:tcBorders>
              <w:top w:val="nil"/>
              <w:left w:val="nil"/>
              <w:bottom w:val="nil"/>
              <w:right w:val="nil"/>
            </w:tcBorders>
            <w:tcMar>
              <w:top w:w="0" w:type="dxa"/>
              <w:left w:w="62" w:type="dxa"/>
              <w:bottom w:w="0" w:type="dxa"/>
              <w:right w:w="62" w:type="dxa"/>
            </w:tcMar>
          </w:tcPr>
          <w:p w:rsidR="00000000" w:rsidP="00CB1259">
            <w:pPr>
              <w:pStyle w:val="BodyText"/>
              <w:rPr>
                <w:lang w:val="en-NZ"/>
              </w:rPr>
            </w:pPr>
            <w:r w:rsidRPr="00CB1259">
              <w:t>Functional and test are checks are conducted on</w:t>
            </w:r>
            <w:r w:rsidRPr="00CB1259">
              <w:t xml:space="preserve"> all process control apparatus in accordance with established practice.</w:t>
            </w:r>
          </w:p>
        </w:tc>
      </w:tr>
      <w:tr w:rsidTr="004F299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B1259">
            <w:pPr>
              <w:pStyle w:val="BodyText"/>
              <w:rPr>
                <w:lang w:val="en-NZ"/>
              </w:rPr>
            </w:pPr>
            <w:r w:rsidRPr="00CB1259">
              <w:t>4</w:t>
            </w:r>
          </w:p>
        </w:tc>
        <w:tc>
          <w:tcPr>
            <w:tcW w:w="2296" w:type="dxa"/>
            <w:tcBorders>
              <w:top w:val="nil"/>
              <w:left w:val="nil"/>
              <w:bottom w:val="nil"/>
              <w:right w:val="nil"/>
            </w:tcBorders>
            <w:tcMar>
              <w:top w:w="0" w:type="dxa"/>
              <w:left w:w="62" w:type="dxa"/>
              <w:bottom w:w="0" w:type="dxa"/>
              <w:right w:w="62" w:type="dxa"/>
            </w:tcMar>
          </w:tcPr>
          <w:p w:rsidR="00000000" w:rsidP="00CB1259">
            <w:pPr>
              <w:pStyle w:val="BodyText"/>
              <w:rPr>
                <w:lang w:val="en-NZ"/>
              </w:rPr>
            </w:pPr>
            <w:r w:rsidRPr="00CB1259">
              <w:t>Report inspection and test findings</w:t>
            </w:r>
          </w:p>
        </w:tc>
        <w:tc>
          <w:tcPr>
            <w:tcW w:w="900" w:type="dxa"/>
            <w:tcBorders>
              <w:top w:val="nil"/>
              <w:left w:val="nil"/>
              <w:bottom w:val="nil"/>
              <w:right w:val="nil"/>
            </w:tcBorders>
            <w:tcMar>
              <w:top w:w="0" w:type="dxa"/>
              <w:left w:w="62" w:type="dxa"/>
              <w:bottom w:w="0" w:type="dxa"/>
              <w:right w:w="62" w:type="dxa"/>
            </w:tcMar>
          </w:tcPr>
          <w:p w:rsidR="00000000" w:rsidP="00CB1259">
            <w:pPr>
              <w:pStyle w:val="BodyText"/>
              <w:rPr>
                <w:lang w:val="en-NZ"/>
              </w:rPr>
            </w:pPr>
            <w:r w:rsidRPr="00CB1259">
              <w:t>4.1</w:t>
            </w:r>
          </w:p>
        </w:tc>
        <w:tc>
          <w:tcPr>
            <w:tcW w:w="4860" w:type="dxa"/>
            <w:tcBorders>
              <w:top w:val="nil"/>
              <w:left w:val="nil"/>
              <w:bottom w:val="nil"/>
              <w:right w:val="nil"/>
            </w:tcBorders>
            <w:tcMar>
              <w:top w:w="0" w:type="dxa"/>
              <w:left w:w="62" w:type="dxa"/>
              <w:bottom w:w="0" w:type="dxa"/>
              <w:right w:w="62" w:type="dxa"/>
            </w:tcMar>
          </w:tcPr>
          <w:p w:rsidR="00000000" w:rsidP="00CB1259">
            <w:pPr>
              <w:pStyle w:val="BodyText"/>
              <w:rPr>
                <w:lang w:val="en-NZ"/>
              </w:rPr>
            </w:pPr>
            <w:r w:rsidRPr="00CB1259">
              <w:t>OHS risk control work completion measures and procedures are followed.</w:t>
            </w:r>
          </w:p>
        </w:tc>
      </w:tr>
      <w:tr w:rsidTr="004F299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1259">
            <w:pPr>
              <w:pStyle w:val="BodyText"/>
              <w:rPr>
                <w:lang w:val="en-NZ"/>
              </w:rPr>
            </w:pPr>
            <w:r w:rsidRPr="00CB1259">
              <w:t>4.2</w:t>
            </w:r>
          </w:p>
        </w:tc>
        <w:tc>
          <w:tcPr>
            <w:tcW w:w="4860" w:type="dxa"/>
            <w:tcBorders>
              <w:top w:val="nil"/>
              <w:left w:val="nil"/>
              <w:bottom w:val="nil"/>
              <w:right w:val="nil"/>
            </w:tcBorders>
            <w:tcMar>
              <w:top w:w="0" w:type="dxa"/>
              <w:left w:w="62" w:type="dxa"/>
              <w:bottom w:w="0" w:type="dxa"/>
              <w:right w:w="62" w:type="dxa"/>
            </w:tcMar>
          </w:tcPr>
          <w:p w:rsidR="00000000" w:rsidP="00CB1259">
            <w:pPr>
              <w:pStyle w:val="BodyText"/>
              <w:rPr>
                <w:lang w:val="en-NZ"/>
              </w:rPr>
            </w:pPr>
            <w:r w:rsidRPr="00CB1259">
              <w:t>Work site is cleaned and made safe in accordance with established procedures.</w:t>
            </w:r>
          </w:p>
        </w:tc>
      </w:tr>
      <w:tr w:rsidTr="004F299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1259">
            <w:pPr>
              <w:pStyle w:val="BodyText"/>
              <w:rPr>
                <w:lang w:val="en-NZ"/>
              </w:rPr>
            </w:pPr>
            <w:r w:rsidRPr="00CB1259">
              <w:t>4.3</w:t>
            </w:r>
          </w:p>
        </w:tc>
        <w:tc>
          <w:tcPr>
            <w:tcW w:w="4860" w:type="dxa"/>
            <w:tcBorders>
              <w:top w:val="nil"/>
              <w:left w:val="nil"/>
              <w:bottom w:val="nil"/>
              <w:right w:val="nil"/>
            </w:tcBorders>
            <w:tcMar>
              <w:top w:w="0" w:type="dxa"/>
              <w:left w:w="62" w:type="dxa"/>
              <w:bottom w:w="0" w:type="dxa"/>
              <w:right w:w="62" w:type="dxa"/>
            </w:tcMar>
          </w:tcPr>
          <w:p w:rsidR="00000000" w:rsidP="00CB1259">
            <w:pPr>
              <w:pStyle w:val="BodyText"/>
              <w:rPr>
                <w:lang w:val="en-NZ"/>
              </w:rPr>
            </w:pPr>
            <w:r w:rsidRPr="00CB1259">
              <w:t>Non-compliance defects are identified and reported in accordance with established procedures.</w:t>
            </w:r>
          </w:p>
        </w:tc>
      </w:tr>
      <w:tr w:rsidTr="004F299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1259">
            <w:pPr>
              <w:pStyle w:val="BodyText"/>
              <w:rPr>
                <w:lang w:val="en-NZ"/>
              </w:rPr>
            </w:pPr>
            <w:r w:rsidRPr="00CB1259">
              <w:t>4.4</w:t>
            </w:r>
          </w:p>
        </w:tc>
        <w:tc>
          <w:tcPr>
            <w:tcW w:w="4860" w:type="dxa"/>
            <w:tcBorders>
              <w:top w:val="nil"/>
              <w:left w:val="nil"/>
              <w:bottom w:val="nil"/>
              <w:right w:val="nil"/>
            </w:tcBorders>
            <w:tcMar>
              <w:top w:w="0" w:type="dxa"/>
              <w:left w:w="62" w:type="dxa"/>
              <w:bottom w:w="0" w:type="dxa"/>
              <w:right w:w="62" w:type="dxa"/>
            </w:tcMar>
          </w:tcPr>
          <w:p w:rsidR="00000000" w:rsidP="00CB1259">
            <w:pPr>
              <w:pStyle w:val="BodyText"/>
              <w:rPr>
                <w:lang w:val="en-NZ"/>
              </w:rPr>
            </w:pPr>
            <w:r w:rsidRPr="00CB1259">
              <w:t>Recommendations for rectifying defects are made in accordance with est</w:t>
            </w:r>
            <w:r w:rsidRPr="00CB1259">
              <w:t>ablished procedures.</w:t>
            </w:r>
          </w:p>
        </w:tc>
      </w:tr>
      <w:tr w:rsidTr="004F299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1259">
            <w:pPr>
              <w:pStyle w:val="BodyText"/>
              <w:rPr>
                <w:lang w:val="en-NZ"/>
              </w:rPr>
            </w:pPr>
            <w:r w:rsidRPr="00CB1259">
              <w:t>4.5</w:t>
            </w:r>
          </w:p>
        </w:tc>
        <w:tc>
          <w:tcPr>
            <w:tcW w:w="4860" w:type="dxa"/>
            <w:tcBorders>
              <w:top w:val="nil"/>
              <w:left w:val="nil"/>
              <w:bottom w:val="nil"/>
              <w:right w:val="nil"/>
            </w:tcBorders>
            <w:tcMar>
              <w:top w:w="0" w:type="dxa"/>
              <w:left w:w="62" w:type="dxa"/>
              <w:bottom w:w="0" w:type="dxa"/>
              <w:right w:w="62" w:type="dxa"/>
            </w:tcMar>
          </w:tcPr>
          <w:p w:rsidR="00000000" w:rsidRPr="00CB1259" w:rsidP="00CB1259">
            <w:pPr>
              <w:pStyle w:val="BodyText"/>
            </w:pPr>
            <w:r w:rsidRPr="00CB1259">
              <w:t>Verification documentation is completed in accordance with established procedures.</w:t>
            </w:r>
          </w:p>
        </w:tc>
      </w:tr>
    </w:tbl>
    <w:p w:rsidR="004F2999" w:rsidP="00CB1259">
      <w:pPr>
        <w:pStyle w:val="BodyText"/>
      </w:pPr>
    </w:p>
    <w:p w:rsidR="004F2999" w:rsidP="00CB1259">
      <w:pPr>
        <w:pStyle w:val="BodyText"/>
      </w:pPr>
    </w:p>
    <w:p w:rsidR="00000000" w:rsidRPr="00CB1259" w:rsidP="00CB1259">
      <w:pPr>
        <w:pStyle w:val="Heading1"/>
      </w:pPr>
      <w:bookmarkStart w:id="9" w:name="O_263291"/>
      <w:bookmarkEnd w:id="9"/>
      <w:r w:rsidRPr="00CB1259">
        <w:t>Required Skills and Knowledge</w:t>
      </w:r>
    </w:p>
    <w:tbl>
      <w:tblPr>
        <w:tblW w:w="0" w:type="auto"/>
        <w:tblLayout w:type="fixed"/>
        <w:tblCellMar>
          <w:left w:w="62" w:type="dxa"/>
          <w:right w:w="62" w:type="dxa"/>
        </w:tblCellMar>
        <w:tblLook w:val="0000"/>
      </w:tblPr>
      <w:tblGrid>
        <w:gridCol w:w="2700"/>
        <w:gridCol w:w="1080"/>
        <w:gridCol w:w="4680"/>
      </w:tblGrid>
      <w:tr w:rsidTr="004F2999">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CB1259">
            <w:pPr>
              <w:pStyle w:val="BodyText"/>
              <w:rPr>
                <w:lang w:val="en-NZ"/>
              </w:rPr>
            </w:pPr>
            <w:r w:rsidRPr="00CB1259">
              <w:rPr>
                <w:rStyle w:val="SpecialBold"/>
              </w:rPr>
              <w:t>REQUIRED SKILLS AND KNOWLEDGE</w:t>
            </w:r>
          </w:p>
        </w:tc>
      </w:tr>
      <w:tr w:rsidTr="004F2999">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CB1259">
            <w:pPr>
              <w:pStyle w:val="BodyText"/>
              <w:rPr>
                <w:lang w:val="en-NZ"/>
              </w:rPr>
            </w:pPr>
            <w:r w:rsidRPr="00CB1259">
              <w:rPr>
                <w:rStyle w:val="SpecialBold"/>
              </w:rPr>
              <w:t>7</w:t>
            </w:r>
            <w:r w:rsidRPr="00CB1259">
              <w:t>) This describes the essential skills and knowledge and their level, required for this unit.</w:t>
            </w:r>
          </w:p>
        </w:tc>
      </w:tr>
      <w:tr w:rsidTr="004F2999">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CB1259" w:rsidP="00CB1259">
            <w:pPr>
              <w:pStyle w:val="BodyText"/>
            </w:pPr>
            <w:r w:rsidRPr="00CB1259">
              <w:t xml:space="preserve">Evidence shall show that knowledge has been acquired of safe working practices and verifying compliance and functionality of process control installations. </w:t>
            </w:r>
          </w:p>
          <w:p w:rsidR="00000000" w:rsidRPr="00CB1259" w:rsidP="00CB1259">
            <w:pPr>
              <w:pStyle w:val="BodyText"/>
            </w:pPr>
            <w:r w:rsidRPr="00CB1259">
              <w:t>All knowledge and skills detailed in this unit should be contextualised to current industry practices and technologies.</w:t>
            </w:r>
          </w:p>
          <w:p w:rsidR="00000000" w:rsidP="00CB1259">
            <w:pPr>
              <w:pStyle w:val="BodyText"/>
              <w:rPr>
                <w:lang w:val="en-NZ"/>
              </w:rPr>
            </w:pPr>
            <w:r w:rsidRPr="00CB1259">
              <w:t xml:space="preserve">The extent of the essential knowledge and associated skills (EKAS) required is given in Volume 2 - Part 2.2 EKAS.  It forms an integral </w:t>
            </w:r>
            <w:r w:rsidRPr="00CB1259">
              <w:t>part of this unit.</w:t>
            </w:r>
          </w:p>
        </w:tc>
      </w:tr>
      <w:tr w:rsidTr="004F299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B1259">
            <w:pPr>
              <w:pStyle w:val="BodyText"/>
              <w:rPr>
                <w:lang w:val="en-NZ"/>
              </w:rPr>
            </w:pPr>
            <w:r w:rsidRPr="00CB1259">
              <w:t>2.12.21</w:t>
            </w:r>
          </w:p>
        </w:tc>
        <w:tc>
          <w:tcPr>
            <w:tcW w:w="4680" w:type="dxa"/>
            <w:tcBorders>
              <w:top w:val="nil"/>
              <w:left w:val="nil"/>
              <w:bottom w:val="nil"/>
              <w:right w:val="nil"/>
            </w:tcBorders>
            <w:tcMar>
              <w:top w:w="0" w:type="dxa"/>
              <w:left w:w="62" w:type="dxa"/>
              <w:bottom w:w="0" w:type="dxa"/>
              <w:right w:w="62" w:type="dxa"/>
            </w:tcMar>
          </w:tcPr>
          <w:p w:rsidR="00000000" w:rsidRPr="00CB1259" w:rsidP="00CB1259">
            <w:pPr>
              <w:pStyle w:val="BodyText"/>
            </w:pPr>
            <w:r w:rsidRPr="00CB1259">
              <w:t>Control system installation, testing and verification methods</w:t>
            </w:r>
          </w:p>
        </w:tc>
      </w:tr>
    </w:tbl>
    <w:p w:rsidR="004F2999" w:rsidP="00CB1259">
      <w:pPr>
        <w:pStyle w:val="BodyText"/>
      </w:pPr>
    </w:p>
    <w:p w:rsidR="004F2999" w:rsidP="00CB1259">
      <w:pPr>
        <w:pStyle w:val="BodyText"/>
      </w:pPr>
    </w:p>
    <w:p w:rsidR="00000000" w:rsidRPr="00CB1259" w:rsidP="00CB1259">
      <w:pPr>
        <w:pStyle w:val="Heading1"/>
      </w:pPr>
      <w:bookmarkStart w:id="10" w:name="O_247484"/>
      <w:bookmarkEnd w:id="10"/>
      <w:r w:rsidRPr="00CB1259">
        <w:t>Evidence Guide</w:t>
      </w:r>
    </w:p>
    <w:tbl>
      <w:tblPr>
        <w:tblW w:w="0" w:type="auto"/>
        <w:tblLayout w:type="fixed"/>
        <w:tblCellMar>
          <w:left w:w="62" w:type="dxa"/>
          <w:right w:w="62" w:type="dxa"/>
        </w:tblCellMar>
        <w:tblLook w:val="0000"/>
      </w:tblPr>
      <w:tblGrid>
        <w:gridCol w:w="2160"/>
        <w:gridCol w:w="720"/>
        <w:gridCol w:w="540"/>
        <w:gridCol w:w="5040"/>
      </w:tblGrid>
      <w:tr w:rsidTr="004F2999">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CB1259">
            <w:pPr>
              <w:pStyle w:val="BodyText"/>
              <w:rPr>
                <w:lang w:val="en-NZ"/>
              </w:rPr>
            </w:pPr>
            <w:r w:rsidRPr="00CB1259">
              <w:rPr>
                <w:rStyle w:val="SpecialBold"/>
              </w:rPr>
              <w:t>EVIDENCE GUIDE</w:t>
            </w:r>
          </w:p>
        </w:tc>
      </w:tr>
      <w:tr w:rsidTr="004F2999">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CB1259" w:rsidP="00CB1259">
            <w:pPr>
              <w:pStyle w:val="BodyText"/>
            </w:pPr>
            <w:r w:rsidRPr="00CB1259">
              <w:rPr>
                <w:rStyle w:val="SpecialBold"/>
              </w:rPr>
              <w:t>9</w:t>
            </w:r>
            <w:r w:rsidRPr="00CB1259">
              <w:t xml:space="preserve">) The evidence guide provides advice on assessment and must be read in conjunction with the Performance </w:t>
            </w:r>
            <w:r w:rsidRPr="00CB1259">
              <w:t>Criteria, Required Skills and Knowledge, the Range Statement and the Assessment Guidelines for this Training Package.</w:t>
            </w:r>
          </w:p>
          <w:p w:rsidR="00000000" w:rsidP="00CB1259">
            <w:pPr>
              <w:pStyle w:val="BodyText"/>
              <w:rPr>
                <w:lang w:val="en-NZ"/>
              </w:rPr>
            </w:pPr>
            <w:r w:rsidRPr="00CB1259">
              <w:t>The Evidence Guide forms an integral part of this unit. It must be used in conjunction with all parts of the unit and performed in accorda</w:t>
            </w:r>
            <w:r w:rsidRPr="00CB1259">
              <w:t>nce with the Assessment Guidelines of this Training Package.</w:t>
            </w:r>
          </w:p>
        </w:tc>
      </w:tr>
      <w:tr w:rsidTr="004F299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B1259" w:rsidP="00CB1259">
            <w:pPr>
              <w:pStyle w:val="BodyText"/>
            </w:pPr>
            <w:r w:rsidRPr="00CB1259">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CB1259" w:rsidP="00CB1259">
            <w:pPr>
              <w:pStyle w:val="BodyText"/>
            </w:pPr>
            <w:r w:rsidRPr="00CB1259">
              <w:rPr>
                <w:rStyle w:val="SpecialBold"/>
              </w:rPr>
              <w:t>9</w:t>
            </w:r>
            <w:r w:rsidRPr="00CB1259">
              <w:t>.</w:t>
            </w:r>
            <w:r w:rsidRPr="00CB1259">
              <w:rPr>
                <w:rStyle w:val="SpecialBold"/>
              </w:rPr>
              <w:t>1</w:t>
            </w:r>
            <w:r w:rsidRPr="00CB1259">
              <w:t>)</w:t>
            </w:r>
          </w:p>
          <w:p w:rsidR="00000000" w:rsidRPr="00CB1259" w:rsidP="00CB1259">
            <w:pPr>
              <w:pStyle w:val="BodyText"/>
            </w:pPr>
            <w:r w:rsidRPr="00CB1259">
              <w:t>Longitudinal competency development approaches to assessment, such as Profiling, require data to be reliably gathered in a form that can be consistently interprete</w:t>
            </w:r>
            <w:r w:rsidRPr="00CB1259">
              <w:t>d over time. This approach is best utilised in Apprenticeship programs and reduces assessment intervention. It is the industry-preferred model for apprenticeships. However, where summative (or final) assessment is used it is to include the application of t</w:t>
            </w:r>
            <w:r w:rsidRPr="00CB1259">
              <w:t>he competency in the normal work environment or, at a minimum, the application of the competency in a realistically simulated work environment. In some circumstances, assessment in part or full can occur outside the workplace. However, it must be in accord</w:t>
            </w:r>
            <w:r w:rsidRPr="00CB1259">
              <w:t>ance with industry and regulatory policy.</w:t>
            </w:r>
          </w:p>
          <w:p w:rsidR="00000000" w:rsidRPr="00CB1259" w:rsidP="00CB1259">
            <w:pPr>
              <w:pStyle w:val="BodyText"/>
            </w:pPr>
            <w:r w:rsidRPr="00CB1259">
              <w:t>Methods chosen for a particular assessment will be influenced by various factors. These include the extent of the assessment, the most effective locations for the assessment activities to take place, access to phys</w:t>
            </w:r>
            <w:r w:rsidRPr="00CB1259">
              <w:t>ical resources, additional safety measures that may be required and the critical nature of the competencies being assessed.</w:t>
            </w:r>
          </w:p>
          <w:p w:rsidR="00000000" w:rsidRPr="00CB1259" w:rsidP="00CB1259">
            <w:pPr>
              <w:pStyle w:val="BodyText"/>
            </w:pPr>
            <w:r w:rsidRPr="00CB1259">
              <w:t xml:space="preserve">The critical safety nature of working with electricity, electrical equipment, gas or any other hazardous substance/material carries </w:t>
            </w:r>
            <w:r w:rsidRPr="00CB1259">
              <w:t>risk in deeming a person competent. Sources of evidence need to be 'rich' in nature to minimise error in judgment.</w:t>
            </w:r>
          </w:p>
          <w:p w:rsidR="00000000" w:rsidP="00CB1259">
            <w:pPr>
              <w:pStyle w:val="BodyText"/>
              <w:rPr>
                <w:lang w:val="en-NZ"/>
              </w:rPr>
            </w:pPr>
            <w:r w:rsidRPr="00CB1259">
              <w:t>Activities associated with normal everyday work influence how/how much the data gathered will contribute to its 'richness'. Some skills are m</w:t>
            </w:r>
            <w:r w:rsidRPr="00CB1259">
              <w:t>ore critical to safety and operational requirements while the same skills may be more or less frequently practised. These points are raised for the assessors to consider when choosing an assessment method and developing assessment instruments. Sample asses</w:t>
            </w:r>
            <w:r w:rsidRPr="00CB1259">
              <w:t>sment instruments are included for Assessors in the Assessment Guidelines of this Training Package.</w:t>
            </w:r>
          </w:p>
        </w:tc>
      </w:tr>
      <w:tr w:rsidTr="004F2999">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CB1259" w:rsidP="00CB1259">
            <w:pPr>
              <w:pStyle w:val="BodyText"/>
            </w:pPr>
            <w:r w:rsidRPr="00CB1259">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CB1259" w:rsidP="00CB1259">
            <w:pPr>
              <w:pStyle w:val="BodyText"/>
            </w:pPr>
            <w:r w:rsidRPr="00CB1259">
              <w:rPr>
                <w:rStyle w:val="SpecialBold"/>
              </w:rPr>
              <w:t>9</w:t>
            </w:r>
            <w:r w:rsidRPr="00CB1259">
              <w:t>.</w:t>
            </w:r>
            <w:r w:rsidRPr="00CB1259">
              <w:rPr>
                <w:rStyle w:val="SpecialBold"/>
              </w:rPr>
              <w:t>2</w:t>
            </w:r>
            <w:r w:rsidRPr="00CB1259">
              <w:t>)</w:t>
            </w:r>
          </w:p>
          <w:p w:rsidR="00000000" w:rsidP="00CB1259">
            <w:pPr>
              <w:pStyle w:val="BodyText"/>
              <w:rPr>
                <w:lang w:val="en-NZ"/>
              </w:rPr>
            </w:pPr>
            <w:r w:rsidRPr="00CB1259">
              <w:t>Before the critical aspects of evidence are considered all prerequisites must be met.</w:t>
            </w:r>
          </w:p>
        </w:tc>
      </w:tr>
      <w:tr w:rsidTr="004F299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CB1259" w:rsidP="00CB1259">
            <w:pPr>
              <w:pStyle w:val="BodyText"/>
            </w:pPr>
            <w:r w:rsidRPr="00CB1259">
              <w:t>Evidence for competence in this unit shall be considered holistically.  Each Element and associated performance criteria must be demonstrated on at least two occasion</w:t>
            </w:r>
            <w:r w:rsidRPr="00CB1259">
              <w:t>s in accordance with the 'Assessment Guidelines - UEE07'.  Evidence shall also comprise:</w:t>
            </w:r>
          </w:p>
          <w:p w:rsidR="00000000" w:rsidP="00CB1259">
            <w:pPr>
              <w:pStyle w:val="ListBullet"/>
              <w:rPr>
                <w:lang w:val="en-NZ"/>
              </w:rPr>
            </w:pPr>
            <w:r w:rsidRPr="00CB1259">
              <w:t>A representative body of work performance demonstrated within the timeframes typically expected of the discipline, work function and industrial environment. In particu</w:t>
            </w:r>
            <w:r w:rsidRPr="00CB1259">
              <w:t>lar this shall incorporate evidence that shows a candidate is able to:</w:t>
            </w:r>
          </w:p>
        </w:tc>
      </w:tr>
      <w:tr w:rsidTr="004F299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B1259">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CB1259" w:rsidP="00CB1259">
            <w:pPr>
              <w:pStyle w:val="ListBullet2"/>
            </w:pPr>
            <w:r w:rsidRPr="00CB1259">
              <w:t>Implement Occupational Health and Safety workplace procedures and practices, including the use of risk control measures as specified in the performance criteria and range statement</w:t>
            </w:r>
          </w:p>
          <w:p w:rsidR="00000000" w:rsidRPr="00CB1259" w:rsidP="00CB1259">
            <w:pPr>
              <w:pStyle w:val="ListBullet2"/>
            </w:pPr>
            <w:r w:rsidRPr="00CB1259">
              <w:t>Apply sustainable energy principles and practices as specified in the performance criteria and range statement</w:t>
            </w:r>
          </w:p>
          <w:p w:rsidR="00000000" w:rsidRPr="00CB1259" w:rsidP="00CB1259">
            <w:pPr>
              <w:pStyle w:val="ListBullet2"/>
            </w:pPr>
            <w:r w:rsidRPr="00CB1259">
              <w:t>Demonstrate an understanding of the essential knowledge and associated skills as described in this unit.  It may be required by some jurisdictio</w:t>
            </w:r>
            <w:r w:rsidRPr="00CB1259">
              <w:t>ns that RTOs provide a percentile graded result for the purpose of regulatory or licensing requirements.</w:t>
            </w:r>
          </w:p>
          <w:p w:rsidR="00000000" w:rsidRPr="00CB1259" w:rsidP="00CB1259">
            <w:pPr>
              <w:pStyle w:val="ListBullet2"/>
            </w:pPr>
            <w:r w:rsidRPr="00CB1259">
              <w:t>Demonstrate an appropriate level of skills enabling employment</w:t>
            </w:r>
          </w:p>
          <w:p w:rsidR="00000000" w:rsidP="00CB1259">
            <w:pPr>
              <w:pStyle w:val="ListBullet2"/>
              <w:rPr>
                <w:lang w:val="en-NZ"/>
              </w:rPr>
            </w:pPr>
            <w:r w:rsidRPr="00CB1259">
              <w:t>Conduct work observing the relevant Anti Discrimination legislation, regulations, police</w:t>
            </w:r>
            <w:r w:rsidRPr="00CB1259">
              <w:t>s and workplace procedures</w:t>
            </w:r>
          </w:p>
        </w:tc>
      </w:tr>
      <w:tr w:rsidTr="004F299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B1259">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CB1259">
            <w:pPr>
              <w:pStyle w:val="ListBullet"/>
              <w:rPr>
                <w:lang w:val="en-NZ"/>
              </w:rPr>
            </w:pPr>
            <w:r w:rsidRPr="00CB1259">
              <w:t>Demonstrated consistent performance across a representative range of contexts from the prescribed items below:</w:t>
            </w:r>
          </w:p>
        </w:tc>
      </w:tr>
      <w:tr w:rsidTr="004F299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B1259">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CB1259">
            <w:pPr>
              <w:pStyle w:val="ListBullet2"/>
              <w:rPr>
                <w:lang w:val="en-NZ"/>
              </w:rPr>
            </w:pPr>
            <w:r w:rsidRPr="00CB1259">
              <w:t xml:space="preserve">Verify compliance and functionality of process control installations as listed as described </w:t>
            </w:r>
            <w:r w:rsidRPr="00CB1259">
              <w:t>in 8) and including:</w:t>
            </w:r>
          </w:p>
        </w:tc>
      </w:tr>
      <w:tr w:rsidTr="004F299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B1259">
            <w:pPr>
              <w:pStyle w:val="BodyText"/>
              <w:rPr>
                <w:lang w:val="en-NZ"/>
              </w:rPr>
            </w:pPr>
            <w:r w:rsidRPr="00CB1259">
              <w:t>A</w:t>
            </w:r>
          </w:p>
        </w:tc>
        <w:tc>
          <w:tcPr>
            <w:tcW w:w="5040" w:type="dxa"/>
            <w:tcBorders>
              <w:top w:val="nil"/>
              <w:left w:val="nil"/>
              <w:bottom w:val="nil"/>
              <w:right w:val="nil"/>
            </w:tcBorders>
            <w:tcMar>
              <w:top w:w="0" w:type="dxa"/>
              <w:left w:w="62" w:type="dxa"/>
              <w:bottom w:w="0" w:type="dxa"/>
              <w:right w:w="62" w:type="dxa"/>
            </w:tcMar>
          </w:tcPr>
          <w:p w:rsidR="00000000" w:rsidP="00CB1259">
            <w:pPr>
              <w:pStyle w:val="BodyText"/>
              <w:rPr>
                <w:lang w:val="en-NZ"/>
              </w:rPr>
            </w:pPr>
            <w:r w:rsidRPr="00CB1259">
              <w:t>Selecting correct tools and testing equipment.</w:t>
            </w:r>
          </w:p>
        </w:tc>
      </w:tr>
      <w:tr w:rsidTr="004F299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B1259">
            <w:pPr>
              <w:pStyle w:val="BodyText"/>
              <w:rPr>
                <w:lang w:val="en-NZ"/>
              </w:rPr>
            </w:pPr>
            <w:r w:rsidRPr="00CB1259">
              <w:t>B</w:t>
            </w:r>
          </w:p>
        </w:tc>
        <w:tc>
          <w:tcPr>
            <w:tcW w:w="5040" w:type="dxa"/>
            <w:tcBorders>
              <w:top w:val="nil"/>
              <w:left w:val="nil"/>
              <w:bottom w:val="nil"/>
              <w:right w:val="nil"/>
            </w:tcBorders>
            <w:tcMar>
              <w:top w:w="0" w:type="dxa"/>
              <w:left w:w="62" w:type="dxa"/>
              <w:bottom w:w="0" w:type="dxa"/>
              <w:right w:w="62" w:type="dxa"/>
            </w:tcMar>
          </w:tcPr>
          <w:p w:rsidR="00000000" w:rsidP="00CB1259">
            <w:pPr>
              <w:pStyle w:val="BodyText"/>
              <w:rPr>
                <w:lang w:val="en-NZ"/>
              </w:rPr>
            </w:pPr>
            <w:r w:rsidRPr="00CB1259">
              <w:t>Identifying visual non-compliance defects</w:t>
            </w:r>
          </w:p>
        </w:tc>
      </w:tr>
      <w:tr w:rsidTr="004F299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B1259">
            <w:pPr>
              <w:pStyle w:val="BodyText"/>
              <w:rPr>
                <w:lang w:val="en-NZ"/>
              </w:rPr>
            </w:pPr>
            <w:r w:rsidRPr="00CB1259">
              <w:t>C</w:t>
            </w:r>
          </w:p>
        </w:tc>
        <w:tc>
          <w:tcPr>
            <w:tcW w:w="5040" w:type="dxa"/>
            <w:tcBorders>
              <w:top w:val="nil"/>
              <w:left w:val="nil"/>
              <w:bottom w:val="nil"/>
              <w:right w:val="nil"/>
            </w:tcBorders>
            <w:tcMar>
              <w:top w:w="0" w:type="dxa"/>
              <w:left w:w="62" w:type="dxa"/>
              <w:bottom w:w="0" w:type="dxa"/>
              <w:right w:w="62" w:type="dxa"/>
            </w:tcMar>
          </w:tcPr>
          <w:p w:rsidR="00000000" w:rsidP="00CB1259">
            <w:pPr>
              <w:pStyle w:val="BodyText"/>
              <w:rPr>
                <w:lang w:val="en-NZ"/>
              </w:rPr>
            </w:pPr>
            <w:r w:rsidRPr="00CB1259">
              <w:t>Using effective methods for conducting tests</w:t>
            </w:r>
          </w:p>
        </w:tc>
      </w:tr>
      <w:tr w:rsidTr="004F299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B1259">
            <w:pPr>
              <w:pStyle w:val="BodyText"/>
              <w:rPr>
                <w:lang w:val="en-NZ"/>
              </w:rPr>
            </w:pPr>
            <w:r w:rsidRPr="00CB1259">
              <w:t>D</w:t>
            </w:r>
          </w:p>
        </w:tc>
        <w:tc>
          <w:tcPr>
            <w:tcW w:w="5040" w:type="dxa"/>
            <w:tcBorders>
              <w:top w:val="nil"/>
              <w:left w:val="nil"/>
              <w:bottom w:val="nil"/>
              <w:right w:val="nil"/>
            </w:tcBorders>
            <w:tcMar>
              <w:top w:w="0" w:type="dxa"/>
              <w:left w:w="62" w:type="dxa"/>
              <w:bottom w:w="0" w:type="dxa"/>
              <w:right w:w="62" w:type="dxa"/>
            </w:tcMar>
          </w:tcPr>
          <w:p w:rsidR="00000000" w:rsidP="00CB1259">
            <w:pPr>
              <w:pStyle w:val="BodyText"/>
              <w:rPr>
                <w:lang w:val="en-NZ"/>
              </w:rPr>
            </w:pPr>
            <w:r w:rsidRPr="00CB1259">
              <w:t>Identifying non-compliance from test results.</w:t>
            </w:r>
          </w:p>
        </w:tc>
      </w:tr>
      <w:tr w:rsidTr="004F299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B1259">
            <w:pPr>
              <w:pStyle w:val="BodyText"/>
              <w:rPr>
                <w:lang w:val="en-NZ"/>
              </w:rPr>
            </w:pPr>
            <w:r w:rsidRPr="00CB1259">
              <w:t>E</w:t>
            </w:r>
          </w:p>
        </w:tc>
        <w:tc>
          <w:tcPr>
            <w:tcW w:w="5040" w:type="dxa"/>
            <w:tcBorders>
              <w:top w:val="nil"/>
              <w:left w:val="nil"/>
              <w:bottom w:val="nil"/>
              <w:right w:val="nil"/>
            </w:tcBorders>
            <w:tcMar>
              <w:top w:w="0" w:type="dxa"/>
              <w:left w:w="62" w:type="dxa"/>
              <w:bottom w:w="0" w:type="dxa"/>
              <w:right w:w="62" w:type="dxa"/>
            </w:tcMar>
          </w:tcPr>
          <w:p w:rsidR="00000000" w:rsidP="00CB1259">
            <w:pPr>
              <w:pStyle w:val="BodyText"/>
              <w:rPr>
                <w:lang w:val="en-NZ"/>
              </w:rPr>
            </w:pPr>
            <w:r w:rsidRPr="00CB1259">
              <w:t>Identifying causes of non-compliance and recommending how these should be rectified.</w:t>
            </w:r>
          </w:p>
        </w:tc>
      </w:tr>
      <w:tr w:rsidTr="004F299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B1259">
            <w:pPr>
              <w:pStyle w:val="BodyText"/>
              <w:rPr>
                <w:lang w:val="en-NZ"/>
              </w:rPr>
            </w:pPr>
            <w:r w:rsidRPr="00CB1259">
              <w:t>F</w:t>
            </w:r>
          </w:p>
        </w:tc>
        <w:tc>
          <w:tcPr>
            <w:tcW w:w="5040" w:type="dxa"/>
            <w:tcBorders>
              <w:top w:val="nil"/>
              <w:left w:val="nil"/>
              <w:bottom w:val="nil"/>
              <w:right w:val="nil"/>
            </w:tcBorders>
            <w:tcMar>
              <w:top w:w="0" w:type="dxa"/>
              <w:left w:w="62" w:type="dxa"/>
              <w:bottom w:w="0" w:type="dxa"/>
              <w:right w:w="62" w:type="dxa"/>
            </w:tcMar>
          </w:tcPr>
          <w:p w:rsidR="00000000" w:rsidP="00CB1259">
            <w:pPr>
              <w:pStyle w:val="BodyText"/>
              <w:rPr>
                <w:lang w:val="en-NZ"/>
              </w:rPr>
            </w:pPr>
            <w:r w:rsidRPr="00CB1259">
              <w:t>Completing verification documentation</w:t>
            </w:r>
          </w:p>
        </w:tc>
      </w:tr>
      <w:tr w:rsidTr="004F299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B1259">
            <w:pPr>
              <w:pStyle w:val="BodyText"/>
              <w:rPr>
                <w:lang w:val="en-NZ"/>
              </w:rPr>
            </w:pPr>
            <w:r w:rsidRPr="00CB1259">
              <w:t>G</w:t>
            </w:r>
          </w:p>
        </w:tc>
        <w:tc>
          <w:tcPr>
            <w:tcW w:w="5040" w:type="dxa"/>
            <w:tcBorders>
              <w:top w:val="nil"/>
              <w:left w:val="nil"/>
              <w:bottom w:val="nil"/>
              <w:right w:val="nil"/>
            </w:tcBorders>
            <w:tcMar>
              <w:top w:w="0" w:type="dxa"/>
              <w:left w:w="62" w:type="dxa"/>
              <w:bottom w:w="0" w:type="dxa"/>
              <w:right w:w="62" w:type="dxa"/>
            </w:tcMar>
          </w:tcPr>
          <w:p w:rsidR="00000000" w:rsidP="00CB1259">
            <w:pPr>
              <w:pStyle w:val="BodyText"/>
              <w:rPr>
                <w:lang w:val="en-NZ"/>
              </w:rPr>
            </w:pPr>
            <w:r w:rsidRPr="00CB1259">
              <w:t>Dealing with unplanned events by drawing on essential knowledge and skills to provide appropriate solutions incorporated in a holistic assessment with the above listed items</w:t>
            </w:r>
          </w:p>
        </w:tc>
      </w:tr>
      <w:tr w:rsidTr="004F299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CB1259">
            <w:pPr>
              <w:pStyle w:val="BodyText"/>
              <w:rPr>
                <w:lang w:val="en-NZ"/>
              </w:rPr>
            </w:pPr>
            <w:r w:rsidRPr="00CB1259">
              <w:t xml:space="preserve">Note: </w:t>
            </w:r>
            <w:r w:rsidRPr="00CB1259">
              <w:br/>
              <w:t>Successful completion of relevant vendor training may be used to contribu</w:t>
            </w:r>
            <w:r w:rsidRPr="00CB1259">
              <w:t>te to evidence on which competency is deemed. In these cases the alignment of outcomes of vendor training with performance criteria and critical aspects of evidence shall be clearly identified.</w:t>
            </w:r>
          </w:p>
        </w:tc>
      </w:tr>
      <w:tr w:rsidTr="004F299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B1259" w:rsidP="00CB1259">
            <w:pPr>
              <w:pStyle w:val="BodyText"/>
            </w:pPr>
            <w:r w:rsidRPr="00CB1259">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CB1259" w:rsidP="00CB1259">
            <w:pPr>
              <w:pStyle w:val="BodyText"/>
            </w:pPr>
            <w:r w:rsidRPr="00CB1259">
              <w:rPr>
                <w:rStyle w:val="SpecialBold"/>
              </w:rPr>
              <w:t>9</w:t>
            </w:r>
            <w:r w:rsidRPr="00CB1259">
              <w:t>.</w:t>
            </w:r>
            <w:r w:rsidRPr="00CB1259">
              <w:rPr>
                <w:rStyle w:val="SpecialBold"/>
              </w:rPr>
              <w:t>3</w:t>
            </w:r>
            <w:r w:rsidRPr="00CB1259">
              <w:t xml:space="preserve">) </w:t>
            </w:r>
          </w:p>
          <w:p w:rsidR="00000000" w:rsidRPr="00CB1259" w:rsidP="00CB1259">
            <w:pPr>
              <w:pStyle w:val="BodyText"/>
            </w:pPr>
            <w:r w:rsidRPr="00CB1259">
              <w:t>This</w:t>
            </w:r>
            <w:r w:rsidRPr="00CB1259">
              <w:t xml:space="preserve"> unit must be assessed as it relates to normal work practice using procedures, information and resources typical of a workplace. This should include:</w:t>
            </w:r>
          </w:p>
          <w:p w:rsidR="00000000" w:rsidRPr="00CB1259" w:rsidP="00CB1259">
            <w:pPr>
              <w:pStyle w:val="ListBullet"/>
            </w:pPr>
            <w:r w:rsidRPr="00CB1259">
              <w:t>OHS policy and work procedures and instructions.</w:t>
            </w:r>
          </w:p>
          <w:p w:rsidR="00000000" w:rsidRPr="00CB1259" w:rsidP="00CB1259">
            <w:pPr>
              <w:pStyle w:val="ListBullet"/>
            </w:pPr>
            <w:r w:rsidRPr="00CB1259">
              <w:t>Suitable work environment, facilities, equipment and materials to undertake actual work as prescribed by this unit.</w:t>
            </w:r>
          </w:p>
          <w:p w:rsidR="00000000" w:rsidRPr="00CB1259" w:rsidP="00CB1259">
            <w:pPr>
              <w:pStyle w:val="BodyText"/>
            </w:pPr>
            <w:r w:rsidRPr="00CB1259">
              <w:t>These should be part of the formal learning/assessment environment.</w:t>
            </w:r>
          </w:p>
          <w:p w:rsidR="00000000" w:rsidRPr="00CB1259" w:rsidP="00CB1259">
            <w:pPr>
              <w:pStyle w:val="BodyText"/>
            </w:pPr>
            <w:r w:rsidRPr="00CB1259">
              <w:t>Note:</w:t>
            </w:r>
          </w:p>
          <w:p w:rsidR="00000000" w:rsidP="00CB1259">
            <w:pPr>
              <w:pStyle w:val="BodyText"/>
              <w:rPr>
                <w:lang w:val="en-NZ"/>
              </w:rPr>
            </w:pPr>
            <w:r w:rsidRPr="00CB1259">
              <w:t>Where simulation is considered a suitable strategy for assessment,</w:t>
            </w:r>
            <w:r w:rsidRPr="00CB1259">
              <w:t xml:space="preserve"> the conditions must be authentic and as far as possible reproduce and replicate the workplace and be consistent with the approved industry simulation policy.</w:t>
            </w:r>
          </w:p>
        </w:tc>
      </w:tr>
      <w:tr w:rsidTr="004F299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CB1259">
            <w:pPr>
              <w:pStyle w:val="BodyText"/>
              <w:rPr>
                <w:lang w:val="en-NZ"/>
              </w:rPr>
            </w:pPr>
            <w:r w:rsidRPr="00CB1259">
              <w:t>The resources used for assessment should reflect current industry practices in relation to ve</w:t>
            </w:r>
            <w:r w:rsidRPr="00CB1259">
              <w:t>rifying compliance and functionality of process control installations.</w:t>
            </w:r>
          </w:p>
        </w:tc>
      </w:tr>
      <w:tr w:rsidTr="004F299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B1259" w:rsidP="00CB1259">
            <w:pPr>
              <w:pStyle w:val="BodyText"/>
            </w:pPr>
            <w:r w:rsidRPr="00CB1259">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CB1259" w:rsidP="00CB1259">
            <w:pPr>
              <w:pStyle w:val="BodyText"/>
            </w:pPr>
            <w:r w:rsidRPr="00CB1259">
              <w:rPr>
                <w:rStyle w:val="SpecialBold"/>
              </w:rPr>
              <w:t>9</w:t>
            </w:r>
            <w:r w:rsidRPr="00CB1259">
              <w:t>.</w:t>
            </w:r>
            <w:r w:rsidRPr="00CB1259">
              <w:rPr>
                <w:rStyle w:val="SpecialBold"/>
              </w:rPr>
              <w:t>4</w:t>
            </w:r>
            <w:r w:rsidRPr="00CB1259">
              <w:t>)</w:t>
            </w:r>
          </w:p>
          <w:p w:rsidR="00000000" w:rsidRPr="00CB1259" w:rsidP="00CB1259">
            <w:pPr>
              <w:pStyle w:val="BodyText"/>
            </w:pPr>
            <w:r w:rsidRPr="00CB1259">
              <w:t>This unit shall be assessed by methods given in Volume 1, Part 3 'Assessment Guidelines'.</w:t>
            </w:r>
          </w:p>
          <w:p w:rsidR="00000000" w:rsidP="00CB1259">
            <w:pPr>
              <w:pStyle w:val="BodyText"/>
              <w:rPr>
                <w:lang w:val="en-NZ"/>
              </w:rPr>
            </w:pPr>
            <w:r w:rsidRPr="00CB1259">
              <w:t xml:space="preserve">Note: </w:t>
            </w:r>
            <w:r w:rsidRPr="00CB1259">
              <w:br/>
              <w:t xml:space="preserve">Competent performance with inherent safe working practices </w:t>
            </w:r>
            <w:r w:rsidRPr="00CB1259">
              <w:t>is expected in the Industry to which this unit applies. This requires assessment in a structured environment which is intended primarily for learning/assessment and incorporates all necessary equipment and facilities for learners to develop and demonstrate</w:t>
            </w:r>
            <w:r w:rsidRPr="00CB1259">
              <w:t xml:space="preserve"> the essential knowledge and skills described in this unit.</w:t>
            </w:r>
          </w:p>
        </w:tc>
      </w:tr>
      <w:tr w:rsidTr="004F2999">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CB1259" w:rsidP="00CB1259">
            <w:pPr>
              <w:pStyle w:val="BodyText"/>
            </w:pPr>
            <w:r w:rsidRPr="00CB1259">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CB1259">
            <w:pPr>
              <w:pStyle w:val="BodyText"/>
              <w:rPr>
                <w:lang w:val="en-NZ"/>
              </w:rPr>
            </w:pPr>
            <w:r w:rsidRPr="00CB1259">
              <w:rPr>
                <w:rStyle w:val="SpecialBold"/>
              </w:rPr>
              <w:t>9</w:t>
            </w:r>
            <w:r w:rsidRPr="00CB1259">
              <w:t>.</w:t>
            </w:r>
            <w:r w:rsidRPr="00CB1259">
              <w:rPr>
                <w:rStyle w:val="SpecialBold"/>
              </w:rPr>
              <w:t>5</w:t>
            </w:r>
            <w:r w:rsidRPr="00CB1259">
              <w:t>)</w:t>
            </w:r>
          </w:p>
        </w:tc>
      </w:tr>
      <w:tr w:rsidTr="004F299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CB1259">
            <w:pPr>
              <w:pStyle w:val="BodyText"/>
              <w:rPr>
                <w:lang w:val="en-NZ"/>
              </w:rPr>
            </w:pPr>
            <w:r w:rsidRPr="00CB1259">
              <w:t>There are no concurrent assessment recommendations for this unit.</w:t>
            </w:r>
          </w:p>
        </w:tc>
      </w:tr>
      <w:tr w:rsidTr="004F299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CB1259" w:rsidP="00CB1259">
            <w:pPr>
              <w:pStyle w:val="BodyText"/>
            </w:pPr>
            <w:r w:rsidRPr="00CB1259">
              <w:t>The critical aspects of occupational health and safety covered in unit UEENEEE001B and other discipline specific occupational health and safety units shall be incorporated in relation to this unit.</w:t>
            </w:r>
          </w:p>
        </w:tc>
      </w:tr>
    </w:tbl>
    <w:p w:rsidR="004F2999" w:rsidP="00CB1259">
      <w:pPr>
        <w:pStyle w:val="BodyText"/>
      </w:pPr>
    </w:p>
    <w:p w:rsidR="004F2999" w:rsidP="00CB1259">
      <w:pPr>
        <w:pStyle w:val="BodyText"/>
      </w:pPr>
    </w:p>
    <w:p w:rsidR="00000000" w:rsidRPr="00CB1259" w:rsidP="00CB1259">
      <w:pPr>
        <w:pStyle w:val="Heading1"/>
      </w:pPr>
      <w:bookmarkStart w:id="11" w:name="O_255467"/>
      <w:bookmarkEnd w:id="11"/>
      <w:r w:rsidRPr="00CB1259">
        <w:t>Range Statement</w:t>
      </w:r>
    </w:p>
    <w:tbl>
      <w:tblPr>
        <w:tblW w:w="0" w:type="auto"/>
        <w:tblLayout w:type="fixed"/>
        <w:tblCellMar>
          <w:left w:w="62" w:type="dxa"/>
          <w:right w:w="62" w:type="dxa"/>
        </w:tblCellMar>
        <w:tblLook w:val="0000"/>
      </w:tblPr>
      <w:tblGrid>
        <w:gridCol w:w="8460"/>
      </w:tblGrid>
      <w:tr w:rsidTr="004F299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B1259">
            <w:pPr>
              <w:pStyle w:val="BodyText"/>
              <w:rPr>
                <w:lang w:val="en-NZ"/>
              </w:rPr>
            </w:pPr>
            <w:r w:rsidRPr="00CB1259">
              <w:rPr>
                <w:rStyle w:val="SpecialBold"/>
              </w:rPr>
              <w:t>RANGE STATEMENT</w:t>
            </w:r>
          </w:p>
        </w:tc>
      </w:tr>
      <w:tr w:rsidTr="004F299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B1259">
            <w:pPr>
              <w:pStyle w:val="BodyText"/>
              <w:rPr>
                <w:lang w:val="en-NZ"/>
              </w:rPr>
            </w:pPr>
            <w:r w:rsidRPr="00CB1259">
              <w:rPr>
                <w:rStyle w:val="SpecialBold"/>
              </w:rPr>
              <w:t>8</w:t>
            </w:r>
            <w:r w:rsidRPr="00CB1259">
              <w:t>) This relates to the unit as a whole providing the range of contexts and conditions to which the performance criteria apply. It allows for different work environments and situations that will affect performance.</w:t>
            </w:r>
          </w:p>
        </w:tc>
      </w:tr>
      <w:tr w:rsidTr="004F299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B1259">
            <w:pPr>
              <w:pStyle w:val="BodyText"/>
              <w:rPr>
                <w:lang w:val="en-NZ"/>
              </w:rPr>
            </w:pPr>
            <w:r w:rsidRPr="00CB1259">
              <w:t>This unit must be demonstrated in relation</w:t>
            </w:r>
            <w:r w:rsidRPr="00CB1259">
              <w:t xml:space="preserve"> to verifying compliance and functionality of at least one electrical/electronic and one pneumatic process control installation comprising a measuring transmitter, controller, final control element, indicator and cabling/tubing.</w:t>
            </w:r>
          </w:p>
        </w:tc>
      </w:tr>
      <w:tr w:rsidTr="004F299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B1259" w:rsidP="00CB1259">
            <w:pPr>
              <w:pStyle w:val="BodyText"/>
            </w:pPr>
            <w:r w:rsidRPr="00CB1259">
              <w:t>Generic terms used through</w:t>
            </w:r>
            <w:r w:rsidRPr="00CB1259">
              <w:t>out this Vocational Standard shall be regarded as part of the Range Statement in which competency is demonstrated. The definition of these and other terms that apply are given in Volume 2, Part 2.1.</w:t>
            </w:r>
          </w:p>
        </w:tc>
      </w:tr>
    </w:tbl>
    <w:p w:rsidR="004F2999" w:rsidP="00CB1259">
      <w:pPr>
        <w:pStyle w:val="BodyText"/>
      </w:pPr>
    </w:p>
    <w:p w:rsidR="004F2999" w:rsidP="00CB1259">
      <w:pPr>
        <w:pStyle w:val="BodyText"/>
      </w:pPr>
    </w:p>
    <w:p w:rsidR="00000000" w:rsidRPr="00CB1259" w:rsidP="00CB1259">
      <w:pPr>
        <w:pStyle w:val="Heading1"/>
      </w:pPr>
      <w:bookmarkStart w:id="12" w:name="O_296480"/>
      <w:bookmarkEnd w:id="12"/>
      <w:r w:rsidRPr="00CB1259">
        <w:t>Unit Sector(s)</w:t>
      </w:r>
    </w:p>
    <w:p w:rsidR="00000000" w:rsidRPr="00CB1259" w:rsidP="00CB1259">
      <w:pPr>
        <w:pStyle w:val="BodyText"/>
      </w:pPr>
      <w:r w:rsidRPr="00CB1259">
        <w:t>Not Applicable</w:t>
      </w:r>
    </w:p>
    <w:p w:rsidR="00000000" w:rsidRPr="00CB1259" w:rsidP="00CB1259">
      <w:pPr>
        <w:pStyle w:val="AllowPageBreak"/>
      </w:pPr>
    </w:p>
    <w:p w:rsidR="00000000" w:rsidRPr="00CB1259" w:rsidP="00CB1259">
      <w:pPr>
        <w:pStyle w:val="Heading1"/>
      </w:pPr>
      <w:bookmarkStart w:id="13" w:name="O_227260"/>
      <w:bookmarkEnd w:id="13"/>
      <w:r w:rsidRPr="00CB1259">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4F2999">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CB1259" w:rsidP="00CB1259">
            <w:pPr>
              <w:pStyle w:val="BodyText"/>
            </w:pPr>
            <w:r w:rsidRPr="00CB1259">
              <w:rPr>
                <w:rStyle w:val="SpecialBold"/>
              </w:rPr>
              <w:t>2</w:t>
            </w:r>
            <w:r w:rsidRPr="00CB1259">
              <w:t>.</w:t>
            </w:r>
            <w:r w:rsidRPr="00CB1259">
              <w:rPr>
                <w:rStyle w:val="SpecialBold"/>
              </w:rPr>
              <w:t>2</w:t>
            </w:r>
            <w:r w:rsidRPr="00CB1259">
              <w:t xml:space="preserve">) </w:t>
            </w:r>
            <w:r w:rsidRPr="00CB1259">
              <w:rPr>
                <w:rStyle w:val="SpecialBold"/>
              </w:rPr>
              <w:t>Literacy and numeracy skills</w:t>
            </w:r>
          </w:p>
          <w:p w:rsidR="00000000" w:rsidP="00CB1259">
            <w:pPr>
              <w:pStyle w:val="BodyText"/>
              <w:rPr>
                <w:lang w:val="en-NZ"/>
              </w:rPr>
            </w:pPr>
            <w:r w:rsidRPr="00CB1259">
              <w:t>Participants are best equipped to achieve competency in this unit if they have reading, writing and numeracy skills indicated by the following scales. Description of each scale is given in Volume</w:t>
            </w:r>
            <w:r w:rsidRPr="00CB1259">
              <w:t xml:space="preserve"> 2, Part 3 'Literacy and Numeracy'</w:t>
            </w:r>
          </w:p>
        </w:tc>
      </w:tr>
      <w:tr w:rsidTr="004F2999">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CB1259">
            <w:pPr>
              <w:pStyle w:val="BodyText"/>
              <w:rPr>
                <w:lang w:val="en-NZ"/>
              </w:rPr>
            </w:pPr>
            <w:r w:rsidRPr="00CB1259">
              <w:t>Reading</w:t>
            </w:r>
          </w:p>
        </w:tc>
        <w:tc>
          <w:tcPr>
            <w:tcW w:w="1182" w:type="dxa"/>
            <w:tcBorders>
              <w:top w:val="nil"/>
              <w:left w:val="nil"/>
              <w:bottom w:val="nil"/>
              <w:right w:val="nil"/>
            </w:tcBorders>
            <w:tcMar>
              <w:top w:w="0" w:type="dxa"/>
              <w:left w:w="62" w:type="dxa"/>
              <w:bottom w:w="0" w:type="dxa"/>
              <w:right w:w="62" w:type="dxa"/>
            </w:tcMar>
          </w:tcPr>
          <w:p w:rsidR="00000000" w:rsidP="00CB1259">
            <w:pPr>
              <w:pStyle w:val="BodyText"/>
              <w:rPr>
                <w:lang w:val="en-NZ"/>
              </w:rPr>
            </w:pPr>
            <w:r w:rsidRPr="00CB1259">
              <w:t>4</w:t>
            </w:r>
          </w:p>
        </w:tc>
        <w:tc>
          <w:tcPr>
            <w:tcW w:w="1739" w:type="dxa"/>
            <w:tcBorders>
              <w:top w:val="nil"/>
              <w:left w:val="nil"/>
              <w:bottom w:val="nil"/>
              <w:right w:val="nil"/>
            </w:tcBorders>
            <w:tcMar>
              <w:top w:w="0" w:type="dxa"/>
              <w:left w:w="62" w:type="dxa"/>
              <w:bottom w:w="0" w:type="dxa"/>
              <w:right w:w="62" w:type="dxa"/>
            </w:tcMar>
          </w:tcPr>
          <w:p w:rsidR="00000000" w:rsidP="00CB1259">
            <w:pPr>
              <w:pStyle w:val="BodyText"/>
              <w:rPr>
                <w:lang w:val="en-NZ"/>
              </w:rPr>
            </w:pPr>
            <w:r w:rsidRPr="00CB1259">
              <w:t>Writing</w:t>
            </w:r>
          </w:p>
        </w:tc>
        <w:tc>
          <w:tcPr>
            <w:tcW w:w="1182" w:type="dxa"/>
            <w:tcBorders>
              <w:top w:val="nil"/>
              <w:left w:val="nil"/>
              <w:bottom w:val="nil"/>
              <w:right w:val="nil"/>
            </w:tcBorders>
            <w:tcMar>
              <w:top w:w="0" w:type="dxa"/>
              <w:left w:w="62" w:type="dxa"/>
              <w:bottom w:w="0" w:type="dxa"/>
              <w:right w:w="62" w:type="dxa"/>
            </w:tcMar>
          </w:tcPr>
          <w:p w:rsidR="00000000" w:rsidP="00CB1259">
            <w:pPr>
              <w:pStyle w:val="BodyText"/>
              <w:rPr>
                <w:lang w:val="en-NZ"/>
              </w:rPr>
            </w:pPr>
            <w:r w:rsidRPr="00CB1259">
              <w:t>4</w:t>
            </w:r>
          </w:p>
        </w:tc>
        <w:tc>
          <w:tcPr>
            <w:tcW w:w="1721" w:type="dxa"/>
            <w:tcBorders>
              <w:top w:val="nil"/>
              <w:left w:val="nil"/>
              <w:bottom w:val="nil"/>
              <w:right w:val="nil"/>
            </w:tcBorders>
            <w:tcMar>
              <w:top w:w="0" w:type="dxa"/>
              <w:left w:w="62" w:type="dxa"/>
              <w:bottom w:w="0" w:type="dxa"/>
              <w:right w:w="62" w:type="dxa"/>
            </w:tcMar>
          </w:tcPr>
          <w:p w:rsidR="00000000" w:rsidP="00CB1259">
            <w:pPr>
              <w:pStyle w:val="BodyText"/>
              <w:rPr>
                <w:lang w:val="en-NZ"/>
              </w:rPr>
            </w:pPr>
            <w:r w:rsidRPr="00CB1259">
              <w:t>Numeracy</w:t>
            </w:r>
          </w:p>
        </w:tc>
        <w:tc>
          <w:tcPr>
            <w:tcW w:w="1182" w:type="dxa"/>
            <w:tcBorders>
              <w:top w:val="nil"/>
              <w:left w:val="nil"/>
              <w:bottom w:val="nil"/>
              <w:right w:val="nil"/>
            </w:tcBorders>
            <w:tcMar>
              <w:top w:w="0" w:type="dxa"/>
              <w:left w:w="62" w:type="dxa"/>
              <w:bottom w:w="0" w:type="dxa"/>
              <w:right w:w="62" w:type="dxa"/>
            </w:tcMar>
          </w:tcPr>
          <w:p w:rsidR="00000000" w:rsidRPr="00CB1259" w:rsidP="00CB1259">
            <w:pPr>
              <w:pStyle w:val="BodyText"/>
            </w:pPr>
            <w:r w:rsidRPr="00CB1259">
              <w:t>4</w:t>
            </w:r>
          </w:p>
        </w:tc>
      </w:tr>
    </w:tbl>
    <w:p w:rsidR="004F2999" w:rsidP="00CB1259">
      <w:pPr>
        <w:pStyle w:val="BodyText"/>
      </w:pPr>
    </w:p>
    <w:p w:rsidR="004F2999" w:rsidP="00CB1259">
      <w:pPr>
        <w:pStyle w:val="BodyText"/>
      </w:pPr>
    </w:p>
    <w:p w:rsidR="00000000" w:rsidRPr="00CB1259" w:rsidP="00CB1259">
      <w:pPr>
        <w:pStyle w:val="Heading1"/>
      </w:pPr>
      <w:bookmarkStart w:id="14" w:name="O_227263"/>
      <w:bookmarkEnd w:id="14"/>
      <w:r w:rsidRPr="00CB1259">
        <w:t>Custom Content Section</w:t>
      </w:r>
    </w:p>
    <w:tbl>
      <w:tblPr>
        <w:tblW w:w="0" w:type="auto"/>
        <w:tblLayout w:type="fixed"/>
        <w:tblCellMar>
          <w:left w:w="62" w:type="dxa"/>
          <w:right w:w="62" w:type="dxa"/>
        </w:tblCellMar>
        <w:tblLook w:val="0000"/>
      </w:tblPr>
      <w:tblGrid>
        <w:gridCol w:w="2700"/>
        <w:gridCol w:w="5760"/>
      </w:tblGrid>
      <w:tr w:rsidTr="004F299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B1259" w:rsidP="00CB1259">
            <w:pPr>
              <w:pStyle w:val="BodyText"/>
            </w:pPr>
            <w:r w:rsidRPr="00CB125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CB1259">
            <w:pPr>
              <w:pStyle w:val="BodyText"/>
              <w:rPr>
                <w:lang w:val="en-NZ"/>
              </w:rPr>
            </w:pPr>
            <w:r w:rsidRPr="00CB1259">
              <w:rPr>
                <w:rStyle w:val="SpecialBold"/>
              </w:rPr>
              <w:t>5</w:t>
            </w:r>
            <w:r w:rsidRPr="00CB1259">
              <w:t>)</w:t>
            </w:r>
          </w:p>
        </w:tc>
      </w:tr>
      <w:tr w:rsidTr="004F299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B1259" w:rsidP="00CB1259">
            <w:pPr>
              <w:pStyle w:val="BodyText"/>
            </w:pPr>
            <w:r w:rsidRPr="00CB1259">
              <w:t>Instruments</w:t>
            </w:r>
          </w:p>
        </w:tc>
      </w:tr>
    </w:tbl>
    <w:p w:rsidR="004F2999" w:rsidP="00CB1259">
      <w:pPr>
        <w:pStyle w:val="BodyText"/>
      </w:pPr>
    </w:p>
    <w:p w:rsidR="004F2999" w:rsidP="00CB1259">
      <w:pPr>
        <w:pStyle w:val="BodyText"/>
      </w:pPr>
    </w:p>
    <w:p w:rsidR="00000000" w:rsidRPr="00CB1259" w:rsidP="00CB1259"/>
    <w:sectPr w:rsidSect="00CB12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2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2999" w:rsidP="004F299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2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999" w:rsidP="00CB125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F2999" w:rsidP="00CB125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4F2999" w:rsidP="00CB125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2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259" w:rsidRPr="004F2999" w:rsidP="004F299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2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999" w:rsidRPr="002D2AF8" w:rsidP="00CB1259">
    <w:pPr>
      <w:pStyle w:val="Header"/>
      <w:framePr w:wrap="around"/>
    </w:pPr>
    <w:r>
      <w:fldChar w:fldCharType="begin"/>
    </w:r>
    <w:r>
      <w:instrText xml:space="preserve"> TITLE   \* MERGEFORMAT </w:instrText>
    </w:r>
    <w:r>
      <w:fldChar w:fldCharType="separate"/>
    </w:r>
    <w:r>
      <w:t>UEENEEI012B Verify compliance and functionality of process control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4F2999" w:rsidP="00CB12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3EA2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D7696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8AFA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12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1259"/>
    <w:pPr>
      <w:spacing w:before="360" w:after="60"/>
      <w:outlineLvl w:val="0"/>
    </w:pPr>
    <w:rPr>
      <w:sz w:val="32"/>
    </w:rPr>
  </w:style>
  <w:style w:type="paragraph" w:styleId="Heading2">
    <w:name w:val="heading 2"/>
    <w:basedOn w:val="HeadingBase"/>
    <w:next w:val="BodyText"/>
    <w:link w:val="Heading2Char"/>
    <w:qFormat/>
    <w:rsid w:val="00CB1259"/>
    <w:pPr>
      <w:keepLines/>
      <w:spacing w:before="240" w:after="120"/>
      <w:outlineLvl w:val="1"/>
    </w:pPr>
    <w:rPr>
      <w:sz w:val="28"/>
      <w:szCs w:val="40"/>
    </w:rPr>
  </w:style>
  <w:style w:type="paragraph" w:styleId="Heading3">
    <w:name w:val="heading 3"/>
    <w:basedOn w:val="HeadingBase"/>
    <w:next w:val="BodyText"/>
    <w:link w:val="Heading3Char"/>
    <w:qFormat/>
    <w:rsid w:val="00CB1259"/>
    <w:pPr>
      <w:spacing w:before="180" w:after="120"/>
      <w:outlineLvl w:val="2"/>
    </w:pPr>
    <w:rPr>
      <w:spacing w:val="-10"/>
      <w:kern w:val="32"/>
    </w:rPr>
  </w:style>
  <w:style w:type="paragraph" w:styleId="Heading4">
    <w:name w:val="heading 4"/>
    <w:basedOn w:val="HeadingBase"/>
    <w:next w:val="BodyText"/>
    <w:link w:val="Heading4Char"/>
    <w:qFormat/>
    <w:rsid w:val="00CB1259"/>
    <w:pPr>
      <w:spacing w:before="160" w:after="120"/>
      <w:outlineLvl w:val="3"/>
    </w:pPr>
    <w:rPr>
      <w:sz w:val="22"/>
    </w:rPr>
  </w:style>
  <w:style w:type="paragraph" w:styleId="Heading5">
    <w:name w:val="heading 5"/>
    <w:basedOn w:val="HeadingBase"/>
    <w:next w:val="Normal"/>
    <w:link w:val="Heading5Char"/>
    <w:qFormat/>
    <w:rsid w:val="00CB1259"/>
    <w:pPr>
      <w:spacing w:before="80"/>
      <w:outlineLvl w:val="4"/>
    </w:pPr>
    <w:rPr>
      <w:color w:val="918585"/>
      <w:sz w:val="20"/>
    </w:rPr>
  </w:style>
  <w:style w:type="paragraph" w:styleId="Heading6">
    <w:name w:val="heading 6"/>
    <w:basedOn w:val="HeadingBase"/>
    <w:next w:val="Normal"/>
    <w:link w:val="Heading6Char"/>
    <w:qFormat/>
    <w:rsid w:val="00CB1259"/>
    <w:pPr>
      <w:spacing w:before="60"/>
      <w:outlineLvl w:val="5"/>
    </w:pPr>
    <w:rPr>
      <w:color w:val="918585"/>
      <w:sz w:val="20"/>
    </w:rPr>
  </w:style>
  <w:style w:type="paragraph" w:styleId="Heading7">
    <w:name w:val="heading 7"/>
    <w:basedOn w:val="Normal"/>
    <w:next w:val="Normal"/>
    <w:link w:val="Heading7Char"/>
    <w:qFormat/>
    <w:rsid w:val="00CB1259"/>
    <w:pPr>
      <w:ind w:left="720"/>
      <w:outlineLvl w:val="6"/>
    </w:pPr>
    <w:rPr>
      <w:i/>
    </w:rPr>
  </w:style>
  <w:style w:type="paragraph" w:styleId="Heading8">
    <w:name w:val="heading 8"/>
    <w:basedOn w:val="Normal"/>
    <w:next w:val="Normal"/>
    <w:link w:val="Heading8Char"/>
    <w:qFormat/>
    <w:rsid w:val="00CB1259"/>
    <w:pPr>
      <w:ind w:left="720"/>
      <w:outlineLvl w:val="7"/>
    </w:pPr>
    <w:rPr>
      <w:i/>
    </w:rPr>
  </w:style>
  <w:style w:type="paragraph" w:styleId="Heading9">
    <w:name w:val="heading 9"/>
    <w:basedOn w:val="Normal"/>
    <w:next w:val="Normal"/>
    <w:link w:val="Heading9Char"/>
    <w:qFormat/>
    <w:rsid w:val="00CB1259"/>
    <w:pPr>
      <w:ind w:left="720"/>
      <w:outlineLvl w:val="8"/>
    </w:pPr>
    <w:rPr>
      <w:i/>
    </w:rPr>
  </w:style>
  <w:style w:type="character" w:default="1" w:styleId="DefaultParagraphFont">
    <w:name w:val="Default Paragraph Font"/>
    <w:uiPriority w:val="1"/>
    <w:unhideWhenUsed/>
    <w:rsid w:val="00CB12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1259"/>
  </w:style>
  <w:style w:type="character" w:customStyle="1" w:styleId="Heading1Char">
    <w:name w:val="Heading 1 Char"/>
    <w:basedOn w:val="DefaultParagraphFont"/>
    <w:link w:val="Heading1"/>
    <w:rsid w:val="00CB1259"/>
    <w:rPr>
      <w:rFonts w:ascii="Times New Roman" w:eastAsia="Times New Roman" w:hAnsi="Times New Roman" w:cs="Times New Roman"/>
      <w:b/>
      <w:sz w:val="32"/>
      <w:szCs w:val="20"/>
      <w:lang w:eastAsia="en-US"/>
    </w:rPr>
  </w:style>
  <w:style w:type="paragraph" w:styleId="BodyText">
    <w:name w:val="Body Text"/>
    <w:basedOn w:val="Normal"/>
    <w:link w:val="BodyTextChar"/>
    <w:rsid w:val="00CB125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B1259"/>
    <w:rPr>
      <w:rFonts w:ascii="Times New Roman" w:eastAsia="Times New Roman" w:hAnsi="Times New Roman" w:cs="Times New Roman"/>
      <w:sz w:val="24"/>
      <w:lang w:eastAsia="en-US"/>
    </w:rPr>
  </w:style>
  <w:style w:type="paragraph" w:styleId="Footer">
    <w:name w:val="footer"/>
    <w:basedOn w:val="Normal"/>
    <w:link w:val="FooterChar"/>
    <w:rsid w:val="00CB12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1259"/>
    <w:rPr>
      <w:rFonts w:ascii="Times New Roman" w:eastAsia="Times New Roman" w:hAnsi="Times New Roman" w:cs="Times New Roman"/>
      <w:sz w:val="16"/>
      <w:lang w:eastAsia="en-US"/>
    </w:rPr>
  </w:style>
  <w:style w:type="paragraph" w:styleId="ListBullet">
    <w:name w:val="List Bullet"/>
    <w:basedOn w:val="List"/>
    <w:rsid w:val="00CB1259"/>
    <w:pPr>
      <w:numPr>
        <w:numId w:val="13"/>
      </w:numPr>
      <w:tabs>
        <w:tab w:val="clear" w:pos="340"/>
      </w:tabs>
      <w:spacing w:before="40" w:after="40"/>
    </w:pPr>
  </w:style>
  <w:style w:type="character" w:customStyle="1" w:styleId="SpecialBold">
    <w:name w:val="Special Bold"/>
    <w:basedOn w:val="DefaultParagraphFont"/>
    <w:rsid w:val="00CB1259"/>
    <w:rPr>
      <w:b/>
      <w:spacing w:val="0"/>
    </w:rPr>
  </w:style>
  <w:style w:type="paragraph" w:styleId="ListBullet2">
    <w:name w:val="List Bullet 2"/>
    <w:basedOn w:val="List2"/>
    <w:rsid w:val="00CB1259"/>
    <w:pPr>
      <w:numPr>
        <w:numId w:val="14"/>
      </w:numPr>
      <w:tabs>
        <w:tab w:val="clear" w:pos="680"/>
      </w:tabs>
    </w:pPr>
  </w:style>
  <w:style w:type="paragraph" w:customStyle="1" w:styleId="SuperHeading">
    <w:name w:val="SuperHeading"/>
    <w:basedOn w:val="Normal"/>
    <w:rsid w:val="00CB1259"/>
    <w:pPr>
      <w:spacing w:before="240" w:after="120"/>
      <w:outlineLvl w:val="0"/>
    </w:pPr>
    <w:rPr>
      <w:rFonts w:ascii="Times New Roman" w:hAnsi="Times New Roman"/>
      <w:b/>
      <w:sz w:val="28"/>
    </w:rPr>
  </w:style>
  <w:style w:type="paragraph" w:customStyle="1" w:styleId="AllowPageBreak">
    <w:name w:val="AllowPageBreak"/>
    <w:rsid w:val="00CB12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B12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12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12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12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12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12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12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1259"/>
    <w:rPr>
      <w:rFonts w:ascii="Courier New" w:eastAsia="Times New Roman" w:hAnsi="Courier New" w:cs="Times New Roman"/>
      <w:i/>
      <w:szCs w:val="20"/>
      <w:lang w:eastAsia="en-US"/>
    </w:rPr>
  </w:style>
  <w:style w:type="paragraph" w:customStyle="1" w:styleId="HeadingBase">
    <w:name w:val="Heading Base"/>
    <w:rsid w:val="00CB12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1259"/>
    <w:pPr>
      <w:tabs>
        <w:tab w:val="right" w:leader="dot" w:pos="9072"/>
      </w:tabs>
      <w:ind w:left="567"/>
    </w:pPr>
    <w:rPr>
      <w:szCs w:val="22"/>
    </w:rPr>
  </w:style>
  <w:style w:type="paragraph" w:customStyle="1" w:styleId="TOCBase">
    <w:name w:val="TOC Base"/>
    <w:rsid w:val="00CB12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1259"/>
    <w:pPr>
      <w:tabs>
        <w:tab w:val="right" w:leader="dot" w:pos="9072"/>
      </w:tabs>
      <w:spacing w:before="40" w:after="40"/>
      <w:ind w:left="284"/>
    </w:pPr>
    <w:rPr>
      <w:rFonts w:ascii="Times New Roman" w:hAnsi="Times New Roman"/>
    </w:rPr>
  </w:style>
  <w:style w:type="paragraph" w:styleId="TOC1">
    <w:name w:val="toc 1"/>
    <w:basedOn w:val="TOCBase"/>
    <w:next w:val="Normal"/>
    <w:rsid w:val="00CB125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B1259"/>
    <w:pPr>
      <w:spacing w:before="5040"/>
      <w:jc w:val="center"/>
    </w:pPr>
    <w:rPr>
      <w:sz w:val="48"/>
      <w:szCs w:val="72"/>
      <w:lang w:val="en-US"/>
    </w:rPr>
  </w:style>
  <w:style w:type="character" w:customStyle="1" w:styleId="TitleChar">
    <w:name w:val="Title Char"/>
    <w:basedOn w:val="DefaultParagraphFont"/>
    <w:link w:val="Title"/>
    <w:rsid w:val="00CB12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1259"/>
    <w:pPr>
      <w:tabs>
        <w:tab w:val="left" w:pos="3600"/>
        <w:tab w:val="left" w:pos="3958"/>
      </w:tabs>
    </w:pPr>
  </w:style>
  <w:style w:type="paragraph" w:styleId="List">
    <w:name w:val="List"/>
    <w:basedOn w:val="BodyText"/>
    <w:next w:val="BodyText"/>
    <w:rsid w:val="00CB1259"/>
    <w:pPr>
      <w:tabs>
        <w:tab w:val="left" w:pos="340"/>
      </w:tabs>
      <w:spacing w:before="60" w:after="60"/>
      <w:ind w:left="340" w:hanging="340"/>
    </w:pPr>
  </w:style>
  <w:style w:type="paragraph" w:customStyle="1" w:styleId="Note">
    <w:name w:val="Note"/>
    <w:basedOn w:val="BodyText"/>
    <w:rsid w:val="00CB12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1259"/>
    <w:pPr>
      <w:framePr w:wrap="auto" w:hAnchor="text" w:y="6049"/>
    </w:pPr>
    <w:rPr>
      <w:color w:val="000000"/>
      <w:sz w:val="40"/>
    </w:rPr>
  </w:style>
  <w:style w:type="paragraph" w:customStyle="1" w:styleId="TOCTitle">
    <w:name w:val="TOCTitle"/>
    <w:basedOn w:val="Heading1"/>
    <w:rsid w:val="00CB1259"/>
    <w:pPr>
      <w:spacing w:after="240"/>
      <w:jc w:val="center"/>
      <w:outlineLvl w:val="9"/>
    </w:pPr>
    <w:rPr>
      <w:caps/>
    </w:rPr>
  </w:style>
  <w:style w:type="paragraph" w:customStyle="1" w:styleId="Version">
    <w:name w:val="Version"/>
    <w:rsid w:val="00CB12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1259"/>
    <w:pPr>
      <w:keepNext w:val="0"/>
      <w:tabs>
        <w:tab w:val="right" w:pos="4176"/>
      </w:tabs>
      <w:ind w:left="198" w:hanging="198"/>
    </w:pPr>
    <w:rPr>
      <w:rFonts w:ascii="Garamond" w:hAnsi="Garamond"/>
    </w:rPr>
  </w:style>
  <w:style w:type="paragraph" w:styleId="IndexHeading">
    <w:name w:val="index heading"/>
    <w:basedOn w:val="Normal"/>
    <w:next w:val="Index1"/>
    <w:semiHidden/>
    <w:rsid w:val="00CB1259"/>
    <w:pPr>
      <w:spacing w:before="120" w:after="120"/>
    </w:pPr>
    <w:rPr>
      <w:rFonts w:ascii="Arial" w:hAnsi="Arial"/>
      <w:b/>
      <w:color w:val="918585"/>
      <w:sz w:val="24"/>
    </w:rPr>
  </w:style>
  <w:style w:type="paragraph" w:styleId="Header">
    <w:name w:val="header"/>
    <w:basedOn w:val="Normal"/>
    <w:link w:val="HeaderChar"/>
    <w:rsid w:val="00CB12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1259"/>
    <w:rPr>
      <w:rFonts w:ascii="Times New Roman" w:eastAsia="Times New Roman" w:hAnsi="Times New Roman" w:cs="Times New Roman"/>
      <w:sz w:val="16"/>
      <w:szCs w:val="20"/>
      <w:lang w:val="en-GB" w:eastAsia="en-US"/>
    </w:rPr>
  </w:style>
  <w:style w:type="paragraph" w:customStyle="1" w:styleId="Chapter">
    <w:name w:val="Chapter"/>
    <w:basedOn w:val="Normal"/>
    <w:rsid w:val="00CB1259"/>
    <w:pPr>
      <w:spacing w:before="240"/>
    </w:pPr>
    <w:rPr>
      <w:rFonts w:ascii="Times New Roman" w:hAnsi="Times New Roman"/>
      <w:smallCaps/>
      <w:spacing w:val="80"/>
      <w:sz w:val="28"/>
    </w:rPr>
  </w:style>
  <w:style w:type="paragraph" w:customStyle="1" w:styleId="InChapter">
    <w:name w:val="InChapter"/>
    <w:basedOn w:val="Heading3"/>
    <w:rsid w:val="00CB1259"/>
    <w:pPr>
      <w:spacing w:after="240"/>
      <w:outlineLvl w:val="9"/>
    </w:pPr>
    <w:rPr>
      <w:noProof/>
    </w:rPr>
  </w:style>
  <w:style w:type="paragraph" w:styleId="Index2">
    <w:name w:val="index 2"/>
    <w:basedOn w:val="Normal"/>
    <w:next w:val="Normal"/>
    <w:semiHidden/>
    <w:rsid w:val="00CB1259"/>
    <w:pPr>
      <w:tabs>
        <w:tab w:val="right" w:pos="4176"/>
      </w:tabs>
      <w:ind w:left="568" w:hanging="284"/>
    </w:pPr>
    <w:rPr>
      <w:rFonts w:ascii="Garamond" w:hAnsi="Garamond"/>
    </w:rPr>
  </w:style>
  <w:style w:type="paragraph" w:customStyle="1" w:styleId="Byline">
    <w:name w:val="Byline"/>
    <w:rsid w:val="00CB12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1259"/>
    <w:pPr>
      <w:tabs>
        <w:tab w:val="clear" w:pos="3600"/>
        <w:tab w:val="clear" w:pos="3958"/>
      </w:tabs>
      <w:jc w:val="right"/>
    </w:pPr>
  </w:style>
  <w:style w:type="character" w:styleId="Emphasis">
    <w:name w:val="Emphasis"/>
    <w:basedOn w:val="DefaultParagraphFont"/>
    <w:qFormat/>
    <w:rsid w:val="00CB1259"/>
    <w:rPr>
      <w:i/>
    </w:rPr>
  </w:style>
  <w:style w:type="paragraph" w:styleId="Caption">
    <w:name w:val="caption"/>
    <w:basedOn w:val="BodyText"/>
    <w:next w:val="Normal"/>
    <w:qFormat/>
    <w:rsid w:val="00CB1259"/>
    <w:pPr>
      <w:framePr w:w="2268" w:hSpace="181" w:vSpace="181" w:wrap="around" w:vAnchor="text" w:hAnchor="page" w:x="1135" w:y="285" w:anchorLock="1"/>
    </w:pPr>
    <w:rPr>
      <w:i/>
    </w:rPr>
  </w:style>
  <w:style w:type="paragraph" w:customStyle="1" w:styleId="MiniTOCTitle">
    <w:name w:val="MiniTOCTitle"/>
    <w:basedOn w:val="Heading4"/>
    <w:rsid w:val="00CB1259"/>
    <w:pPr>
      <w:spacing w:before="240"/>
      <w:outlineLvl w:val="9"/>
    </w:pPr>
    <w:rPr>
      <w:noProof/>
      <w:sz w:val="24"/>
    </w:rPr>
  </w:style>
  <w:style w:type="paragraph" w:customStyle="1" w:styleId="MiniTOCItem">
    <w:name w:val="MiniTOCItem"/>
    <w:basedOn w:val="ListBullet"/>
    <w:rsid w:val="00CB1259"/>
    <w:pPr>
      <w:numPr>
        <w:numId w:val="0"/>
      </w:numPr>
      <w:tabs>
        <w:tab w:val="right" w:leader="dot" w:pos="6521"/>
      </w:tabs>
      <w:spacing w:before="0" w:after="0"/>
    </w:pPr>
  </w:style>
  <w:style w:type="paragraph" w:customStyle="1" w:styleId="TOFTitle">
    <w:name w:val="TOFTitle"/>
    <w:basedOn w:val="TOCTitle"/>
    <w:rsid w:val="00CB1259"/>
  </w:style>
  <w:style w:type="paragraph" w:styleId="TableofFigures">
    <w:name w:val="table of figures"/>
    <w:basedOn w:val="Normal"/>
    <w:next w:val="Normal"/>
    <w:semiHidden/>
    <w:rsid w:val="00CB1259"/>
    <w:pPr>
      <w:tabs>
        <w:tab w:val="right" w:leader="dot" w:pos="9072"/>
      </w:tabs>
      <w:ind w:left="970" w:hanging="403"/>
    </w:pPr>
    <w:rPr>
      <w:rFonts w:ascii="Times New Roman" w:hAnsi="Times New Roman"/>
      <w:b/>
    </w:rPr>
  </w:style>
  <w:style w:type="paragraph" w:styleId="ListNumber">
    <w:name w:val="List Number"/>
    <w:basedOn w:val="List"/>
    <w:rsid w:val="00CB1259"/>
    <w:pPr>
      <w:numPr>
        <w:numId w:val="11"/>
      </w:numPr>
    </w:pPr>
  </w:style>
  <w:style w:type="character" w:customStyle="1" w:styleId="WingdingSymbols">
    <w:name w:val="Wingding Symbols"/>
    <w:rsid w:val="00CB1259"/>
    <w:rPr>
      <w:rFonts w:ascii="Wingdings" w:hAnsi="Wingdings"/>
    </w:rPr>
  </w:style>
  <w:style w:type="paragraph" w:customStyle="1" w:styleId="TableHeading">
    <w:name w:val="Table Heading"/>
    <w:basedOn w:val="HeadingBase"/>
    <w:rsid w:val="00CB1259"/>
    <w:pPr>
      <w:keepLines/>
      <w:pBdr>
        <w:bottom w:val="single" w:sz="6" w:space="1" w:color="918585"/>
      </w:pBdr>
      <w:spacing w:before="240"/>
    </w:pPr>
  </w:style>
  <w:style w:type="character" w:customStyle="1" w:styleId="HotSpot">
    <w:name w:val="HotSpot"/>
    <w:rsid w:val="00CB1259"/>
    <w:rPr>
      <w:color w:val="0033CC"/>
      <w:u w:val="none"/>
    </w:rPr>
  </w:style>
  <w:style w:type="paragraph" w:customStyle="1" w:styleId="BodyTextRight">
    <w:name w:val="Body Text Right"/>
    <w:basedOn w:val="BodyText"/>
    <w:rsid w:val="00CB1259"/>
    <w:pPr>
      <w:spacing w:before="0" w:after="0"/>
      <w:jc w:val="right"/>
    </w:pPr>
  </w:style>
  <w:style w:type="paragraph" w:styleId="Index3">
    <w:name w:val="index 3"/>
    <w:basedOn w:val="ListNumber2"/>
    <w:next w:val="Normal"/>
    <w:semiHidden/>
    <w:rsid w:val="00CB1259"/>
    <w:pPr>
      <w:numPr>
        <w:numId w:val="0"/>
      </w:numPr>
      <w:tabs>
        <w:tab w:val="right" w:leader="dot" w:pos="4176"/>
      </w:tabs>
    </w:pPr>
  </w:style>
  <w:style w:type="paragraph" w:styleId="ListNumber2">
    <w:name w:val="List Number 2"/>
    <w:basedOn w:val="List2"/>
    <w:rsid w:val="00CB1259"/>
    <w:pPr>
      <w:numPr>
        <w:numId w:val="10"/>
      </w:numPr>
      <w:tabs>
        <w:tab w:val="clear" w:pos="1060"/>
      </w:tabs>
    </w:pPr>
  </w:style>
  <w:style w:type="paragraph" w:customStyle="1" w:styleId="MarginNote">
    <w:name w:val="Margin Note"/>
    <w:basedOn w:val="BodyText"/>
    <w:rsid w:val="00CB12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12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12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1259"/>
    <w:rPr>
      <w:sz w:val="32"/>
    </w:rPr>
  </w:style>
  <w:style w:type="paragraph" w:customStyle="1" w:styleId="HeadingProcedure">
    <w:name w:val="Heading Procedure"/>
    <w:basedOn w:val="HeadingBase"/>
    <w:next w:val="Normal"/>
    <w:rsid w:val="00CB1259"/>
    <w:pPr>
      <w:tabs>
        <w:tab w:val="left" w:pos="0"/>
      </w:tabs>
      <w:spacing w:before="120" w:after="60"/>
    </w:pPr>
    <w:rPr>
      <w:i/>
      <w:color w:val="918585"/>
      <w:sz w:val="22"/>
    </w:rPr>
  </w:style>
  <w:style w:type="paragraph" w:customStyle="1" w:styleId="TableBodyText">
    <w:name w:val="Table Body Text"/>
    <w:basedOn w:val="BodyText"/>
    <w:rsid w:val="00CB1259"/>
    <w:pPr>
      <w:spacing w:before="60" w:after="60"/>
    </w:pPr>
  </w:style>
  <w:style w:type="paragraph" w:styleId="ListContinue">
    <w:name w:val="List Continue"/>
    <w:basedOn w:val="List"/>
    <w:rsid w:val="00CB1259"/>
    <w:pPr>
      <w:ind w:firstLine="0"/>
    </w:pPr>
  </w:style>
  <w:style w:type="paragraph" w:customStyle="1" w:styleId="ListNote">
    <w:name w:val="List Note"/>
    <w:basedOn w:val="List"/>
    <w:rsid w:val="00CB1259"/>
    <w:pPr>
      <w:pBdr>
        <w:top w:val="single" w:sz="6" w:space="2" w:color="918585"/>
        <w:bottom w:val="single" w:sz="6" w:space="2" w:color="918585"/>
      </w:pBdr>
      <w:tabs>
        <w:tab w:val="left" w:pos="1021"/>
      </w:tabs>
      <w:ind w:firstLine="0"/>
    </w:pPr>
  </w:style>
  <w:style w:type="paragraph" w:customStyle="1" w:styleId="Warning">
    <w:name w:val="Warning"/>
    <w:basedOn w:val="BodyText"/>
    <w:rsid w:val="00CB1259"/>
    <w:pPr>
      <w:shd w:val="clear" w:color="auto" w:fill="D9D9D9"/>
      <w:tabs>
        <w:tab w:val="left" w:pos="992"/>
      </w:tabs>
      <w:ind w:left="119" w:right="119"/>
    </w:pPr>
    <w:rPr>
      <w:sz w:val="20"/>
    </w:rPr>
  </w:style>
  <w:style w:type="paragraph" w:customStyle="1" w:styleId="MarginIcons">
    <w:name w:val="Margin Icons"/>
    <w:basedOn w:val="BodyText"/>
    <w:rsid w:val="00CB12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1259"/>
    <w:rPr>
      <w:rFonts w:ascii="Courier New" w:hAnsi="Courier New"/>
    </w:rPr>
  </w:style>
  <w:style w:type="paragraph" w:customStyle="1" w:styleId="NoteBullet">
    <w:name w:val="Note Bullet"/>
    <w:basedOn w:val="Note"/>
    <w:rsid w:val="00CB1259"/>
    <w:pPr>
      <w:tabs>
        <w:tab w:val="clear" w:pos="680"/>
      </w:tabs>
      <w:spacing w:before="60" w:after="60"/>
    </w:pPr>
  </w:style>
  <w:style w:type="paragraph" w:customStyle="1" w:styleId="SubHeading2">
    <w:name w:val="SubHeading2"/>
    <w:basedOn w:val="HeadingBase"/>
    <w:rsid w:val="00CB1259"/>
    <w:pPr>
      <w:spacing w:before="240" w:after="60"/>
    </w:pPr>
    <w:rPr>
      <w:sz w:val="20"/>
    </w:rPr>
  </w:style>
  <w:style w:type="paragraph" w:customStyle="1" w:styleId="SubHeading1">
    <w:name w:val="SubHeading1"/>
    <w:basedOn w:val="HeadingBase"/>
    <w:rsid w:val="00CB1259"/>
    <w:pPr>
      <w:spacing w:before="240" w:after="60"/>
    </w:pPr>
    <w:rPr>
      <w:color w:val="918585"/>
      <w:sz w:val="22"/>
    </w:rPr>
  </w:style>
  <w:style w:type="paragraph" w:customStyle="1" w:styleId="SideHeading">
    <w:name w:val="Side Heading"/>
    <w:basedOn w:val="HeadingBase"/>
    <w:rsid w:val="00CB12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1259"/>
    <w:pPr>
      <w:numPr>
        <w:numId w:val="12"/>
      </w:numPr>
    </w:pPr>
  </w:style>
  <w:style w:type="paragraph" w:styleId="PlainText">
    <w:name w:val="Plain Text"/>
    <w:basedOn w:val="Normal"/>
    <w:link w:val="PlainTextChar"/>
    <w:rsid w:val="00CB1259"/>
    <w:rPr>
      <w:sz w:val="20"/>
    </w:rPr>
  </w:style>
  <w:style w:type="character" w:customStyle="1" w:styleId="PlainTextChar">
    <w:name w:val="Plain Text Char"/>
    <w:basedOn w:val="DefaultParagraphFont"/>
    <w:link w:val="PlainText"/>
    <w:rsid w:val="00CB1259"/>
    <w:rPr>
      <w:rFonts w:ascii="Courier New" w:eastAsia="Times New Roman" w:hAnsi="Courier New" w:cs="Times New Roman"/>
      <w:sz w:val="20"/>
      <w:szCs w:val="20"/>
      <w:lang w:eastAsia="en-US"/>
    </w:rPr>
  </w:style>
  <w:style w:type="character" w:customStyle="1" w:styleId="MenuOption">
    <w:name w:val="Menu Option"/>
    <w:basedOn w:val="DefaultParagraphFont"/>
    <w:rsid w:val="00CB1259"/>
    <w:rPr>
      <w:b/>
      <w:smallCaps/>
    </w:rPr>
  </w:style>
  <w:style w:type="paragraph" w:customStyle="1" w:styleId="TableListNumber">
    <w:name w:val="Table List Number"/>
    <w:basedOn w:val="ListNumber"/>
    <w:rsid w:val="00CB1259"/>
    <w:pPr>
      <w:numPr>
        <w:numId w:val="0"/>
      </w:numPr>
    </w:pPr>
  </w:style>
  <w:style w:type="paragraph" w:styleId="TOC4">
    <w:name w:val="toc 4"/>
    <w:basedOn w:val="TOCBase"/>
    <w:next w:val="Normal"/>
    <w:semiHidden/>
    <w:rsid w:val="00CB1259"/>
    <w:pPr>
      <w:tabs>
        <w:tab w:val="right" w:leader="dot" w:pos="9071"/>
      </w:tabs>
      <w:ind w:left="1701"/>
    </w:pPr>
  </w:style>
  <w:style w:type="paragraph" w:customStyle="1" w:styleId="ListAlpha">
    <w:name w:val="List Alpha"/>
    <w:basedOn w:val="List"/>
    <w:rsid w:val="00CB1259"/>
    <w:pPr>
      <w:numPr>
        <w:numId w:val="9"/>
      </w:numPr>
    </w:pPr>
  </w:style>
  <w:style w:type="paragraph" w:customStyle="1" w:styleId="ListAlpha2">
    <w:name w:val="List Alpha 2"/>
    <w:basedOn w:val="List2"/>
    <w:rsid w:val="00CB1259"/>
    <w:pPr>
      <w:numPr>
        <w:numId w:val="8"/>
      </w:numPr>
    </w:pPr>
  </w:style>
  <w:style w:type="paragraph" w:styleId="List2">
    <w:name w:val="List 2"/>
    <w:basedOn w:val="BodyText"/>
    <w:rsid w:val="00CB1259"/>
    <w:pPr>
      <w:tabs>
        <w:tab w:val="left" w:pos="680"/>
      </w:tabs>
      <w:spacing w:before="60" w:after="60"/>
      <w:ind w:left="680" w:hanging="340"/>
    </w:pPr>
  </w:style>
  <w:style w:type="paragraph" w:styleId="List3">
    <w:name w:val="List 3"/>
    <w:basedOn w:val="BodyText"/>
    <w:rsid w:val="00CB1259"/>
    <w:pPr>
      <w:tabs>
        <w:tab w:val="left" w:pos="1021"/>
      </w:tabs>
      <w:spacing w:before="60" w:after="60"/>
      <w:ind w:left="1020" w:hanging="340"/>
    </w:pPr>
  </w:style>
  <w:style w:type="paragraph" w:styleId="List4">
    <w:name w:val="List 4"/>
    <w:basedOn w:val="BodyText"/>
    <w:rsid w:val="00CB1259"/>
    <w:pPr>
      <w:tabs>
        <w:tab w:val="left" w:pos="1361"/>
      </w:tabs>
      <w:spacing w:before="60" w:after="60"/>
      <w:ind w:left="1361" w:hanging="340"/>
    </w:pPr>
  </w:style>
  <w:style w:type="paragraph" w:styleId="List5">
    <w:name w:val="List 5"/>
    <w:basedOn w:val="BodyText"/>
    <w:rsid w:val="00CB1259"/>
    <w:pPr>
      <w:tabs>
        <w:tab w:val="left" w:pos="1701"/>
      </w:tabs>
      <w:spacing w:before="60" w:after="60"/>
      <w:ind w:left="1701" w:hanging="340"/>
    </w:pPr>
  </w:style>
  <w:style w:type="paragraph" w:styleId="ListBullet3">
    <w:name w:val="List Bullet 3"/>
    <w:basedOn w:val="List3"/>
    <w:rsid w:val="00CB1259"/>
    <w:pPr>
      <w:numPr>
        <w:numId w:val="15"/>
      </w:numPr>
      <w:tabs>
        <w:tab w:val="clear" w:pos="1021"/>
      </w:tabs>
      <w:ind w:left="1037" w:hanging="357"/>
    </w:pPr>
  </w:style>
  <w:style w:type="paragraph" w:styleId="ListBullet4">
    <w:name w:val="List Bullet 4"/>
    <w:basedOn w:val="List4"/>
    <w:rsid w:val="00CB1259"/>
    <w:pPr>
      <w:numPr>
        <w:numId w:val="3"/>
      </w:numPr>
    </w:pPr>
  </w:style>
  <w:style w:type="paragraph" w:styleId="ListBullet5">
    <w:name w:val="List Bullet 5"/>
    <w:basedOn w:val="List5"/>
    <w:rsid w:val="00CB1259"/>
    <w:pPr>
      <w:numPr>
        <w:numId w:val="4"/>
      </w:numPr>
    </w:pPr>
  </w:style>
  <w:style w:type="paragraph" w:styleId="ListContinue2">
    <w:name w:val="List Continue 2"/>
    <w:basedOn w:val="List2"/>
    <w:rsid w:val="00CB1259"/>
    <w:pPr>
      <w:ind w:firstLine="0"/>
    </w:pPr>
  </w:style>
  <w:style w:type="paragraph" w:styleId="ListContinue3">
    <w:name w:val="List Continue 3"/>
    <w:basedOn w:val="List3"/>
    <w:rsid w:val="00CB1259"/>
    <w:pPr>
      <w:ind w:left="1021" w:firstLine="0"/>
    </w:pPr>
  </w:style>
  <w:style w:type="paragraph" w:styleId="ListContinue4">
    <w:name w:val="List Continue 4"/>
    <w:basedOn w:val="List4"/>
    <w:rsid w:val="00CB1259"/>
    <w:pPr>
      <w:ind w:firstLine="0"/>
    </w:pPr>
  </w:style>
  <w:style w:type="paragraph" w:styleId="ListContinue5">
    <w:name w:val="List Continue 5"/>
    <w:basedOn w:val="List5"/>
    <w:rsid w:val="00CB1259"/>
    <w:pPr>
      <w:ind w:firstLine="0"/>
    </w:pPr>
  </w:style>
  <w:style w:type="paragraph" w:styleId="ListNumber3">
    <w:name w:val="List Number 3"/>
    <w:basedOn w:val="List3"/>
    <w:rsid w:val="00CB1259"/>
    <w:pPr>
      <w:numPr>
        <w:numId w:val="5"/>
      </w:numPr>
    </w:pPr>
  </w:style>
  <w:style w:type="paragraph" w:styleId="ListNumber4">
    <w:name w:val="List Number 4"/>
    <w:basedOn w:val="List4"/>
    <w:rsid w:val="00CB1259"/>
    <w:pPr>
      <w:numPr>
        <w:numId w:val="6"/>
      </w:numPr>
    </w:pPr>
  </w:style>
  <w:style w:type="paragraph" w:styleId="ListNumber5">
    <w:name w:val="List Number 5"/>
    <w:basedOn w:val="List5"/>
    <w:rsid w:val="00CB1259"/>
    <w:pPr>
      <w:numPr>
        <w:numId w:val="7"/>
      </w:numPr>
    </w:pPr>
  </w:style>
  <w:style w:type="paragraph" w:styleId="BlockText">
    <w:name w:val="Block Text"/>
    <w:basedOn w:val="Normal"/>
    <w:rsid w:val="00CB1259"/>
    <w:pPr>
      <w:spacing w:after="120"/>
      <w:ind w:left="1440" w:right="1440"/>
    </w:pPr>
  </w:style>
  <w:style w:type="character" w:customStyle="1" w:styleId="Subscript">
    <w:name w:val="Subscript"/>
    <w:basedOn w:val="DefaultParagraphFont"/>
    <w:rsid w:val="00CB1259"/>
    <w:rPr>
      <w:sz w:val="16"/>
      <w:vertAlign w:val="subscript"/>
    </w:rPr>
  </w:style>
  <w:style w:type="character" w:customStyle="1" w:styleId="Superscript">
    <w:name w:val="Superscript"/>
    <w:basedOn w:val="DefaultParagraphFont"/>
    <w:rsid w:val="00CB1259"/>
    <w:rPr>
      <w:sz w:val="16"/>
      <w:vertAlign w:val="superscript"/>
    </w:rPr>
  </w:style>
  <w:style w:type="character" w:customStyle="1" w:styleId="Symbols">
    <w:name w:val="Symbols"/>
    <w:basedOn w:val="DefaultParagraphFont"/>
    <w:rsid w:val="00CB1259"/>
    <w:rPr>
      <w:rFonts w:ascii="Symbol" w:hAnsi="Symbol"/>
    </w:rPr>
  </w:style>
  <w:style w:type="character" w:customStyle="1" w:styleId="MenuOptions">
    <w:name w:val="Menu Options"/>
    <w:basedOn w:val="DefaultParagraphFont"/>
    <w:rsid w:val="00CB1259"/>
    <w:rPr>
      <w:rFonts w:ascii="Arial Narrow" w:hAnsi="Arial Narrow"/>
      <w:smallCaps/>
    </w:rPr>
  </w:style>
  <w:style w:type="character" w:customStyle="1" w:styleId="Buttons">
    <w:name w:val="Buttons"/>
    <w:basedOn w:val="DefaultParagraphFont"/>
    <w:rsid w:val="00CB1259"/>
    <w:rPr>
      <w:b/>
    </w:rPr>
  </w:style>
  <w:style w:type="character" w:customStyle="1" w:styleId="Underlined">
    <w:name w:val="Underlined"/>
    <w:basedOn w:val="DefaultParagraphFont"/>
    <w:rsid w:val="00CB1259"/>
    <w:rPr>
      <w:u w:val="single"/>
    </w:rPr>
  </w:style>
  <w:style w:type="paragraph" w:customStyle="1" w:styleId="TableBodyTextRight">
    <w:name w:val="Table Body Text Right"/>
    <w:basedOn w:val="TableBodyText"/>
    <w:rsid w:val="00CB1259"/>
    <w:pPr>
      <w:widowControl w:val="0"/>
      <w:autoSpaceDE w:val="0"/>
      <w:autoSpaceDN w:val="0"/>
      <w:adjustRightInd w:val="0"/>
      <w:jc w:val="right"/>
    </w:pPr>
    <w:rPr>
      <w:rFonts w:cs="Arial"/>
      <w:szCs w:val="18"/>
    </w:rPr>
  </w:style>
  <w:style w:type="paragraph" w:customStyle="1" w:styleId="CopyrightText">
    <w:name w:val="Copyright Text"/>
    <w:basedOn w:val="BodyText"/>
    <w:rsid w:val="00CB1259"/>
    <w:rPr>
      <w:sz w:val="18"/>
    </w:rPr>
  </w:style>
  <w:style w:type="paragraph" w:customStyle="1" w:styleId="BodySmallRight">
    <w:name w:val="Body Small Right"/>
    <w:basedOn w:val="BodyTextRight"/>
    <w:rsid w:val="00CB1259"/>
    <w:rPr>
      <w:sz w:val="18"/>
      <w:szCs w:val="18"/>
    </w:rPr>
  </w:style>
  <w:style w:type="paragraph" w:customStyle="1" w:styleId="MarginEdition">
    <w:name w:val="Margin Edition"/>
    <w:basedOn w:val="MarginNote"/>
    <w:rsid w:val="00CB1259"/>
    <w:pPr>
      <w:spacing w:before="0" w:after="0"/>
    </w:pPr>
    <w:rPr>
      <w:rFonts w:ascii="Times New Roman" w:hAnsi="Times New Roman"/>
      <w:color w:val="999999"/>
    </w:rPr>
  </w:style>
  <w:style w:type="paragraph" w:customStyle="1" w:styleId="Spacer">
    <w:name w:val="Spacer"/>
    <w:basedOn w:val="Normal"/>
    <w:rsid w:val="00CB1259"/>
    <w:rPr>
      <w:sz w:val="2"/>
      <w:szCs w:val="2"/>
    </w:rPr>
  </w:style>
  <w:style w:type="character" w:customStyle="1" w:styleId="Small">
    <w:name w:val="Small"/>
    <w:basedOn w:val="DefaultParagraphFont"/>
    <w:rsid w:val="00CB1259"/>
    <w:rPr>
      <w:sz w:val="16"/>
    </w:rPr>
  </w:style>
  <w:style w:type="paragraph" w:customStyle="1" w:styleId="WideTable">
    <w:name w:val="Wide Table"/>
    <w:basedOn w:val="Normal"/>
    <w:rsid w:val="00CB1259"/>
    <w:pPr>
      <w:ind w:left="-1418"/>
    </w:pPr>
    <w:rPr>
      <w:sz w:val="2"/>
      <w:szCs w:val="2"/>
    </w:rPr>
  </w:style>
  <w:style w:type="character" w:styleId="PageNumber">
    <w:name w:val="page number"/>
    <w:basedOn w:val="DefaultParagraphFont"/>
    <w:rsid w:val="00CB1259"/>
  </w:style>
  <w:style w:type="paragraph" w:styleId="Quote">
    <w:name w:val="Quote"/>
    <w:basedOn w:val="Heading1"/>
    <w:link w:val="QuoteChar"/>
    <w:qFormat/>
    <w:rsid w:val="00CB1259"/>
    <w:rPr>
      <w:b w:val="0"/>
      <w:sz w:val="72"/>
      <w:szCs w:val="72"/>
      <w:lang w:val="en-NZ"/>
    </w:rPr>
  </w:style>
  <w:style w:type="character" w:customStyle="1" w:styleId="QuoteChar">
    <w:name w:val="Quote Char"/>
    <w:basedOn w:val="DefaultParagraphFont"/>
    <w:link w:val="Quote"/>
    <w:rsid w:val="00CB12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1259"/>
    <w:pPr>
      <w:pageBreakBefore/>
    </w:pPr>
  </w:style>
  <w:style w:type="paragraph" w:customStyle="1" w:styleId="Border">
    <w:name w:val="Border"/>
    <w:basedOn w:val="Normal"/>
    <w:qFormat/>
    <w:rsid w:val="00CB12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1259"/>
    <w:rPr>
      <w:b/>
      <w:bCs/>
      <w:i/>
      <w:iCs/>
      <w:color w:val="auto"/>
    </w:rPr>
  </w:style>
  <w:style w:type="paragraph" w:styleId="IntenseQuote">
    <w:name w:val="Intense Quote"/>
    <w:basedOn w:val="Normal"/>
    <w:next w:val="Normal"/>
    <w:link w:val="IntenseQuoteChar"/>
    <w:uiPriority w:val="30"/>
    <w:qFormat/>
    <w:rsid w:val="00CB12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12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1259"/>
    <w:rPr>
      <w:smallCaps/>
      <w:color w:val="auto"/>
      <w:u w:val="single"/>
    </w:rPr>
  </w:style>
  <w:style w:type="character" w:styleId="IntenseReference">
    <w:name w:val="Intense Reference"/>
    <w:basedOn w:val="DefaultParagraphFont"/>
    <w:uiPriority w:val="32"/>
    <w:qFormat/>
    <w:rsid w:val="00CB1259"/>
    <w:rPr>
      <w:b/>
      <w:bCs/>
      <w:smallCaps/>
      <w:color w:val="auto"/>
      <w:spacing w:val="5"/>
      <w:u w:val="single"/>
    </w:rPr>
  </w:style>
  <w:style w:type="paragraph" w:customStyle="1" w:styleId="2ColumnHeading">
    <w:name w:val="2Column Heading"/>
    <w:basedOn w:val="BodyText"/>
    <w:qFormat/>
    <w:rsid w:val="00CB1259"/>
    <w:pPr>
      <w:spacing w:after="60"/>
      <w:ind w:left="-2268"/>
    </w:pPr>
    <w:rPr>
      <w:b/>
    </w:rPr>
  </w:style>
  <w:style w:type="paragraph" w:customStyle="1" w:styleId="Heading1TOC">
    <w:name w:val="Heading1 TOC"/>
    <w:basedOn w:val="Normal"/>
    <w:qFormat/>
    <w:rsid w:val="00CB1259"/>
    <w:pPr>
      <w:spacing w:before="240" w:after="120"/>
    </w:pPr>
    <w:rPr>
      <w:rFonts w:ascii="Times New Roman" w:hAnsi="Times New Roman"/>
      <w:b/>
      <w:sz w:val="32"/>
    </w:rPr>
  </w:style>
  <w:style w:type="paragraph" w:customStyle="1" w:styleId="Heading2TOC">
    <w:name w:val="Heading2 TOC"/>
    <w:basedOn w:val="Normal"/>
    <w:qFormat/>
    <w:rsid w:val="00CB1259"/>
    <w:pPr>
      <w:spacing w:before="240" w:after="60"/>
    </w:pPr>
    <w:rPr>
      <w:rFonts w:ascii="Times New Roman" w:hAnsi="Times New Roman"/>
      <w:b/>
      <w:sz w:val="28"/>
    </w:rPr>
  </w:style>
  <w:style w:type="character" w:customStyle="1" w:styleId="Underline">
    <w:name w:val="Underline"/>
    <w:basedOn w:val="DefaultParagraphFont"/>
    <w:qFormat/>
    <w:rsid w:val="00CB1259"/>
    <w:rPr>
      <w:u w:val="single"/>
    </w:rPr>
  </w:style>
  <w:style w:type="character" w:customStyle="1" w:styleId="BoldandItalics">
    <w:name w:val="Bold and Italics"/>
    <w:qFormat/>
    <w:rsid w:val="00CB1259"/>
    <w:rPr>
      <w:b/>
      <w:i/>
      <w:u w:val="none"/>
    </w:rPr>
  </w:style>
  <w:style w:type="paragraph" w:styleId="BalloonText">
    <w:name w:val="Balloon Text"/>
    <w:basedOn w:val="Normal"/>
    <w:link w:val="BalloonTextChar"/>
    <w:rsid w:val="00CB1259"/>
    <w:rPr>
      <w:rFonts w:ascii="Tahoma" w:hAnsi="Tahoma" w:cs="Tahoma"/>
      <w:sz w:val="16"/>
      <w:szCs w:val="16"/>
    </w:rPr>
  </w:style>
  <w:style w:type="character" w:customStyle="1" w:styleId="BalloonTextChar">
    <w:name w:val="Balloon Text Char"/>
    <w:basedOn w:val="DefaultParagraphFont"/>
    <w:link w:val="BalloonText"/>
    <w:rsid w:val="00CB12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125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B12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1259"/>
    <w:rPr>
      <w:b/>
      <w:color w:val="660033"/>
      <w:spacing w:val="0"/>
    </w:rPr>
  </w:style>
  <w:style w:type="paragraph" w:customStyle="1" w:styleId="Nameditemlist">
    <w:name w:val="Named item list"/>
    <w:basedOn w:val="BodyText"/>
    <w:qFormat/>
    <w:rsid w:val="00CB125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2048</Words>
  <Characters>12225</Characters>
  <Application>Microsoft Office Word</Application>
  <DocSecurity>0</DocSecurity>
  <Lines>475</Lines>
  <Paragraphs>179</Paragraphs>
  <ScaleCrop>false</ScaleCrop>
  <Company>Author-it Software Corporation Ltd.</Company>
  <LinksUpToDate>false</LinksUpToDate>
  <CharactersWithSpaces>14114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UEENEEI012B Verify compliance and functionality of process control installations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2012-10-11T21:14:00Z</dcterms:created>
  <dcterms:modified xsi:type="dcterms:W3CDTF">2012-10-11T21:14:00Z</dcterms:modified>
</cp:coreProperties>
</file>