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17A2" w:rsidP="00C917A2">
      <w:pPr>
        <w:pStyle w:val="Title"/>
      </w:pPr>
      <w:r>
        <w:fldChar w:fldCharType="begin"/>
      </w:r>
      <w:r>
        <w:instrText xml:space="preserve"> TITLE   \* MERGEFORMAT </w:instrText>
      </w:r>
      <w:r>
        <w:fldChar w:fldCharType="separate"/>
      </w:r>
      <w:r>
        <w:t>UEENEEI008C Install process control apparatus and associated equipment</w:t>
      </w:r>
      <w:r>
        <w:fldChar w:fldCharType="end"/>
      </w:r>
    </w:p>
    <w:p w:rsidR="00C917A2" w:rsidP="00C917A2">
      <w:pPr>
        <w:pStyle w:val="Version"/>
        <w:sectPr w:rsidSect="00E105B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105B1" w:rsidP="00E105B1">
      <w:pPr>
        <w:pStyle w:val="SuperHeading"/>
      </w:pPr>
      <w:r w:rsidRPr="00E105B1">
        <w:t>UEENEEI008C Install process control apparatus and associated equipment</w:t>
      </w:r>
    </w:p>
    <w:p w:rsidR="00000000" w:rsidRPr="00E105B1" w:rsidP="00E105B1">
      <w:pPr>
        <w:pStyle w:val="Heading1"/>
      </w:pPr>
      <w:bookmarkStart w:id="1" w:name="O_274782"/>
      <w:bookmarkEnd w:id="1"/>
      <w:r w:rsidRPr="00E105B1">
        <w:t>Modification History</w:t>
      </w:r>
    </w:p>
    <w:p w:rsidR="00000000" w:rsidRPr="00E105B1" w:rsidP="00E105B1">
      <w:pPr>
        <w:pStyle w:val="BodyText"/>
      </w:pPr>
      <w:r w:rsidRPr="00E105B1">
        <w:t>Not Applicable</w:t>
      </w:r>
    </w:p>
    <w:p w:rsidR="00000000" w:rsidRPr="00E105B1" w:rsidP="00E105B1">
      <w:pPr>
        <w:pStyle w:val="AllowPageBreak"/>
      </w:pPr>
    </w:p>
    <w:p w:rsidR="00000000" w:rsidRPr="00E105B1" w:rsidP="00E105B1">
      <w:pPr>
        <w:pStyle w:val="Heading1"/>
      </w:pPr>
      <w:bookmarkStart w:id="2" w:name="O_227229"/>
      <w:bookmarkEnd w:id="2"/>
      <w:r w:rsidRPr="00E105B1">
        <w:t>Unit Descriptor</w:t>
      </w:r>
    </w:p>
    <w:tbl>
      <w:tblPr>
        <w:tblW w:w="0" w:type="auto"/>
        <w:tblLayout w:type="fixed"/>
        <w:tblCellMar>
          <w:left w:w="62" w:type="dxa"/>
          <w:right w:w="62" w:type="dxa"/>
        </w:tblCellMar>
        <w:tblLook w:val="0000"/>
      </w:tblPr>
      <w:tblGrid>
        <w:gridCol w:w="2700"/>
        <w:gridCol w:w="5760"/>
      </w:tblGrid>
      <w:tr w:rsidTr="00C917A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105B1" w:rsidP="00E105B1">
            <w:pPr>
              <w:pStyle w:val="BodyText"/>
            </w:pPr>
            <w:r w:rsidRPr="00E105B1">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E105B1" w:rsidP="00E105B1">
            <w:pPr>
              <w:pStyle w:val="BodyText"/>
            </w:pPr>
            <w:r w:rsidRPr="00E105B1">
              <w:rPr>
                <w:rStyle w:val="SpecialBold"/>
              </w:rPr>
              <w:t>1</w:t>
            </w:r>
            <w:r w:rsidRPr="00E105B1">
              <w:t xml:space="preserve">) </w:t>
            </w:r>
          </w:p>
          <w:p w:rsidR="00000000" w:rsidP="00E105B1">
            <w:pPr>
              <w:pStyle w:val="BodyText"/>
              <w:rPr>
                <w:lang w:val="en-NZ"/>
              </w:rPr>
            </w:pPr>
            <w:r w:rsidRPr="00E105B1">
              <w:rPr>
                <w:rStyle w:val="SpecialBold"/>
              </w:rPr>
              <w:t>1</w:t>
            </w:r>
            <w:r w:rsidRPr="00E105B1">
              <w:t>.</w:t>
            </w:r>
            <w:r w:rsidRPr="00E105B1">
              <w:rPr>
                <w:rStyle w:val="SpecialBold"/>
              </w:rPr>
              <w:t>1</w:t>
            </w:r>
            <w:r w:rsidRPr="00E105B1">
              <w:t xml:space="preserve">) </w:t>
            </w:r>
            <w:r w:rsidRPr="00E105B1">
              <w:rPr>
                <w:rStyle w:val="SpecialBold"/>
              </w:rPr>
              <w:t>Descriptor</w:t>
            </w:r>
          </w:p>
        </w:tc>
      </w:tr>
      <w:tr w:rsidTr="00C917A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105B1" w:rsidP="00E105B1">
            <w:pPr>
              <w:pStyle w:val="BodyText"/>
            </w:pPr>
            <w:r w:rsidRPr="00E105B1">
              <w:t>This unit covers the installation of measurement, monitoring and control apparatus and associated equipment. It encompasses working safely and to installation standards, matching equipment with that specified for a given location, placing and securing equi</w:t>
            </w:r>
            <w:r w:rsidRPr="00E105B1">
              <w:t>pment accurately, making required pneumatic, hydraulic and electrical circuit connections and completing the necessary installation documentation.</w:t>
            </w:r>
          </w:p>
        </w:tc>
      </w:tr>
    </w:tbl>
    <w:p w:rsidR="00C917A2" w:rsidP="00E105B1">
      <w:pPr>
        <w:pStyle w:val="BodyText"/>
      </w:pPr>
    </w:p>
    <w:p w:rsidR="00C917A2" w:rsidP="00E105B1">
      <w:pPr>
        <w:pStyle w:val="BodyText"/>
      </w:pPr>
    </w:p>
    <w:p w:rsidR="00000000" w:rsidRPr="00E105B1" w:rsidP="00E105B1">
      <w:pPr>
        <w:pStyle w:val="Heading1"/>
      </w:pPr>
      <w:bookmarkStart w:id="3" w:name="O_227234"/>
      <w:bookmarkEnd w:id="3"/>
      <w:r w:rsidRPr="00E105B1">
        <w:t>Application of the Unit</w:t>
      </w:r>
    </w:p>
    <w:tbl>
      <w:tblPr>
        <w:tblW w:w="0" w:type="auto"/>
        <w:tblLayout w:type="fixed"/>
        <w:tblCellMar>
          <w:left w:w="62" w:type="dxa"/>
          <w:right w:w="62" w:type="dxa"/>
        </w:tblCellMar>
        <w:tblLook w:val="0000"/>
      </w:tblPr>
      <w:tblGrid>
        <w:gridCol w:w="2700"/>
        <w:gridCol w:w="5760"/>
      </w:tblGrid>
      <w:tr w:rsidTr="00C917A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105B1" w:rsidP="00E105B1">
            <w:pPr>
              <w:pStyle w:val="BodyText"/>
            </w:pPr>
            <w:r w:rsidRPr="00E105B1">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E105B1">
            <w:pPr>
              <w:pStyle w:val="BodyText"/>
              <w:rPr>
                <w:lang w:val="en-NZ"/>
              </w:rPr>
            </w:pPr>
            <w:r w:rsidRPr="00E105B1">
              <w:rPr>
                <w:rStyle w:val="SpecialBold"/>
              </w:rPr>
              <w:t>4</w:t>
            </w:r>
            <w:r w:rsidRPr="00E105B1">
              <w:t>)</w:t>
            </w:r>
          </w:p>
        </w:tc>
      </w:tr>
      <w:tr w:rsidTr="00C917A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105B1" w:rsidP="00E105B1">
            <w:pPr>
              <w:pStyle w:val="BodyText"/>
            </w:pPr>
            <w:r w:rsidRPr="00E105B1">
              <w:t>This unit is intended for competency development in entry-level employment based programs incorporated in approved contracts of training.</w:t>
            </w:r>
          </w:p>
        </w:tc>
      </w:tr>
    </w:tbl>
    <w:p w:rsidR="00C917A2" w:rsidP="00E105B1">
      <w:pPr>
        <w:pStyle w:val="BodyText"/>
      </w:pPr>
    </w:p>
    <w:p w:rsidR="00C917A2" w:rsidP="00E105B1">
      <w:pPr>
        <w:pStyle w:val="BodyText"/>
      </w:pPr>
    </w:p>
    <w:p w:rsidR="00000000" w:rsidRPr="00E105B1" w:rsidP="00E105B1">
      <w:pPr>
        <w:pStyle w:val="Heading1"/>
      </w:pPr>
      <w:bookmarkStart w:id="4" w:name="O_227230"/>
      <w:bookmarkEnd w:id="4"/>
      <w:r w:rsidRPr="00E105B1">
        <w:t>Licensing/Regulatory Information</w:t>
      </w:r>
    </w:p>
    <w:tbl>
      <w:tblPr>
        <w:tblW w:w="0" w:type="auto"/>
        <w:tblLayout w:type="fixed"/>
        <w:tblCellMar>
          <w:left w:w="62" w:type="dxa"/>
          <w:right w:w="62" w:type="dxa"/>
        </w:tblCellMar>
        <w:tblLook w:val="0000"/>
      </w:tblPr>
      <w:tblGrid>
        <w:gridCol w:w="8460"/>
      </w:tblGrid>
      <w:tr w:rsidTr="00C917A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105B1">
            <w:pPr>
              <w:pStyle w:val="BodyText"/>
              <w:rPr>
                <w:lang w:val="en-NZ"/>
              </w:rPr>
            </w:pPr>
            <w:r w:rsidRPr="00E105B1">
              <w:rPr>
                <w:rStyle w:val="SpecialBold"/>
              </w:rPr>
              <w:t>1</w:t>
            </w:r>
            <w:r w:rsidRPr="00E105B1">
              <w:t>.</w:t>
            </w:r>
            <w:r w:rsidRPr="00E105B1">
              <w:rPr>
                <w:rStyle w:val="SpecialBold"/>
              </w:rPr>
              <w:t>2</w:t>
            </w:r>
            <w:r w:rsidRPr="00E105B1">
              <w:t xml:space="preserve">) </w:t>
            </w:r>
            <w:r w:rsidRPr="00E105B1">
              <w:rPr>
                <w:rStyle w:val="SpecialBold"/>
              </w:rPr>
              <w:t>License to practice</w:t>
            </w:r>
          </w:p>
        </w:tc>
      </w:tr>
      <w:tr w:rsidTr="00C917A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105B1" w:rsidP="00E105B1">
            <w:pPr>
              <w:pStyle w:val="BodyText"/>
            </w:pPr>
            <w:r w:rsidRPr="00E105B1">
              <w:t>The skills and knowledge described in this unit require a license to practice in the workplace where plant and equipment operate at voltage above 50 V a.c. or 120 V d.c. However other conditions may apply in some jurisdictions subject to regulations relate</w:t>
            </w:r>
            <w:r w:rsidRPr="00E105B1">
              <w:t>d to electrical work. Practice in the workplace and during training is also subject to regulations directly related to occupational health and safety and where applicable contracts of training such as apprenticeships.</w:t>
            </w:r>
          </w:p>
          <w:p w:rsidR="00000000" w:rsidRPr="00E105B1" w:rsidP="00E105B1">
            <w:pPr>
              <w:pStyle w:val="BodyText"/>
            </w:pPr>
            <w:r w:rsidRPr="00E105B1">
              <w:t xml:space="preserve">Note: </w:t>
            </w:r>
            <w:r w:rsidRPr="00E105B1">
              <w:br/>
              <w:t xml:space="preserve">1. Compliance with permits may </w:t>
            </w:r>
            <w:r w:rsidRPr="00E105B1">
              <w:t>be required in various jurisdictions and typically relates to the operation of plant, machinery and equipment such as elevating work platforms, powder operated fixing tools, power operated tools, vehicles, road signage and traffic control and lifting equip</w:t>
            </w:r>
            <w:r w:rsidRPr="00E105B1">
              <w:t>ment. Permits may also be required for some work environments such as confined spaces, working aloft, near live electrical apparatus and site rehabilitation.</w:t>
            </w:r>
            <w:r w:rsidRPr="00E105B1">
              <w:br/>
              <w:t>2. Compliance may be required in various jurisdictions relating to currency in First Aid, confined</w:t>
            </w:r>
            <w:r w:rsidRPr="00E105B1">
              <w:t xml:space="preserve"> space and lifting and risk safety measures.</w:t>
            </w:r>
          </w:p>
        </w:tc>
      </w:tr>
    </w:tbl>
    <w:p w:rsidR="00C917A2" w:rsidP="00E105B1">
      <w:pPr>
        <w:pStyle w:val="BodyText"/>
      </w:pPr>
    </w:p>
    <w:p w:rsidR="00C917A2" w:rsidP="00E105B1">
      <w:pPr>
        <w:pStyle w:val="BodyText"/>
      </w:pPr>
    </w:p>
    <w:p w:rsidR="00000000" w:rsidRPr="00E105B1" w:rsidP="00E105B1">
      <w:pPr>
        <w:pStyle w:val="Heading1"/>
      </w:pPr>
      <w:bookmarkStart w:id="5" w:name="O_227231"/>
      <w:bookmarkEnd w:id="5"/>
      <w:r w:rsidRPr="00E105B1">
        <w:t>Pre-Requisites</w:t>
      </w:r>
    </w:p>
    <w:tbl>
      <w:tblPr>
        <w:tblW w:w="0" w:type="auto"/>
        <w:tblLayout w:type="fixed"/>
        <w:tblCellMar>
          <w:left w:w="62" w:type="dxa"/>
          <w:right w:w="62" w:type="dxa"/>
        </w:tblCellMar>
        <w:tblLook w:val="0000"/>
      </w:tblPr>
      <w:tblGrid>
        <w:gridCol w:w="2700"/>
        <w:gridCol w:w="5760"/>
      </w:tblGrid>
      <w:tr w:rsidTr="00C917A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105B1" w:rsidP="00E105B1">
            <w:pPr>
              <w:pStyle w:val="BodyText"/>
            </w:pPr>
            <w:r w:rsidRPr="00E105B1">
              <w:rPr>
                <w:rStyle w:val="SpecialBold"/>
              </w:rPr>
              <w:t>Prerequisite Unit</w:t>
            </w:r>
            <w:r w:rsidRPr="00E105B1">
              <w:t>(</w:t>
            </w:r>
            <w:r w:rsidRPr="00E105B1">
              <w:rPr>
                <w:rStyle w:val="SpecialBold"/>
              </w:rPr>
              <w:t>s</w:t>
            </w:r>
            <w:r w:rsidRPr="00E105B1">
              <w:t>)</w:t>
            </w:r>
          </w:p>
        </w:tc>
        <w:tc>
          <w:tcPr>
            <w:tcW w:w="5760" w:type="dxa"/>
            <w:tcBorders>
              <w:top w:val="nil"/>
              <w:left w:val="nil"/>
              <w:bottom w:val="nil"/>
              <w:right w:val="nil"/>
            </w:tcBorders>
            <w:tcMar>
              <w:top w:w="0" w:type="dxa"/>
              <w:left w:w="62" w:type="dxa"/>
              <w:bottom w:w="0" w:type="dxa"/>
              <w:right w:w="62" w:type="dxa"/>
            </w:tcMar>
          </w:tcPr>
          <w:p w:rsidR="00000000" w:rsidP="00E105B1">
            <w:pPr>
              <w:pStyle w:val="BodyText"/>
              <w:rPr>
                <w:lang w:val="en-NZ"/>
              </w:rPr>
            </w:pPr>
            <w:r w:rsidRPr="00E105B1">
              <w:rPr>
                <w:rStyle w:val="SpecialBold"/>
              </w:rPr>
              <w:t>2</w:t>
            </w:r>
            <w:r w:rsidRPr="00E105B1">
              <w:t xml:space="preserve">) </w:t>
            </w:r>
          </w:p>
        </w:tc>
      </w:tr>
      <w:tr w:rsidTr="00C917A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105B1">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E105B1">
            <w:pPr>
              <w:pStyle w:val="BodyText"/>
              <w:rPr>
                <w:lang w:val="en-NZ"/>
              </w:rPr>
            </w:pPr>
            <w:r w:rsidRPr="00E105B1">
              <w:rPr>
                <w:rStyle w:val="SpecialBold"/>
              </w:rPr>
              <w:t>2</w:t>
            </w:r>
            <w:r w:rsidRPr="00E105B1">
              <w:t>.</w:t>
            </w:r>
            <w:r w:rsidRPr="00E105B1">
              <w:rPr>
                <w:rStyle w:val="SpecialBold"/>
              </w:rPr>
              <w:t>1</w:t>
            </w:r>
            <w:r w:rsidRPr="00E105B1">
              <w:t xml:space="preserve">) </w:t>
            </w:r>
            <w:r w:rsidRPr="00E105B1">
              <w:rPr>
                <w:rStyle w:val="SpecialBold"/>
              </w:rPr>
              <w:t>Competencies</w:t>
            </w:r>
          </w:p>
        </w:tc>
      </w:tr>
      <w:tr w:rsidTr="00C917A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105B1" w:rsidP="00E105B1">
            <w:pPr>
              <w:pStyle w:val="BodyText"/>
            </w:pPr>
            <w:r w:rsidRPr="00E105B1">
              <w:t>Granting competency in this unit shall be made only after competency in the following unit(s) has/have been confirmed.</w:t>
            </w:r>
          </w:p>
          <w:p w:rsidR="00000000" w:rsidRPr="00E105B1" w:rsidP="00E105B1">
            <w:pPr>
              <w:pStyle w:val="BodyText"/>
            </w:pPr>
            <w:r w:rsidRPr="00E105B1">
              <w:t>UEENEEI001B Install and set up transducers and sensing devices</w:t>
            </w:r>
          </w:p>
          <w:p w:rsidR="00000000" w:rsidRPr="00E105B1" w:rsidP="00E105B1">
            <w:pPr>
              <w:pStyle w:val="BodyText"/>
            </w:pPr>
            <w:r w:rsidRPr="00E105B1">
              <w:t>For the full prerequisite chain details for this unit please refer to Table 2 in Volume 1, Part 2</w:t>
            </w:r>
          </w:p>
        </w:tc>
      </w:tr>
    </w:tbl>
    <w:p w:rsidR="00C917A2" w:rsidP="00E105B1">
      <w:pPr>
        <w:pStyle w:val="BodyText"/>
      </w:pPr>
    </w:p>
    <w:p w:rsidR="00C917A2" w:rsidP="00E105B1">
      <w:pPr>
        <w:pStyle w:val="BodyText"/>
      </w:pPr>
    </w:p>
    <w:p w:rsidR="00000000" w:rsidRPr="00E105B1" w:rsidP="00E105B1">
      <w:pPr>
        <w:pStyle w:val="Heading1"/>
      </w:pPr>
      <w:bookmarkStart w:id="6" w:name="O_227233"/>
      <w:bookmarkEnd w:id="6"/>
      <w:r w:rsidRPr="00E105B1">
        <w:t>Employability Skills Information</w:t>
      </w:r>
    </w:p>
    <w:tbl>
      <w:tblPr>
        <w:tblW w:w="0" w:type="auto"/>
        <w:tblLayout w:type="fixed"/>
        <w:tblCellMar>
          <w:left w:w="62" w:type="dxa"/>
          <w:right w:w="62" w:type="dxa"/>
        </w:tblCellMar>
        <w:tblLook w:val="0000"/>
      </w:tblPr>
      <w:tblGrid>
        <w:gridCol w:w="2700"/>
        <w:gridCol w:w="5760"/>
      </w:tblGrid>
      <w:tr w:rsidTr="00C917A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105B1" w:rsidP="00E105B1">
            <w:pPr>
              <w:pStyle w:val="BodyText"/>
            </w:pPr>
            <w:r w:rsidRPr="00E105B1">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E105B1" w:rsidP="00E105B1">
            <w:pPr>
              <w:pStyle w:val="BodyText"/>
            </w:pPr>
            <w:r w:rsidRPr="00E105B1">
              <w:rPr>
                <w:rStyle w:val="SpecialBold"/>
              </w:rPr>
              <w:t>3</w:t>
            </w:r>
            <w:r w:rsidRPr="00E105B1">
              <w:t>)</w:t>
            </w:r>
          </w:p>
          <w:p w:rsidR="00000000" w:rsidRPr="00E105B1" w:rsidP="00E105B1">
            <w:pPr>
              <w:pStyle w:val="BodyText"/>
            </w:pPr>
            <w:r w:rsidRPr="00E105B1">
              <w:t>This unit contains</w:t>
            </w:r>
            <w:r w:rsidRPr="00E105B1">
              <w:t xml:space="preserve"> Employability Skills</w:t>
            </w:r>
          </w:p>
          <w:p w:rsidR="00000000" w:rsidRPr="00E105B1" w:rsidP="00E105B1">
            <w:pPr>
              <w:pStyle w:val="BodyText"/>
            </w:pPr>
            <w:r w:rsidRPr="00E105B1">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E105B1">
              <w:t>requirements.</w:t>
            </w:r>
          </w:p>
        </w:tc>
      </w:tr>
    </w:tbl>
    <w:p w:rsidR="00C917A2" w:rsidP="00E105B1">
      <w:pPr>
        <w:pStyle w:val="BodyText"/>
      </w:pPr>
    </w:p>
    <w:p w:rsidR="00C917A2" w:rsidP="00E105B1">
      <w:pPr>
        <w:pStyle w:val="BodyText"/>
      </w:pPr>
    </w:p>
    <w:p w:rsidR="00000000" w:rsidRPr="00E105B1" w:rsidP="00E105B1">
      <w:pPr>
        <w:pStyle w:val="Heading1"/>
      </w:pPr>
      <w:bookmarkStart w:id="7" w:name="O_292828"/>
      <w:bookmarkEnd w:id="7"/>
      <w:r w:rsidRPr="00E105B1">
        <w:t>Elements and Performance Criteria Pre-Content</w:t>
      </w:r>
    </w:p>
    <w:tbl>
      <w:tblPr>
        <w:tblW w:w="0" w:type="auto"/>
        <w:tblLayout w:type="fixed"/>
        <w:tblCellMar>
          <w:left w:w="62" w:type="dxa"/>
          <w:right w:w="62" w:type="dxa"/>
        </w:tblCellMar>
        <w:tblLook w:val="0000"/>
      </w:tblPr>
      <w:tblGrid>
        <w:gridCol w:w="2700"/>
        <w:gridCol w:w="5760"/>
      </w:tblGrid>
      <w:tr w:rsidTr="00C917A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105B1">
            <w:pPr>
              <w:pStyle w:val="BodyText"/>
              <w:rPr>
                <w:lang w:val="en-NZ"/>
              </w:rPr>
            </w:pPr>
            <w:r w:rsidRPr="00E105B1">
              <w:rPr>
                <w:rStyle w:val="SpecialBold"/>
              </w:rPr>
              <w:t>6</w:t>
            </w:r>
            <w:r w:rsidRPr="00E105B1">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E105B1" w:rsidP="00E105B1">
            <w:pPr>
              <w:pStyle w:val="BodyText"/>
            </w:pPr>
            <w:r w:rsidRPr="00E105B1">
              <w:t>Performance criteria describe the required performance needed to demonstrate achievement of the Element. Ass</w:t>
            </w:r>
            <w:r w:rsidRPr="00E105B1">
              <w:t>essment of performance is to be consistent with the evidence guide.</w:t>
            </w:r>
          </w:p>
        </w:tc>
      </w:tr>
    </w:tbl>
    <w:p w:rsidR="00000000" w:rsidRPr="00E105B1" w:rsidP="00E105B1">
      <w:pPr>
        <w:pStyle w:val="BodyText"/>
      </w:pPr>
    </w:p>
    <w:p w:rsidR="00000000" w:rsidRPr="00E105B1" w:rsidP="00E105B1">
      <w:pPr>
        <w:pStyle w:val="AllowPageBreak"/>
      </w:pPr>
    </w:p>
    <w:p w:rsidR="00000000" w:rsidRPr="00E105B1" w:rsidP="00E105B1">
      <w:pPr>
        <w:pStyle w:val="Heading1"/>
      </w:pPr>
      <w:bookmarkStart w:id="8" w:name="O_239496"/>
      <w:bookmarkEnd w:id="8"/>
      <w:r w:rsidRPr="00E105B1">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C917A2">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E105B1" w:rsidP="00E105B1">
            <w:pPr>
              <w:pStyle w:val="BodyText"/>
            </w:pPr>
            <w:r w:rsidRPr="00E105B1">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E105B1">
            <w:pPr>
              <w:pStyle w:val="BodyText"/>
              <w:rPr>
                <w:lang w:val="en-NZ"/>
              </w:rPr>
            </w:pPr>
            <w:r w:rsidRPr="00E105B1">
              <w:rPr>
                <w:rStyle w:val="SpecialBold"/>
              </w:rPr>
              <w:t>PERFORMANCE CRITERIA</w:t>
            </w:r>
          </w:p>
        </w:tc>
      </w:tr>
      <w:tr w:rsidTr="00C917A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105B1">
            <w:pPr>
              <w:pStyle w:val="BodyText"/>
              <w:rPr>
                <w:lang w:val="en-NZ"/>
              </w:rPr>
            </w:pPr>
            <w:r w:rsidRPr="00E105B1">
              <w:t>1</w:t>
            </w:r>
          </w:p>
        </w:tc>
        <w:tc>
          <w:tcPr>
            <w:tcW w:w="2296" w:type="dxa"/>
            <w:vMerge w:val="restart"/>
            <w:tcBorders>
              <w:top w:val="nil"/>
              <w:left w:val="nil"/>
              <w:bottom w:val="nil"/>
              <w:right w:val="nil"/>
            </w:tcBorders>
            <w:tcMar>
              <w:top w:w="0" w:type="dxa"/>
              <w:left w:w="62" w:type="dxa"/>
              <w:bottom w:w="0" w:type="dxa"/>
              <w:right w:w="62" w:type="dxa"/>
            </w:tcMar>
          </w:tcPr>
          <w:p w:rsidR="00000000" w:rsidP="00E105B1">
            <w:pPr>
              <w:pStyle w:val="BodyText"/>
              <w:rPr>
                <w:lang w:val="en-NZ"/>
              </w:rPr>
            </w:pPr>
            <w:r w:rsidRPr="00E105B1">
              <w:t>Prepare to process control apparatus and associated equipment</w:t>
            </w:r>
          </w:p>
        </w:tc>
        <w:tc>
          <w:tcPr>
            <w:tcW w:w="900" w:type="dxa"/>
            <w:tcBorders>
              <w:top w:val="nil"/>
              <w:left w:val="nil"/>
              <w:bottom w:val="nil"/>
              <w:right w:val="nil"/>
            </w:tcBorders>
            <w:tcMar>
              <w:top w:w="0" w:type="dxa"/>
              <w:left w:w="62" w:type="dxa"/>
              <w:bottom w:w="0" w:type="dxa"/>
              <w:right w:w="62" w:type="dxa"/>
            </w:tcMar>
          </w:tcPr>
          <w:p w:rsidR="00000000" w:rsidP="00E105B1">
            <w:pPr>
              <w:pStyle w:val="BodyText"/>
              <w:rPr>
                <w:lang w:val="en-NZ"/>
              </w:rPr>
            </w:pPr>
            <w:r w:rsidRPr="00E105B1">
              <w:t>1.1</w:t>
            </w:r>
          </w:p>
        </w:tc>
        <w:tc>
          <w:tcPr>
            <w:tcW w:w="4860" w:type="dxa"/>
            <w:tcBorders>
              <w:top w:val="nil"/>
              <w:left w:val="nil"/>
              <w:bottom w:val="nil"/>
              <w:right w:val="nil"/>
            </w:tcBorders>
            <w:tcMar>
              <w:top w:w="0" w:type="dxa"/>
              <w:left w:w="62" w:type="dxa"/>
              <w:bottom w:w="0" w:type="dxa"/>
              <w:right w:w="62" w:type="dxa"/>
            </w:tcMar>
          </w:tcPr>
          <w:p w:rsidR="00000000" w:rsidP="00E105B1">
            <w:pPr>
              <w:pStyle w:val="BodyText"/>
              <w:rPr>
                <w:lang w:val="en-NZ"/>
              </w:rPr>
            </w:pPr>
            <w:r w:rsidRPr="00E105B1">
              <w:t>OHS procedures for a g</w:t>
            </w:r>
            <w:r w:rsidRPr="00E105B1">
              <w:t>iven work area are identified, obtained and understood</w:t>
            </w:r>
          </w:p>
        </w:tc>
      </w:tr>
      <w:tr w:rsidTr="00C917A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105B1">
            <w:pPr>
              <w:pStyle w:val="BodyText"/>
              <w:rPr>
                <w:lang w:val="en-NZ"/>
              </w:rPr>
            </w:pPr>
            <w:r w:rsidRPr="00E105B1">
              <w:t>1.2</w:t>
            </w:r>
          </w:p>
        </w:tc>
        <w:tc>
          <w:tcPr>
            <w:tcW w:w="4860" w:type="dxa"/>
            <w:tcBorders>
              <w:top w:val="nil"/>
              <w:left w:val="nil"/>
              <w:bottom w:val="nil"/>
              <w:right w:val="nil"/>
            </w:tcBorders>
            <w:tcMar>
              <w:top w:w="0" w:type="dxa"/>
              <w:left w:w="62" w:type="dxa"/>
              <w:bottom w:w="0" w:type="dxa"/>
              <w:right w:w="62" w:type="dxa"/>
            </w:tcMar>
          </w:tcPr>
          <w:p w:rsidR="00000000" w:rsidP="00E105B1">
            <w:pPr>
              <w:pStyle w:val="BodyText"/>
              <w:rPr>
                <w:lang w:val="en-NZ"/>
              </w:rPr>
            </w:pPr>
            <w:r w:rsidRPr="00E105B1">
              <w:t>Health and safety risks are identified and established risk control measures and procedures in preparation for the work are followed.</w:t>
            </w:r>
          </w:p>
        </w:tc>
      </w:tr>
      <w:tr w:rsidTr="00C917A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105B1">
            <w:pPr>
              <w:pStyle w:val="BodyText"/>
              <w:rPr>
                <w:lang w:val="en-NZ"/>
              </w:rPr>
            </w:pPr>
            <w:r w:rsidRPr="00E105B1">
              <w:t>1.3</w:t>
            </w:r>
          </w:p>
        </w:tc>
        <w:tc>
          <w:tcPr>
            <w:tcW w:w="4860" w:type="dxa"/>
            <w:tcBorders>
              <w:top w:val="nil"/>
              <w:left w:val="nil"/>
              <w:bottom w:val="nil"/>
              <w:right w:val="nil"/>
            </w:tcBorders>
            <w:tcMar>
              <w:top w:w="0" w:type="dxa"/>
              <w:left w:w="62" w:type="dxa"/>
              <w:bottom w:w="0" w:type="dxa"/>
              <w:right w:w="62" w:type="dxa"/>
            </w:tcMar>
          </w:tcPr>
          <w:p w:rsidR="00000000" w:rsidP="00E105B1">
            <w:pPr>
              <w:pStyle w:val="BodyText"/>
              <w:rPr>
                <w:lang w:val="en-NZ"/>
              </w:rPr>
            </w:pPr>
            <w:r w:rsidRPr="00E105B1">
              <w:t>Safety hazards that have not previously been identified are noted, and established risk control measures are implemented.</w:t>
            </w:r>
          </w:p>
        </w:tc>
      </w:tr>
      <w:tr w:rsidTr="00C917A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105B1">
            <w:pPr>
              <w:pStyle w:val="BodyText"/>
              <w:rPr>
                <w:lang w:val="en-NZ"/>
              </w:rPr>
            </w:pPr>
            <w:r w:rsidRPr="00E105B1">
              <w:t>1.4</w:t>
            </w:r>
          </w:p>
        </w:tc>
        <w:tc>
          <w:tcPr>
            <w:tcW w:w="4860" w:type="dxa"/>
            <w:tcBorders>
              <w:top w:val="nil"/>
              <w:left w:val="nil"/>
              <w:bottom w:val="nil"/>
              <w:right w:val="nil"/>
            </w:tcBorders>
            <w:tcMar>
              <w:top w:w="0" w:type="dxa"/>
              <w:left w:w="62" w:type="dxa"/>
              <w:bottom w:w="0" w:type="dxa"/>
              <w:right w:w="62" w:type="dxa"/>
            </w:tcMar>
          </w:tcPr>
          <w:p w:rsidR="00000000" w:rsidP="00E105B1">
            <w:pPr>
              <w:pStyle w:val="BodyText"/>
              <w:rPr>
                <w:lang w:val="en-NZ"/>
              </w:rPr>
            </w:pPr>
            <w:r w:rsidRPr="00E105B1">
              <w:t xml:space="preserve">Installation of apparatus is prepared in consultation with other affected by the work and sequenced appropriately. </w:t>
            </w:r>
          </w:p>
        </w:tc>
      </w:tr>
      <w:tr w:rsidTr="00C917A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105B1">
            <w:pPr>
              <w:pStyle w:val="BodyText"/>
              <w:rPr>
                <w:lang w:val="en-NZ"/>
              </w:rPr>
            </w:pPr>
            <w:r w:rsidRPr="00E105B1">
              <w:t>1.5</w:t>
            </w:r>
          </w:p>
        </w:tc>
        <w:tc>
          <w:tcPr>
            <w:tcW w:w="4860" w:type="dxa"/>
            <w:tcBorders>
              <w:top w:val="nil"/>
              <w:left w:val="nil"/>
              <w:bottom w:val="nil"/>
              <w:right w:val="nil"/>
            </w:tcBorders>
            <w:tcMar>
              <w:top w:w="0" w:type="dxa"/>
              <w:left w:w="62" w:type="dxa"/>
              <w:bottom w:w="0" w:type="dxa"/>
              <w:right w:w="62" w:type="dxa"/>
            </w:tcMar>
          </w:tcPr>
          <w:p w:rsidR="00000000" w:rsidP="00E105B1">
            <w:pPr>
              <w:pStyle w:val="BodyText"/>
              <w:rPr>
                <w:lang w:val="en-NZ"/>
              </w:rPr>
            </w:pPr>
            <w:r w:rsidRPr="00E105B1">
              <w:t xml:space="preserve">The </w:t>
            </w:r>
            <w:r w:rsidRPr="00E105B1">
              <w:t xml:space="preserve">nature and location of the work is determined from documentation or appropriate person(s) to establish the scope of work to be </w:t>
            </w:r>
            <w:r w:rsidRPr="00E105B1">
              <w:t>undertaken.</w:t>
            </w:r>
          </w:p>
        </w:tc>
      </w:tr>
      <w:tr w:rsidTr="00C917A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105B1">
            <w:pPr>
              <w:pStyle w:val="BodyText"/>
              <w:rPr>
                <w:lang w:val="en-NZ"/>
              </w:rPr>
            </w:pPr>
            <w:r w:rsidRPr="00E105B1">
              <w:t>1.6</w:t>
            </w:r>
          </w:p>
        </w:tc>
        <w:tc>
          <w:tcPr>
            <w:tcW w:w="4860" w:type="dxa"/>
            <w:tcBorders>
              <w:top w:val="nil"/>
              <w:left w:val="nil"/>
              <w:bottom w:val="nil"/>
              <w:right w:val="nil"/>
            </w:tcBorders>
            <w:tcMar>
              <w:top w:w="0" w:type="dxa"/>
              <w:left w:w="62" w:type="dxa"/>
              <w:bottom w:w="0" w:type="dxa"/>
              <w:right w:w="62" w:type="dxa"/>
            </w:tcMar>
          </w:tcPr>
          <w:p w:rsidR="00000000" w:rsidP="00E105B1">
            <w:pPr>
              <w:pStyle w:val="BodyText"/>
              <w:rPr>
                <w:lang w:val="en-NZ"/>
              </w:rPr>
            </w:pPr>
            <w:r w:rsidRPr="00E105B1">
              <w:t>Location of process control apparatus and associated equipment is planned within the constraints of the building structure, significants and regulations.</w:t>
            </w:r>
          </w:p>
        </w:tc>
      </w:tr>
      <w:tr w:rsidTr="00C917A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105B1">
            <w:pPr>
              <w:pStyle w:val="BodyText"/>
              <w:rPr>
                <w:lang w:val="en-NZ"/>
              </w:rPr>
            </w:pPr>
            <w:r w:rsidRPr="00E105B1">
              <w:t>1.7</w:t>
            </w:r>
          </w:p>
        </w:tc>
        <w:tc>
          <w:tcPr>
            <w:tcW w:w="4860" w:type="dxa"/>
            <w:tcBorders>
              <w:top w:val="nil"/>
              <w:left w:val="nil"/>
              <w:bottom w:val="nil"/>
              <w:right w:val="nil"/>
            </w:tcBorders>
            <w:tcMar>
              <w:top w:w="0" w:type="dxa"/>
              <w:left w:w="62" w:type="dxa"/>
              <w:bottom w:w="0" w:type="dxa"/>
              <w:right w:w="62" w:type="dxa"/>
            </w:tcMar>
          </w:tcPr>
          <w:p w:rsidR="00000000" w:rsidP="00E105B1">
            <w:pPr>
              <w:pStyle w:val="BodyText"/>
              <w:rPr>
                <w:lang w:val="en-NZ"/>
              </w:rPr>
            </w:pPr>
            <w:r w:rsidRPr="00E105B1">
              <w:t>Advice is sought from appropriate persons to ensure the work is coordinated effectively with ot</w:t>
            </w:r>
            <w:r w:rsidRPr="00E105B1">
              <w:t>hers.</w:t>
            </w:r>
          </w:p>
        </w:tc>
      </w:tr>
      <w:tr w:rsidTr="00C917A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105B1">
            <w:pPr>
              <w:pStyle w:val="BodyText"/>
              <w:rPr>
                <w:lang w:val="en-NZ"/>
              </w:rPr>
            </w:pPr>
            <w:r w:rsidRPr="00E105B1">
              <w:t>1.8</w:t>
            </w:r>
          </w:p>
        </w:tc>
        <w:tc>
          <w:tcPr>
            <w:tcW w:w="4860" w:type="dxa"/>
            <w:tcBorders>
              <w:top w:val="nil"/>
              <w:left w:val="nil"/>
              <w:bottom w:val="nil"/>
              <w:right w:val="nil"/>
            </w:tcBorders>
            <w:tcMar>
              <w:top w:w="0" w:type="dxa"/>
              <w:left w:w="62" w:type="dxa"/>
              <w:bottom w:w="0" w:type="dxa"/>
              <w:right w:w="62" w:type="dxa"/>
            </w:tcMar>
          </w:tcPr>
          <w:p w:rsidR="00000000" w:rsidP="00E105B1">
            <w:pPr>
              <w:pStyle w:val="BodyText"/>
              <w:rPr>
                <w:lang w:val="en-NZ"/>
              </w:rPr>
            </w:pPr>
            <w:r w:rsidRPr="00E105B1">
              <w:t>Material needed for the installation work is obtained in accordance with established procedures and checked against job requirements.</w:t>
            </w:r>
          </w:p>
        </w:tc>
      </w:tr>
      <w:tr w:rsidTr="00C917A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105B1">
            <w:pPr>
              <w:pStyle w:val="BodyText"/>
              <w:rPr>
                <w:lang w:val="en-NZ"/>
              </w:rPr>
            </w:pPr>
            <w:r w:rsidRPr="00E105B1">
              <w:t>1.9</w:t>
            </w:r>
          </w:p>
        </w:tc>
        <w:tc>
          <w:tcPr>
            <w:tcW w:w="4860" w:type="dxa"/>
            <w:tcBorders>
              <w:top w:val="nil"/>
              <w:left w:val="nil"/>
              <w:bottom w:val="nil"/>
              <w:right w:val="nil"/>
            </w:tcBorders>
            <w:tcMar>
              <w:top w:w="0" w:type="dxa"/>
              <w:left w:w="62" w:type="dxa"/>
              <w:bottom w:w="0" w:type="dxa"/>
              <w:right w:w="62" w:type="dxa"/>
            </w:tcMar>
          </w:tcPr>
          <w:p w:rsidR="00000000" w:rsidP="00E105B1">
            <w:pPr>
              <w:pStyle w:val="BodyText"/>
              <w:rPr>
                <w:lang w:val="en-NZ"/>
              </w:rPr>
            </w:pPr>
            <w:r w:rsidRPr="00E105B1">
              <w:t>Tools, equipment and testing devices needed to for the installation work are obtained in accordance wi</w:t>
            </w:r>
            <w:r w:rsidRPr="00E105B1">
              <w:t>th established procedures and checked for correct operation and safety.</w:t>
            </w:r>
          </w:p>
        </w:tc>
      </w:tr>
      <w:tr w:rsidTr="00C917A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105B1">
            <w:pPr>
              <w:pStyle w:val="BodyText"/>
              <w:rPr>
                <w:lang w:val="en-NZ"/>
              </w:rPr>
            </w:pPr>
            <w:r w:rsidRPr="00E105B1">
              <w:t>1.10</w:t>
            </w:r>
          </w:p>
        </w:tc>
        <w:tc>
          <w:tcPr>
            <w:tcW w:w="4860" w:type="dxa"/>
            <w:tcBorders>
              <w:top w:val="nil"/>
              <w:left w:val="nil"/>
              <w:bottom w:val="nil"/>
              <w:right w:val="nil"/>
            </w:tcBorders>
            <w:tcMar>
              <w:top w:w="0" w:type="dxa"/>
              <w:left w:w="62" w:type="dxa"/>
              <w:bottom w:w="0" w:type="dxa"/>
              <w:right w:w="62" w:type="dxa"/>
            </w:tcMar>
          </w:tcPr>
          <w:p w:rsidR="00000000" w:rsidP="00E105B1">
            <w:pPr>
              <w:pStyle w:val="BodyText"/>
              <w:rPr>
                <w:lang w:val="en-NZ"/>
              </w:rPr>
            </w:pPr>
            <w:r w:rsidRPr="00E105B1">
              <w:t>Preparatory work is checked to ensure no damage has occurred and that work complies with requirements.</w:t>
            </w:r>
          </w:p>
        </w:tc>
      </w:tr>
      <w:tr w:rsidTr="00C917A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105B1">
            <w:pPr>
              <w:pStyle w:val="BodyText"/>
              <w:rPr>
                <w:lang w:val="en-NZ"/>
              </w:rPr>
            </w:pPr>
            <w:r w:rsidRPr="00E105B1">
              <w:t>2</w:t>
            </w:r>
          </w:p>
        </w:tc>
        <w:tc>
          <w:tcPr>
            <w:tcW w:w="2296" w:type="dxa"/>
            <w:vMerge w:val="restart"/>
            <w:tcBorders>
              <w:top w:val="nil"/>
              <w:left w:val="nil"/>
              <w:bottom w:val="nil"/>
              <w:right w:val="nil"/>
            </w:tcBorders>
            <w:tcMar>
              <w:top w:w="0" w:type="dxa"/>
              <w:left w:w="62" w:type="dxa"/>
              <w:bottom w:w="0" w:type="dxa"/>
              <w:right w:w="62" w:type="dxa"/>
            </w:tcMar>
          </w:tcPr>
          <w:p w:rsidR="00000000" w:rsidP="00E105B1">
            <w:pPr>
              <w:pStyle w:val="BodyText"/>
              <w:rPr>
                <w:lang w:val="en-NZ"/>
              </w:rPr>
            </w:pPr>
            <w:r w:rsidRPr="00E105B1">
              <w:t>Install process control apparatus and associated equipment</w:t>
            </w:r>
          </w:p>
        </w:tc>
        <w:tc>
          <w:tcPr>
            <w:tcW w:w="900" w:type="dxa"/>
            <w:tcBorders>
              <w:top w:val="nil"/>
              <w:left w:val="nil"/>
              <w:bottom w:val="nil"/>
              <w:right w:val="nil"/>
            </w:tcBorders>
            <w:tcMar>
              <w:top w:w="0" w:type="dxa"/>
              <w:left w:w="62" w:type="dxa"/>
              <w:bottom w:w="0" w:type="dxa"/>
              <w:right w:w="62" w:type="dxa"/>
            </w:tcMar>
          </w:tcPr>
          <w:p w:rsidR="00000000" w:rsidP="00E105B1">
            <w:pPr>
              <w:pStyle w:val="BodyText"/>
              <w:rPr>
                <w:lang w:val="en-NZ"/>
              </w:rPr>
            </w:pPr>
            <w:r w:rsidRPr="00E105B1">
              <w:t>2.1</w:t>
            </w:r>
          </w:p>
        </w:tc>
        <w:tc>
          <w:tcPr>
            <w:tcW w:w="4860" w:type="dxa"/>
            <w:tcBorders>
              <w:top w:val="nil"/>
              <w:left w:val="nil"/>
              <w:bottom w:val="nil"/>
              <w:right w:val="nil"/>
            </w:tcBorders>
            <w:tcMar>
              <w:top w:w="0" w:type="dxa"/>
              <w:left w:w="62" w:type="dxa"/>
              <w:bottom w:w="0" w:type="dxa"/>
              <w:right w:w="62" w:type="dxa"/>
            </w:tcMar>
          </w:tcPr>
          <w:p w:rsidR="00000000" w:rsidP="00E105B1">
            <w:pPr>
              <w:pStyle w:val="BodyText"/>
              <w:rPr>
                <w:lang w:val="en-NZ"/>
              </w:rPr>
            </w:pPr>
            <w:r w:rsidRPr="00E105B1">
              <w:t>OHS risk control measures and procedures for carrying out the work are followed.</w:t>
            </w:r>
          </w:p>
        </w:tc>
      </w:tr>
      <w:tr w:rsidTr="00C917A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105B1">
            <w:pPr>
              <w:pStyle w:val="BodyText"/>
              <w:rPr>
                <w:lang w:val="en-NZ"/>
              </w:rPr>
            </w:pPr>
            <w:r w:rsidRPr="00E105B1">
              <w:t>2.2</w:t>
            </w:r>
          </w:p>
        </w:tc>
        <w:tc>
          <w:tcPr>
            <w:tcW w:w="4860" w:type="dxa"/>
            <w:tcBorders>
              <w:top w:val="nil"/>
              <w:left w:val="nil"/>
              <w:bottom w:val="nil"/>
              <w:right w:val="nil"/>
            </w:tcBorders>
            <w:tcMar>
              <w:top w:w="0" w:type="dxa"/>
              <w:left w:w="62" w:type="dxa"/>
              <w:bottom w:w="0" w:type="dxa"/>
              <w:right w:w="62" w:type="dxa"/>
            </w:tcMar>
          </w:tcPr>
          <w:p w:rsidR="00000000" w:rsidP="00E105B1">
            <w:pPr>
              <w:pStyle w:val="BodyText"/>
              <w:rPr>
                <w:lang w:val="en-NZ"/>
              </w:rPr>
            </w:pPr>
            <w:r w:rsidRPr="00E105B1">
              <w:t>The need to test or measure live is determined in strict accordance with OHS requirements and when necessary conducted within established safety procedures.</w:t>
            </w:r>
          </w:p>
        </w:tc>
      </w:tr>
      <w:tr w:rsidTr="00C917A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105B1">
            <w:pPr>
              <w:pStyle w:val="BodyText"/>
              <w:rPr>
                <w:lang w:val="en-NZ"/>
              </w:rPr>
            </w:pPr>
            <w:r w:rsidRPr="00E105B1">
              <w:t>2.3</w:t>
            </w:r>
          </w:p>
        </w:tc>
        <w:tc>
          <w:tcPr>
            <w:tcW w:w="4860" w:type="dxa"/>
            <w:tcBorders>
              <w:top w:val="nil"/>
              <w:left w:val="nil"/>
              <w:bottom w:val="nil"/>
              <w:right w:val="nil"/>
            </w:tcBorders>
            <w:tcMar>
              <w:top w:w="0" w:type="dxa"/>
              <w:left w:w="62" w:type="dxa"/>
              <w:bottom w:w="0" w:type="dxa"/>
              <w:right w:w="62" w:type="dxa"/>
            </w:tcMar>
          </w:tcPr>
          <w:p w:rsidR="00000000" w:rsidP="00E105B1">
            <w:pPr>
              <w:pStyle w:val="BodyText"/>
              <w:rPr>
                <w:lang w:val="en-NZ"/>
              </w:rPr>
            </w:pPr>
            <w:r w:rsidRPr="00E105B1">
              <w:t>Circuits/machines/plant are checked as being isolated where necessary in strict accordance OHS requirements and procedures</w:t>
            </w:r>
          </w:p>
        </w:tc>
      </w:tr>
      <w:tr w:rsidTr="00C917A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105B1">
            <w:pPr>
              <w:pStyle w:val="BodyText"/>
              <w:rPr>
                <w:lang w:val="en-NZ"/>
              </w:rPr>
            </w:pPr>
            <w:r w:rsidRPr="00E105B1">
              <w:t>2.4</w:t>
            </w:r>
          </w:p>
        </w:tc>
        <w:tc>
          <w:tcPr>
            <w:tcW w:w="4860" w:type="dxa"/>
            <w:tcBorders>
              <w:top w:val="nil"/>
              <w:left w:val="nil"/>
              <w:bottom w:val="nil"/>
              <w:right w:val="nil"/>
            </w:tcBorders>
            <w:tcMar>
              <w:top w:w="0" w:type="dxa"/>
              <w:left w:w="62" w:type="dxa"/>
              <w:bottom w:w="0" w:type="dxa"/>
              <w:right w:w="62" w:type="dxa"/>
            </w:tcMar>
          </w:tcPr>
          <w:p w:rsidR="00000000" w:rsidP="00E105B1">
            <w:pPr>
              <w:pStyle w:val="BodyText"/>
              <w:rPr>
                <w:lang w:val="en-NZ"/>
              </w:rPr>
            </w:pPr>
            <w:r w:rsidRPr="00E105B1">
              <w:t xml:space="preserve">Process control apparatus and associated equipment is installed to comply with technical standards and job specifications and </w:t>
            </w:r>
            <w:r w:rsidRPr="00E105B1">
              <w:t>requirements with sufficient access to affect terminations, adjustment and maintenance.</w:t>
            </w:r>
          </w:p>
        </w:tc>
      </w:tr>
      <w:tr w:rsidTr="00C917A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105B1">
            <w:pPr>
              <w:pStyle w:val="BodyText"/>
              <w:rPr>
                <w:lang w:val="en-NZ"/>
              </w:rPr>
            </w:pPr>
            <w:r w:rsidRPr="00E105B1">
              <w:t>2.5</w:t>
            </w:r>
          </w:p>
        </w:tc>
        <w:tc>
          <w:tcPr>
            <w:tcW w:w="4860" w:type="dxa"/>
            <w:tcBorders>
              <w:top w:val="nil"/>
              <w:left w:val="nil"/>
              <w:bottom w:val="nil"/>
              <w:right w:val="nil"/>
            </w:tcBorders>
            <w:tcMar>
              <w:top w:w="0" w:type="dxa"/>
              <w:left w:w="62" w:type="dxa"/>
              <w:bottom w:w="0" w:type="dxa"/>
              <w:right w:w="62" w:type="dxa"/>
            </w:tcMar>
          </w:tcPr>
          <w:p w:rsidR="00000000" w:rsidP="00E105B1">
            <w:pPr>
              <w:pStyle w:val="BodyText"/>
              <w:rPr>
                <w:lang w:val="en-NZ"/>
              </w:rPr>
            </w:pPr>
            <w:r w:rsidRPr="00E105B1">
              <w:t>Wiring and tubing is terminated at process control apparatus and associated equipment in accordance with manufacture's specifications and functional and regulato</w:t>
            </w:r>
            <w:r w:rsidRPr="00E105B1">
              <w:t xml:space="preserve">ry requirements. </w:t>
            </w:r>
          </w:p>
        </w:tc>
      </w:tr>
      <w:tr w:rsidTr="00C917A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105B1">
            <w:pPr>
              <w:pStyle w:val="BodyText"/>
              <w:rPr>
                <w:lang w:val="en-NZ"/>
              </w:rPr>
            </w:pPr>
            <w:r w:rsidRPr="00E105B1">
              <w:t>2.6</w:t>
            </w:r>
          </w:p>
        </w:tc>
        <w:tc>
          <w:tcPr>
            <w:tcW w:w="4860" w:type="dxa"/>
            <w:tcBorders>
              <w:top w:val="nil"/>
              <w:left w:val="nil"/>
              <w:bottom w:val="nil"/>
              <w:right w:val="nil"/>
            </w:tcBorders>
            <w:tcMar>
              <w:top w:w="0" w:type="dxa"/>
              <w:left w:w="62" w:type="dxa"/>
              <w:bottom w:w="0" w:type="dxa"/>
              <w:right w:w="62" w:type="dxa"/>
            </w:tcMar>
          </w:tcPr>
          <w:p w:rsidR="00000000" w:rsidP="00E105B1">
            <w:pPr>
              <w:pStyle w:val="BodyText"/>
              <w:rPr>
                <w:lang w:val="en-NZ"/>
              </w:rPr>
            </w:pPr>
            <w:r w:rsidRPr="00E105B1">
              <w:t>Established methods for dealing with unexpected situations are discussed with appropriate person or persons and documented.</w:t>
            </w:r>
          </w:p>
        </w:tc>
      </w:tr>
      <w:tr w:rsidTr="00C917A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105B1">
            <w:pPr>
              <w:pStyle w:val="BodyText"/>
              <w:rPr>
                <w:lang w:val="en-NZ"/>
              </w:rPr>
            </w:pPr>
            <w:r w:rsidRPr="00E105B1">
              <w:t>2.7</w:t>
            </w:r>
          </w:p>
        </w:tc>
        <w:tc>
          <w:tcPr>
            <w:tcW w:w="4860" w:type="dxa"/>
            <w:tcBorders>
              <w:top w:val="nil"/>
              <w:left w:val="nil"/>
              <w:bottom w:val="nil"/>
              <w:right w:val="nil"/>
            </w:tcBorders>
            <w:tcMar>
              <w:top w:w="0" w:type="dxa"/>
              <w:left w:w="62" w:type="dxa"/>
              <w:bottom w:w="0" w:type="dxa"/>
              <w:right w:w="62" w:type="dxa"/>
            </w:tcMar>
          </w:tcPr>
          <w:p w:rsidR="00000000" w:rsidP="00E105B1">
            <w:pPr>
              <w:pStyle w:val="BodyText"/>
              <w:rPr>
                <w:lang w:val="en-NZ"/>
              </w:rPr>
            </w:pPr>
            <w:r w:rsidRPr="00E105B1">
              <w:t>Unexpected situations are dealt with safely and with the approval of an authorised person.</w:t>
            </w:r>
          </w:p>
        </w:tc>
      </w:tr>
      <w:tr w:rsidTr="00C917A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105B1">
            <w:pPr>
              <w:pStyle w:val="BodyText"/>
              <w:rPr>
                <w:lang w:val="en-NZ"/>
              </w:rPr>
            </w:pPr>
            <w:r w:rsidRPr="00E105B1">
              <w:t>2.8</w:t>
            </w:r>
          </w:p>
        </w:tc>
        <w:tc>
          <w:tcPr>
            <w:tcW w:w="4860" w:type="dxa"/>
            <w:tcBorders>
              <w:top w:val="nil"/>
              <w:left w:val="nil"/>
              <w:bottom w:val="nil"/>
              <w:right w:val="nil"/>
            </w:tcBorders>
            <w:tcMar>
              <w:top w:w="0" w:type="dxa"/>
              <w:left w:w="62" w:type="dxa"/>
              <w:bottom w:w="0" w:type="dxa"/>
              <w:right w:w="62" w:type="dxa"/>
            </w:tcMar>
          </w:tcPr>
          <w:p w:rsidR="00000000" w:rsidP="00E105B1">
            <w:pPr>
              <w:pStyle w:val="BodyText"/>
              <w:rPr>
                <w:lang w:val="en-NZ"/>
              </w:rPr>
            </w:pPr>
            <w:r w:rsidRPr="00E105B1">
              <w:t>Ongoing checks of the quality of installed apparatus are undertaken in accordance with established procedures.</w:t>
            </w:r>
          </w:p>
        </w:tc>
      </w:tr>
      <w:tr w:rsidTr="00C917A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105B1">
            <w:pPr>
              <w:pStyle w:val="BodyText"/>
              <w:rPr>
                <w:lang w:val="en-NZ"/>
              </w:rPr>
            </w:pPr>
            <w:r w:rsidRPr="00E105B1">
              <w:t>2.9</w:t>
            </w:r>
          </w:p>
        </w:tc>
        <w:tc>
          <w:tcPr>
            <w:tcW w:w="4860" w:type="dxa"/>
            <w:tcBorders>
              <w:top w:val="nil"/>
              <w:left w:val="nil"/>
              <w:bottom w:val="nil"/>
              <w:right w:val="nil"/>
            </w:tcBorders>
            <w:tcMar>
              <w:top w:w="0" w:type="dxa"/>
              <w:left w:w="62" w:type="dxa"/>
              <w:bottom w:w="0" w:type="dxa"/>
              <w:right w:w="62" w:type="dxa"/>
            </w:tcMar>
          </w:tcPr>
          <w:p w:rsidR="00000000" w:rsidP="00E105B1">
            <w:pPr>
              <w:pStyle w:val="BodyText"/>
              <w:rPr>
                <w:lang w:val="en-NZ"/>
              </w:rPr>
            </w:pPr>
            <w:r w:rsidRPr="00E105B1">
              <w:t>Apparatus installation is carried out efficiently without waste of materials or damage to apparatus, circuits, the surrounding environment</w:t>
            </w:r>
            <w:r w:rsidRPr="00E105B1">
              <w:t xml:space="preserve"> or services and using sustainable energy principles.</w:t>
            </w:r>
          </w:p>
        </w:tc>
      </w:tr>
      <w:tr w:rsidTr="00C917A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105B1">
            <w:pPr>
              <w:pStyle w:val="BodyText"/>
              <w:rPr>
                <w:lang w:val="en-NZ"/>
              </w:rPr>
            </w:pPr>
            <w:r w:rsidRPr="00E105B1">
              <w:t>3</w:t>
            </w:r>
          </w:p>
        </w:tc>
        <w:tc>
          <w:tcPr>
            <w:tcW w:w="2296" w:type="dxa"/>
            <w:vMerge w:val="restart"/>
            <w:tcBorders>
              <w:top w:val="nil"/>
              <w:left w:val="nil"/>
              <w:bottom w:val="nil"/>
              <w:right w:val="nil"/>
            </w:tcBorders>
            <w:tcMar>
              <w:top w:w="0" w:type="dxa"/>
              <w:left w:w="62" w:type="dxa"/>
              <w:bottom w:w="0" w:type="dxa"/>
              <w:right w:w="62" w:type="dxa"/>
            </w:tcMar>
          </w:tcPr>
          <w:p w:rsidR="00000000" w:rsidP="00E105B1">
            <w:pPr>
              <w:pStyle w:val="BodyText"/>
              <w:rPr>
                <w:lang w:val="en-NZ"/>
              </w:rPr>
            </w:pPr>
            <w:r w:rsidRPr="00E105B1">
              <w:t>Completion and report installation activities</w:t>
            </w:r>
          </w:p>
        </w:tc>
        <w:tc>
          <w:tcPr>
            <w:tcW w:w="900" w:type="dxa"/>
            <w:tcBorders>
              <w:top w:val="nil"/>
              <w:left w:val="nil"/>
              <w:bottom w:val="nil"/>
              <w:right w:val="nil"/>
            </w:tcBorders>
            <w:tcMar>
              <w:top w:w="0" w:type="dxa"/>
              <w:left w:w="62" w:type="dxa"/>
              <w:bottom w:w="0" w:type="dxa"/>
              <w:right w:w="62" w:type="dxa"/>
            </w:tcMar>
          </w:tcPr>
          <w:p w:rsidR="00000000" w:rsidP="00E105B1">
            <w:pPr>
              <w:pStyle w:val="BodyText"/>
              <w:rPr>
                <w:lang w:val="en-NZ"/>
              </w:rPr>
            </w:pPr>
            <w:r w:rsidRPr="00E105B1">
              <w:t>3.1</w:t>
            </w:r>
          </w:p>
        </w:tc>
        <w:tc>
          <w:tcPr>
            <w:tcW w:w="4860" w:type="dxa"/>
            <w:tcBorders>
              <w:top w:val="nil"/>
              <w:left w:val="nil"/>
              <w:bottom w:val="nil"/>
              <w:right w:val="nil"/>
            </w:tcBorders>
            <w:tcMar>
              <w:top w:w="0" w:type="dxa"/>
              <w:left w:w="62" w:type="dxa"/>
              <w:bottom w:w="0" w:type="dxa"/>
              <w:right w:w="62" w:type="dxa"/>
            </w:tcMar>
          </w:tcPr>
          <w:p w:rsidR="00000000" w:rsidP="00E105B1">
            <w:pPr>
              <w:pStyle w:val="BodyText"/>
              <w:rPr>
                <w:lang w:val="en-NZ"/>
              </w:rPr>
            </w:pPr>
            <w:r w:rsidRPr="00E105B1">
              <w:t>OHS work completion risk control measures and procedures are followed.</w:t>
            </w:r>
          </w:p>
        </w:tc>
      </w:tr>
      <w:tr w:rsidTr="00C917A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105B1">
            <w:pPr>
              <w:pStyle w:val="BodyText"/>
              <w:rPr>
                <w:lang w:val="en-NZ"/>
              </w:rPr>
            </w:pPr>
            <w:r w:rsidRPr="00E105B1">
              <w:t>3.2</w:t>
            </w:r>
          </w:p>
        </w:tc>
        <w:tc>
          <w:tcPr>
            <w:tcW w:w="4860" w:type="dxa"/>
            <w:tcBorders>
              <w:top w:val="nil"/>
              <w:left w:val="nil"/>
              <w:bottom w:val="nil"/>
              <w:right w:val="nil"/>
            </w:tcBorders>
            <w:tcMar>
              <w:top w:w="0" w:type="dxa"/>
              <w:left w:w="62" w:type="dxa"/>
              <w:bottom w:w="0" w:type="dxa"/>
              <w:right w:w="62" w:type="dxa"/>
            </w:tcMar>
          </w:tcPr>
          <w:p w:rsidR="00000000" w:rsidP="00E105B1">
            <w:pPr>
              <w:pStyle w:val="BodyText"/>
              <w:rPr>
                <w:lang w:val="en-NZ"/>
              </w:rPr>
            </w:pPr>
            <w:r w:rsidRPr="00E105B1">
              <w:t>Work site is cleaned and made safe in accord</w:t>
            </w:r>
            <w:r w:rsidRPr="00E105B1">
              <w:t>ance with established procedures.</w:t>
            </w:r>
          </w:p>
        </w:tc>
      </w:tr>
      <w:tr w:rsidTr="00C917A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105B1">
            <w:pPr>
              <w:pStyle w:val="BodyText"/>
              <w:rPr>
                <w:lang w:val="en-NZ"/>
              </w:rPr>
            </w:pPr>
            <w:r w:rsidRPr="00E105B1">
              <w:t>3.3</w:t>
            </w:r>
          </w:p>
        </w:tc>
        <w:tc>
          <w:tcPr>
            <w:tcW w:w="4860" w:type="dxa"/>
            <w:tcBorders>
              <w:top w:val="nil"/>
              <w:left w:val="nil"/>
              <w:bottom w:val="nil"/>
              <w:right w:val="nil"/>
            </w:tcBorders>
            <w:tcMar>
              <w:top w:w="0" w:type="dxa"/>
              <w:left w:w="62" w:type="dxa"/>
              <w:bottom w:w="0" w:type="dxa"/>
              <w:right w:w="62" w:type="dxa"/>
            </w:tcMar>
          </w:tcPr>
          <w:p w:rsidR="00000000" w:rsidP="00E105B1">
            <w:pPr>
              <w:pStyle w:val="BodyText"/>
              <w:rPr>
                <w:lang w:val="en-NZ"/>
              </w:rPr>
            </w:pPr>
            <w:r w:rsidRPr="00E105B1">
              <w:t>Final checks are made to that the installed apparatus conforms to requirements.</w:t>
            </w:r>
          </w:p>
        </w:tc>
      </w:tr>
      <w:tr w:rsidTr="00C917A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105B1">
            <w:pPr>
              <w:pStyle w:val="BodyText"/>
              <w:rPr>
                <w:lang w:val="en-NZ"/>
              </w:rPr>
            </w:pPr>
            <w:r w:rsidRPr="00E105B1">
              <w:t>3.4</w:t>
            </w:r>
          </w:p>
        </w:tc>
        <w:tc>
          <w:tcPr>
            <w:tcW w:w="4860" w:type="dxa"/>
            <w:tcBorders>
              <w:top w:val="nil"/>
              <w:left w:val="nil"/>
              <w:bottom w:val="nil"/>
              <w:right w:val="nil"/>
            </w:tcBorders>
            <w:tcMar>
              <w:top w:w="0" w:type="dxa"/>
              <w:left w:w="62" w:type="dxa"/>
              <w:bottom w:w="0" w:type="dxa"/>
              <w:right w:w="62" w:type="dxa"/>
            </w:tcMar>
          </w:tcPr>
          <w:p w:rsidR="00000000" w:rsidRPr="00E105B1" w:rsidP="00E105B1">
            <w:pPr>
              <w:pStyle w:val="BodyText"/>
            </w:pPr>
            <w:r w:rsidRPr="00E105B1">
              <w:t>'As-installed' apparatus and associated equipment is documented and appropriate person(s) notified in accordance with established procedures</w:t>
            </w:r>
          </w:p>
        </w:tc>
      </w:tr>
    </w:tbl>
    <w:p w:rsidR="00C917A2" w:rsidP="00E105B1">
      <w:pPr>
        <w:pStyle w:val="BodyText"/>
      </w:pPr>
    </w:p>
    <w:p w:rsidR="00C917A2" w:rsidP="00E105B1">
      <w:pPr>
        <w:pStyle w:val="BodyText"/>
      </w:pPr>
    </w:p>
    <w:p w:rsidR="00000000" w:rsidRPr="00E105B1" w:rsidP="00E105B1">
      <w:pPr>
        <w:pStyle w:val="Heading1"/>
      </w:pPr>
      <w:bookmarkStart w:id="9" w:name="O_263287"/>
      <w:bookmarkEnd w:id="9"/>
      <w:r w:rsidRPr="00E105B1">
        <w:t>Required Skills and Knowledge</w:t>
      </w:r>
    </w:p>
    <w:tbl>
      <w:tblPr>
        <w:tblW w:w="0" w:type="auto"/>
        <w:tblLayout w:type="fixed"/>
        <w:tblCellMar>
          <w:left w:w="62" w:type="dxa"/>
          <w:right w:w="62" w:type="dxa"/>
        </w:tblCellMar>
        <w:tblLook w:val="0000"/>
      </w:tblPr>
      <w:tblGrid>
        <w:gridCol w:w="2700"/>
        <w:gridCol w:w="1080"/>
        <w:gridCol w:w="4680"/>
      </w:tblGrid>
      <w:tr w:rsidTr="00C917A2">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E105B1">
            <w:pPr>
              <w:pStyle w:val="BodyText"/>
              <w:rPr>
                <w:lang w:val="en-NZ"/>
              </w:rPr>
            </w:pPr>
            <w:r w:rsidRPr="00E105B1">
              <w:rPr>
                <w:rStyle w:val="SpecialBold"/>
              </w:rPr>
              <w:t>REQUIRED SKILLS AND KNOWLEDGE</w:t>
            </w:r>
          </w:p>
        </w:tc>
      </w:tr>
      <w:tr w:rsidTr="00C917A2">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E105B1">
            <w:pPr>
              <w:pStyle w:val="BodyText"/>
              <w:rPr>
                <w:lang w:val="en-NZ"/>
              </w:rPr>
            </w:pPr>
            <w:r w:rsidRPr="00E105B1">
              <w:rPr>
                <w:rStyle w:val="SpecialBold"/>
              </w:rPr>
              <w:t>7</w:t>
            </w:r>
            <w:r w:rsidRPr="00E105B1">
              <w:t xml:space="preserve">) This describes the essential </w:t>
            </w:r>
            <w:r w:rsidRPr="00E105B1">
              <w:t>skills and knowledge and their level, required for this unit.</w:t>
            </w:r>
          </w:p>
        </w:tc>
      </w:tr>
      <w:tr w:rsidTr="00C917A2">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E105B1" w:rsidP="00E105B1">
            <w:pPr>
              <w:pStyle w:val="BodyText"/>
            </w:pPr>
            <w:r w:rsidRPr="00E105B1">
              <w:t xml:space="preserve">Evidence shall show that knowledge has been acquired of safe working practices and installing process control apparatus and associated equipment. </w:t>
            </w:r>
          </w:p>
          <w:p w:rsidR="00000000" w:rsidRPr="00E105B1" w:rsidP="00E105B1">
            <w:pPr>
              <w:pStyle w:val="BodyText"/>
            </w:pPr>
            <w:r w:rsidRPr="00E105B1">
              <w:t>All knowledge and skills detailed in this unit should be contextualised to current industry practices and technologies.</w:t>
            </w:r>
          </w:p>
          <w:p w:rsidR="00000000" w:rsidP="00E105B1">
            <w:pPr>
              <w:pStyle w:val="BodyText"/>
              <w:rPr>
                <w:lang w:val="en-NZ"/>
              </w:rPr>
            </w:pPr>
            <w:r w:rsidRPr="00E105B1">
              <w:t xml:space="preserve">The extent of the essential knowledge and associated skills (EKAS) required is given in Volume 2 - Part 2.2 EKAS.  It forms an integral </w:t>
            </w:r>
            <w:r w:rsidRPr="00E105B1">
              <w:t>part of this unit.</w:t>
            </w:r>
          </w:p>
        </w:tc>
      </w:tr>
      <w:tr w:rsidTr="00C917A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E105B1">
            <w:pPr>
              <w:pStyle w:val="BodyText"/>
              <w:rPr>
                <w:lang w:val="en-NZ"/>
              </w:rPr>
            </w:pPr>
            <w:r w:rsidRPr="00E105B1">
              <w:t>2.1.8</w:t>
            </w:r>
          </w:p>
        </w:tc>
        <w:tc>
          <w:tcPr>
            <w:tcW w:w="4680" w:type="dxa"/>
            <w:tcBorders>
              <w:top w:val="nil"/>
              <w:left w:val="nil"/>
              <w:bottom w:val="nil"/>
              <w:right w:val="nil"/>
            </w:tcBorders>
            <w:tcMar>
              <w:top w:w="0" w:type="dxa"/>
              <w:left w:w="62" w:type="dxa"/>
              <w:bottom w:w="0" w:type="dxa"/>
              <w:right w:w="62" w:type="dxa"/>
            </w:tcMar>
          </w:tcPr>
          <w:p w:rsidR="00000000" w:rsidP="00E105B1">
            <w:pPr>
              <w:pStyle w:val="BodyText"/>
              <w:rPr>
                <w:lang w:val="en-NZ"/>
              </w:rPr>
            </w:pPr>
            <w:r w:rsidRPr="00E105B1">
              <w:t>Electronic cable and conductor terminations</w:t>
            </w:r>
          </w:p>
        </w:tc>
      </w:tr>
      <w:tr w:rsidTr="00C917A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E105B1">
            <w:pPr>
              <w:pStyle w:val="BodyText"/>
              <w:rPr>
                <w:lang w:val="en-NZ"/>
              </w:rPr>
            </w:pPr>
            <w:r w:rsidRPr="00E105B1">
              <w:t>2.12.20</w:t>
            </w:r>
          </w:p>
        </w:tc>
        <w:tc>
          <w:tcPr>
            <w:tcW w:w="4680" w:type="dxa"/>
            <w:tcBorders>
              <w:top w:val="nil"/>
              <w:left w:val="nil"/>
              <w:bottom w:val="nil"/>
              <w:right w:val="nil"/>
            </w:tcBorders>
            <w:tcMar>
              <w:top w:w="0" w:type="dxa"/>
              <w:left w:w="62" w:type="dxa"/>
              <w:bottom w:w="0" w:type="dxa"/>
              <w:right w:w="62" w:type="dxa"/>
            </w:tcMar>
          </w:tcPr>
          <w:p w:rsidR="00000000" w:rsidRPr="00E105B1" w:rsidP="00E105B1">
            <w:pPr>
              <w:pStyle w:val="BodyText"/>
            </w:pPr>
            <w:r w:rsidRPr="00E105B1">
              <w:t>Process equipment installation requirements and techniques</w:t>
            </w:r>
          </w:p>
        </w:tc>
      </w:tr>
    </w:tbl>
    <w:p w:rsidR="00C917A2" w:rsidP="00E105B1">
      <w:pPr>
        <w:pStyle w:val="BodyText"/>
      </w:pPr>
    </w:p>
    <w:p w:rsidR="00C917A2" w:rsidP="00E105B1">
      <w:pPr>
        <w:pStyle w:val="BodyText"/>
      </w:pPr>
    </w:p>
    <w:p w:rsidR="00000000" w:rsidRPr="00E105B1" w:rsidP="00E105B1">
      <w:pPr>
        <w:pStyle w:val="Heading1"/>
      </w:pPr>
      <w:bookmarkStart w:id="10" w:name="O_247480"/>
      <w:bookmarkEnd w:id="10"/>
      <w:r w:rsidRPr="00E105B1">
        <w:t>Evidence Guide</w:t>
      </w:r>
    </w:p>
    <w:tbl>
      <w:tblPr>
        <w:tblW w:w="0" w:type="auto"/>
        <w:tblLayout w:type="fixed"/>
        <w:tblCellMar>
          <w:left w:w="62" w:type="dxa"/>
          <w:right w:w="62" w:type="dxa"/>
        </w:tblCellMar>
        <w:tblLook w:val="0000"/>
      </w:tblPr>
      <w:tblGrid>
        <w:gridCol w:w="2160"/>
        <w:gridCol w:w="720"/>
        <w:gridCol w:w="540"/>
        <w:gridCol w:w="540"/>
        <w:gridCol w:w="4500"/>
      </w:tblGrid>
      <w:tr w:rsidTr="00C917A2">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E105B1">
            <w:pPr>
              <w:pStyle w:val="BodyText"/>
              <w:rPr>
                <w:lang w:val="en-NZ"/>
              </w:rPr>
            </w:pPr>
            <w:r w:rsidRPr="00E105B1">
              <w:rPr>
                <w:rStyle w:val="SpecialBold"/>
              </w:rPr>
              <w:t>EVIDENCE GUIDE</w:t>
            </w:r>
          </w:p>
        </w:tc>
      </w:tr>
      <w:tr w:rsidTr="00C917A2">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E105B1" w:rsidP="00E105B1">
            <w:pPr>
              <w:pStyle w:val="BodyText"/>
            </w:pPr>
            <w:r w:rsidRPr="00E105B1">
              <w:rPr>
                <w:rStyle w:val="SpecialBold"/>
              </w:rPr>
              <w:t>9</w:t>
            </w:r>
            <w:r w:rsidRPr="00E105B1">
              <w:t>) The evidence guide provides advice on assessment and must be read in conjunction with the Performance Criteria, Required Skills and Knowledge, the Range Statement and the Assessment Guidelines for this Training Package.</w:t>
            </w:r>
          </w:p>
          <w:p w:rsidR="00000000" w:rsidP="00E105B1">
            <w:pPr>
              <w:pStyle w:val="BodyText"/>
              <w:rPr>
                <w:lang w:val="en-NZ"/>
              </w:rPr>
            </w:pPr>
            <w:r w:rsidRPr="00E105B1">
              <w:t>The Evidence Guide forms an integr</w:t>
            </w:r>
            <w:r w:rsidRPr="00E105B1">
              <w:t>al part of this unit. It must be used in conjunction with all parts of the unit and performed in accordance with the Assessment Guidelines of this Training Package.</w:t>
            </w:r>
          </w:p>
        </w:tc>
      </w:tr>
      <w:tr w:rsidTr="00C917A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E105B1" w:rsidP="00E105B1">
            <w:pPr>
              <w:pStyle w:val="BodyText"/>
            </w:pPr>
            <w:r w:rsidRPr="00E105B1">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E105B1" w:rsidP="00E105B1">
            <w:pPr>
              <w:pStyle w:val="BodyText"/>
            </w:pPr>
            <w:r w:rsidRPr="00E105B1">
              <w:rPr>
                <w:rStyle w:val="SpecialBold"/>
              </w:rPr>
              <w:t>9</w:t>
            </w:r>
            <w:r w:rsidRPr="00E105B1">
              <w:t>.</w:t>
            </w:r>
            <w:r w:rsidRPr="00E105B1">
              <w:rPr>
                <w:rStyle w:val="SpecialBold"/>
              </w:rPr>
              <w:t>1</w:t>
            </w:r>
            <w:r w:rsidRPr="00E105B1">
              <w:t>)</w:t>
            </w:r>
          </w:p>
          <w:p w:rsidR="00000000" w:rsidRPr="00E105B1" w:rsidP="00E105B1">
            <w:pPr>
              <w:pStyle w:val="BodyText"/>
            </w:pPr>
            <w:r w:rsidRPr="00E105B1">
              <w:t>Longitudinal competency development approaches to asse</w:t>
            </w:r>
            <w:r w:rsidRPr="00E105B1">
              <w:t xml:space="preserve">ssment, such as Profiling, require data to be reliably gathered in a form that can be consistently interpreted over time. This approach is best utilised in Apprenticeship programs and reduces assessment intervention. It is the industry-preferred model for </w:t>
            </w:r>
            <w:r w:rsidRPr="00E105B1">
              <w:t xml:space="preserve">apprenticeships. However, where summative (or final) assessment is used it is to include the application of the competency in the normal work environment or, at a minimum, the application of the competency in a realistically simulated work environment. In </w:t>
            </w:r>
            <w:r w:rsidRPr="00E105B1">
              <w:t>some circumstances, assessment in part or full can occur outside the workplace. However, it must be in accordance with industry and regulatory policy.</w:t>
            </w:r>
          </w:p>
          <w:p w:rsidR="00000000" w:rsidRPr="00E105B1" w:rsidP="00E105B1">
            <w:pPr>
              <w:pStyle w:val="BodyText"/>
            </w:pPr>
            <w:r w:rsidRPr="00E105B1">
              <w:t>Methods chosen for a particular assessment will be influenced by various factors. These include the exten</w:t>
            </w:r>
            <w:r w:rsidRPr="00E105B1">
              <w:t>t of the assessment, the most effective locations for the assessment activities to take place, access to physical resources, additional safety measures that may be required and the critical nature of the competencies being assessed.</w:t>
            </w:r>
          </w:p>
          <w:p w:rsidR="00000000" w:rsidRPr="00E105B1" w:rsidP="00E105B1">
            <w:pPr>
              <w:pStyle w:val="BodyText"/>
            </w:pPr>
            <w:r w:rsidRPr="00E105B1">
              <w:t>The critical safety nat</w:t>
            </w:r>
            <w:r w:rsidRPr="00E105B1">
              <w:t>ure of working with electricity, electrical equipment, gas or any other hazardous substance/material carries risk in deeming a person competent. Sources of evidence need to be 'rich' in nature to minimise error in judgment.</w:t>
            </w:r>
          </w:p>
          <w:p w:rsidR="00000000" w:rsidP="00E105B1">
            <w:pPr>
              <w:pStyle w:val="BodyText"/>
              <w:rPr>
                <w:lang w:val="en-NZ"/>
              </w:rPr>
            </w:pPr>
            <w:r w:rsidRPr="00E105B1">
              <w:t>Activities associated with norma</w:t>
            </w:r>
            <w:r w:rsidRPr="00E105B1">
              <w:t>l everyday work influence how/how much the data gathered will contribute to its 'richness'. Some skills are more critical to safety and operational requirements while the same skills may be more or less frequently practised. These points are raised for the</w:t>
            </w:r>
            <w:r w:rsidRPr="00E105B1">
              <w:t xml:space="preserve"> assessors to consider when choosing an assessment method and developing assessment instruments. Sample assessment instruments are included for Assessors in the Assessment Guidelines of this Training Package.</w:t>
            </w:r>
          </w:p>
        </w:tc>
      </w:tr>
      <w:tr w:rsidTr="00C917A2">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E105B1" w:rsidP="00E105B1">
            <w:pPr>
              <w:pStyle w:val="BodyText"/>
            </w:pPr>
            <w:r w:rsidRPr="00E105B1">
              <w:rPr>
                <w:rStyle w:val="SpecialBold"/>
              </w:rPr>
              <w:t>Critical aspects of evidence required to de</w:t>
            </w:r>
            <w:r w:rsidRPr="00E105B1">
              <w:rPr>
                <w:rStyle w:val="SpecialBold"/>
              </w:rPr>
              <w:t>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E105B1" w:rsidP="00E105B1">
            <w:pPr>
              <w:pStyle w:val="BodyText"/>
            </w:pPr>
            <w:r w:rsidRPr="00E105B1">
              <w:rPr>
                <w:rStyle w:val="SpecialBold"/>
              </w:rPr>
              <w:t>9</w:t>
            </w:r>
            <w:r w:rsidRPr="00E105B1">
              <w:t>.</w:t>
            </w:r>
            <w:r w:rsidRPr="00E105B1">
              <w:rPr>
                <w:rStyle w:val="SpecialBold"/>
              </w:rPr>
              <w:t>2</w:t>
            </w:r>
            <w:r w:rsidRPr="00E105B1">
              <w:t>)</w:t>
            </w:r>
          </w:p>
          <w:p w:rsidR="00000000" w:rsidP="00E105B1">
            <w:pPr>
              <w:pStyle w:val="BodyText"/>
              <w:rPr>
                <w:lang w:val="en-NZ"/>
              </w:rPr>
            </w:pPr>
            <w:r w:rsidRPr="00E105B1">
              <w:t>Before the critical aspects of evidence are considered all prerequisites must be met.</w:t>
            </w:r>
          </w:p>
        </w:tc>
      </w:tr>
      <w:tr w:rsidTr="00C917A2">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E105B1" w:rsidP="00E105B1">
            <w:pPr>
              <w:pStyle w:val="BodyText"/>
            </w:pPr>
            <w:r w:rsidRPr="00E105B1">
              <w:t>Evidence for competence in this unit shall be considered holistically.  Each Element and associated performance criteria must be demonstrated on at least two occasions in accordance with the 'Assessment Guidelines - UEE07'.  Evidence shall also comprise:</w:t>
            </w:r>
          </w:p>
          <w:p w:rsidR="00000000" w:rsidP="00E105B1">
            <w:pPr>
              <w:pStyle w:val="ListBullet"/>
              <w:rPr>
                <w:lang w:val="en-NZ"/>
              </w:rPr>
            </w:pPr>
            <w:r w:rsidRPr="00E105B1">
              <w:t>A representative body of work performance demonstrated within the timeframes typically expected of the discipline, work function and industrial environment. In particular this shall incorporate evidence that shows a candidate is able to:</w:t>
            </w:r>
          </w:p>
        </w:tc>
      </w:tr>
      <w:tr w:rsidTr="00C917A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E105B1">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E105B1" w:rsidP="00E105B1">
            <w:pPr>
              <w:pStyle w:val="ListBullet2"/>
            </w:pPr>
            <w:r w:rsidRPr="00E105B1">
              <w:t>Implement Occupational Health and Safety workplace procedures and practices, including the use of risk control measures as specified in the performance criteria and range statement</w:t>
            </w:r>
          </w:p>
          <w:p w:rsidR="00000000" w:rsidRPr="00E105B1" w:rsidP="00E105B1">
            <w:pPr>
              <w:pStyle w:val="ListBullet2"/>
            </w:pPr>
            <w:r w:rsidRPr="00E105B1">
              <w:t>Apply sustainable energy principles and practices as specified in the perfo</w:t>
            </w:r>
            <w:r w:rsidRPr="00E105B1">
              <w:t>rmance criteria and range statement</w:t>
            </w:r>
          </w:p>
          <w:p w:rsidR="00000000" w:rsidRPr="00E105B1" w:rsidP="00E105B1">
            <w:pPr>
              <w:pStyle w:val="ListBullet2"/>
            </w:pPr>
            <w:r w:rsidRPr="00E105B1">
              <w:t>Demonstrate an understanding of the essential knowledge and associated skills as described in this unit.  It may be required by some jurisdictions that RTOs provide a percentile graded result for the purpose of regulator</w:t>
            </w:r>
            <w:r w:rsidRPr="00E105B1">
              <w:t>y or licensing requirements.</w:t>
            </w:r>
          </w:p>
          <w:p w:rsidR="00000000" w:rsidRPr="00E105B1" w:rsidP="00E105B1">
            <w:pPr>
              <w:pStyle w:val="ListBullet2"/>
            </w:pPr>
            <w:r w:rsidRPr="00E105B1">
              <w:t>Demonstrate an appropriate level of skills enabling employment</w:t>
            </w:r>
          </w:p>
          <w:p w:rsidR="00000000" w:rsidP="00E105B1">
            <w:pPr>
              <w:pStyle w:val="ListBullet2"/>
              <w:rPr>
                <w:lang w:val="en-NZ"/>
              </w:rPr>
            </w:pPr>
            <w:r w:rsidRPr="00E105B1">
              <w:t>Conduct work observing the relevant Anti Discrimination legislation, regulations, polices and workplace procedures</w:t>
            </w:r>
          </w:p>
        </w:tc>
      </w:tr>
      <w:tr w:rsidTr="00C917A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E105B1">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E105B1">
            <w:pPr>
              <w:pStyle w:val="ListBullet"/>
              <w:rPr>
                <w:lang w:val="en-NZ"/>
              </w:rPr>
            </w:pPr>
            <w:r w:rsidRPr="00E105B1">
              <w:t>Demonstrated consistent performance across a representative range of contexts from the prescribed items below:</w:t>
            </w:r>
          </w:p>
        </w:tc>
      </w:tr>
      <w:tr w:rsidTr="00C917A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E105B1">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E105B1">
            <w:pPr>
              <w:pStyle w:val="ListBullet2"/>
              <w:rPr>
                <w:lang w:val="en-NZ"/>
              </w:rPr>
            </w:pPr>
            <w:r w:rsidRPr="00E105B1">
              <w:t>Install process control apparatus and associated equipment as listed as described in 8) and including:</w:t>
            </w:r>
          </w:p>
        </w:tc>
      </w:tr>
      <w:tr w:rsidTr="00C917A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105B1">
            <w:pPr>
              <w:pStyle w:val="BodyText"/>
              <w:rPr>
                <w:lang w:val="en-NZ"/>
              </w:rPr>
            </w:pPr>
            <w:r w:rsidRPr="00E105B1">
              <w:t>A</w:t>
            </w:r>
          </w:p>
        </w:tc>
        <w:tc>
          <w:tcPr>
            <w:tcW w:w="5040" w:type="dxa"/>
            <w:gridSpan w:val="2"/>
            <w:tcBorders>
              <w:top w:val="nil"/>
              <w:left w:val="nil"/>
              <w:bottom w:val="nil"/>
              <w:right w:val="nil"/>
            </w:tcBorders>
            <w:tcMar>
              <w:top w:w="0" w:type="dxa"/>
              <w:left w:w="62" w:type="dxa"/>
              <w:bottom w:w="0" w:type="dxa"/>
              <w:right w:w="62" w:type="dxa"/>
            </w:tcMar>
          </w:tcPr>
          <w:p w:rsidR="00000000" w:rsidP="00E105B1">
            <w:pPr>
              <w:pStyle w:val="BodyText"/>
              <w:rPr>
                <w:lang w:val="en-NZ"/>
              </w:rPr>
            </w:pPr>
            <w:r w:rsidRPr="00E105B1">
              <w:t>Reading and interpreting drawings related to and apparatus locations and tubing electrical circuit connections.</w:t>
            </w:r>
          </w:p>
        </w:tc>
      </w:tr>
      <w:tr w:rsidTr="00C917A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105B1">
            <w:pPr>
              <w:pStyle w:val="BodyText"/>
              <w:rPr>
                <w:lang w:val="en-NZ"/>
              </w:rPr>
            </w:pPr>
            <w:r w:rsidRPr="00E105B1">
              <w:t>B</w:t>
            </w:r>
          </w:p>
        </w:tc>
        <w:tc>
          <w:tcPr>
            <w:tcW w:w="5040" w:type="dxa"/>
            <w:gridSpan w:val="2"/>
            <w:tcBorders>
              <w:top w:val="nil"/>
              <w:left w:val="nil"/>
              <w:bottom w:val="nil"/>
              <w:right w:val="nil"/>
            </w:tcBorders>
            <w:tcMar>
              <w:top w:w="0" w:type="dxa"/>
              <w:left w:w="62" w:type="dxa"/>
              <w:bottom w:w="0" w:type="dxa"/>
              <w:right w:w="62" w:type="dxa"/>
            </w:tcMar>
          </w:tcPr>
          <w:p w:rsidR="00000000" w:rsidP="00E105B1">
            <w:pPr>
              <w:pStyle w:val="BodyText"/>
              <w:rPr>
                <w:lang w:val="en-NZ"/>
              </w:rPr>
            </w:pPr>
            <w:r w:rsidRPr="00E105B1">
              <w:t xml:space="preserve">Placing and securing apparatus accurately </w:t>
            </w:r>
          </w:p>
        </w:tc>
      </w:tr>
      <w:tr w:rsidTr="00C917A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105B1">
            <w:pPr>
              <w:pStyle w:val="BodyText"/>
              <w:rPr>
                <w:lang w:val="en-NZ"/>
              </w:rPr>
            </w:pPr>
            <w:r w:rsidRPr="00E105B1">
              <w:t>C</w:t>
            </w:r>
          </w:p>
        </w:tc>
        <w:tc>
          <w:tcPr>
            <w:tcW w:w="5040" w:type="dxa"/>
            <w:gridSpan w:val="2"/>
            <w:tcBorders>
              <w:top w:val="nil"/>
              <w:left w:val="nil"/>
              <w:bottom w:val="nil"/>
              <w:right w:val="nil"/>
            </w:tcBorders>
            <w:tcMar>
              <w:top w:w="0" w:type="dxa"/>
              <w:left w:w="62" w:type="dxa"/>
              <w:bottom w:w="0" w:type="dxa"/>
              <w:right w:w="62" w:type="dxa"/>
            </w:tcMar>
          </w:tcPr>
          <w:p w:rsidR="00000000" w:rsidP="00E105B1">
            <w:pPr>
              <w:pStyle w:val="BodyText"/>
              <w:rPr>
                <w:lang w:val="en-NZ"/>
              </w:rPr>
            </w:pPr>
            <w:r w:rsidRPr="00E105B1">
              <w:t>Connecting apparatus and associated equipment to comply with requirements.</w:t>
            </w:r>
          </w:p>
        </w:tc>
      </w:tr>
      <w:tr w:rsidTr="00C917A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105B1">
            <w:pPr>
              <w:pStyle w:val="BodyText"/>
              <w:rPr>
                <w:lang w:val="en-NZ"/>
              </w:rPr>
            </w:pPr>
            <w:r w:rsidRPr="00E105B1">
              <w:t>D</w:t>
            </w:r>
          </w:p>
        </w:tc>
        <w:tc>
          <w:tcPr>
            <w:tcW w:w="5040" w:type="dxa"/>
            <w:gridSpan w:val="2"/>
            <w:tcBorders>
              <w:top w:val="nil"/>
              <w:left w:val="nil"/>
              <w:bottom w:val="nil"/>
              <w:right w:val="nil"/>
            </w:tcBorders>
            <w:tcMar>
              <w:top w:w="0" w:type="dxa"/>
              <w:left w:w="62" w:type="dxa"/>
              <w:bottom w:w="0" w:type="dxa"/>
              <w:right w:w="62" w:type="dxa"/>
            </w:tcMar>
          </w:tcPr>
          <w:p w:rsidR="00000000" w:rsidP="00E105B1">
            <w:pPr>
              <w:pStyle w:val="BodyText"/>
              <w:rPr>
                <w:lang w:val="en-NZ"/>
              </w:rPr>
            </w:pPr>
            <w:r w:rsidRPr="00E105B1">
              <w:t>Dealing with unplanned events by drawing on essential knowledge and skills to provide appropriate solutions incorporated in a holistic assessment with the above listed items</w:t>
            </w:r>
          </w:p>
        </w:tc>
      </w:tr>
      <w:tr w:rsidTr="00C917A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E105B1" w:rsidP="00E105B1">
            <w:pPr>
              <w:pStyle w:val="BodyText"/>
            </w:pPr>
            <w:r w:rsidRPr="00E105B1">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E105B1" w:rsidP="00E105B1">
            <w:pPr>
              <w:pStyle w:val="BodyText"/>
            </w:pPr>
            <w:r w:rsidRPr="00E105B1">
              <w:rPr>
                <w:rStyle w:val="SpecialBold"/>
              </w:rPr>
              <w:t>9</w:t>
            </w:r>
            <w:r w:rsidRPr="00E105B1">
              <w:t>.</w:t>
            </w:r>
            <w:r w:rsidRPr="00E105B1">
              <w:rPr>
                <w:rStyle w:val="SpecialBold"/>
              </w:rPr>
              <w:t>3</w:t>
            </w:r>
            <w:r w:rsidRPr="00E105B1">
              <w:t xml:space="preserve">) </w:t>
            </w:r>
          </w:p>
          <w:p w:rsidR="00000000" w:rsidRPr="00E105B1" w:rsidP="00E105B1">
            <w:pPr>
              <w:pStyle w:val="BodyText"/>
            </w:pPr>
            <w:r w:rsidRPr="00E105B1">
              <w:t>This unit must be assesse</w:t>
            </w:r>
            <w:r w:rsidRPr="00E105B1">
              <w:t>d as it relates to normal work practice using procedures, information and resources typical of a workplace. This should include:</w:t>
            </w:r>
          </w:p>
          <w:p w:rsidR="00000000" w:rsidRPr="00E105B1" w:rsidP="00E105B1">
            <w:pPr>
              <w:pStyle w:val="ListBullet"/>
            </w:pPr>
            <w:r w:rsidRPr="00E105B1">
              <w:t>OHS policy and work procedures and instructions.</w:t>
            </w:r>
          </w:p>
          <w:p w:rsidR="00000000" w:rsidRPr="00E105B1" w:rsidP="00E105B1">
            <w:pPr>
              <w:pStyle w:val="ListBullet"/>
            </w:pPr>
            <w:r w:rsidRPr="00E105B1">
              <w:t>Suitable work environment, facilities, equipment and materials to undertake actual work as prescribed by this unit.</w:t>
            </w:r>
          </w:p>
          <w:p w:rsidR="00000000" w:rsidRPr="00E105B1" w:rsidP="00E105B1">
            <w:pPr>
              <w:pStyle w:val="BodyText"/>
            </w:pPr>
            <w:r w:rsidRPr="00E105B1">
              <w:t>These should be part of the formal learning/assessment environment.</w:t>
            </w:r>
          </w:p>
          <w:p w:rsidR="00000000" w:rsidRPr="00E105B1" w:rsidP="00E105B1">
            <w:pPr>
              <w:pStyle w:val="BodyText"/>
            </w:pPr>
            <w:r w:rsidRPr="00E105B1">
              <w:t>Note:</w:t>
            </w:r>
          </w:p>
          <w:p w:rsidR="00000000" w:rsidP="00E105B1">
            <w:pPr>
              <w:pStyle w:val="BodyText"/>
              <w:rPr>
                <w:lang w:val="en-NZ"/>
              </w:rPr>
            </w:pPr>
            <w:r w:rsidRPr="00E105B1">
              <w:t>Where simulation is considered a suitable strategy for assessment,</w:t>
            </w:r>
            <w:r w:rsidRPr="00E105B1">
              <w:t xml:space="preserve"> the conditions must be authentic and as far as possible reproduce and replicate the workplace and be consistent with the approved industry simulation policy.</w:t>
            </w:r>
          </w:p>
        </w:tc>
      </w:tr>
      <w:tr w:rsidTr="00C917A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E105B1">
            <w:pPr>
              <w:pStyle w:val="BodyText"/>
              <w:rPr>
                <w:lang w:val="en-NZ"/>
              </w:rPr>
            </w:pPr>
            <w:r w:rsidRPr="00E105B1">
              <w:t>The resources used for assessment should reflect current industry practices in relation to i</w:t>
            </w:r>
            <w:r w:rsidRPr="00E105B1">
              <w:t>nstalling process control apparatus and associated equipment.</w:t>
            </w:r>
          </w:p>
        </w:tc>
      </w:tr>
      <w:tr w:rsidTr="00C917A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E105B1" w:rsidP="00E105B1">
            <w:pPr>
              <w:pStyle w:val="BodyText"/>
            </w:pPr>
            <w:r w:rsidRPr="00E105B1">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E105B1" w:rsidP="00E105B1">
            <w:pPr>
              <w:pStyle w:val="BodyText"/>
            </w:pPr>
            <w:r w:rsidRPr="00E105B1">
              <w:rPr>
                <w:rStyle w:val="SpecialBold"/>
              </w:rPr>
              <w:t>9</w:t>
            </w:r>
            <w:r w:rsidRPr="00E105B1">
              <w:t>.</w:t>
            </w:r>
            <w:r w:rsidRPr="00E105B1">
              <w:rPr>
                <w:rStyle w:val="SpecialBold"/>
              </w:rPr>
              <w:t>4</w:t>
            </w:r>
            <w:r w:rsidRPr="00E105B1">
              <w:t>)</w:t>
            </w:r>
          </w:p>
          <w:p w:rsidR="00000000" w:rsidRPr="00E105B1" w:rsidP="00E105B1">
            <w:pPr>
              <w:pStyle w:val="BodyText"/>
            </w:pPr>
            <w:r w:rsidRPr="00E105B1">
              <w:t>This unit shall be assessed by methods given in Volume 1, Part 3 'Assessment Guidelines'.</w:t>
            </w:r>
          </w:p>
          <w:p w:rsidR="00000000" w:rsidP="00E105B1">
            <w:pPr>
              <w:pStyle w:val="BodyText"/>
              <w:rPr>
                <w:lang w:val="en-NZ"/>
              </w:rPr>
            </w:pPr>
            <w:r w:rsidRPr="00E105B1">
              <w:t xml:space="preserve">Note: </w:t>
            </w:r>
            <w:r w:rsidRPr="00E105B1">
              <w:br/>
            </w:r>
            <w:r w:rsidRPr="00E105B1">
              <w:t>Competent performance with inherent safe working practices is expected in the Industry to which this unit applies. This requires assessment in a structured environment which is intended primarily for learning/assessment and incorporates all necessary equip</w:t>
            </w:r>
            <w:r w:rsidRPr="00E105B1">
              <w:t>ment and facilities for learners to develop and demonstrate the essential knowledge and skills described in this unit.</w:t>
            </w:r>
          </w:p>
        </w:tc>
      </w:tr>
      <w:tr w:rsidTr="00C917A2">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E105B1" w:rsidP="00E105B1">
            <w:pPr>
              <w:pStyle w:val="BodyText"/>
            </w:pPr>
            <w:r w:rsidRPr="00E105B1">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E105B1">
            <w:pPr>
              <w:pStyle w:val="BodyText"/>
              <w:rPr>
                <w:lang w:val="en-NZ"/>
              </w:rPr>
            </w:pPr>
            <w:r w:rsidRPr="00E105B1">
              <w:rPr>
                <w:rStyle w:val="SpecialBold"/>
              </w:rPr>
              <w:t>9</w:t>
            </w:r>
            <w:r w:rsidRPr="00E105B1">
              <w:t>.</w:t>
            </w:r>
            <w:r w:rsidRPr="00E105B1">
              <w:rPr>
                <w:rStyle w:val="SpecialBold"/>
              </w:rPr>
              <w:t>5</w:t>
            </w:r>
            <w:r w:rsidRPr="00E105B1">
              <w:t>)</w:t>
            </w:r>
          </w:p>
        </w:tc>
      </w:tr>
      <w:tr w:rsidTr="00C917A2">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E105B1">
            <w:pPr>
              <w:pStyle w:val="BodyText"/>
              <w:rPr>
                <w:lang w:val="en-NZ"/>
              </w:rPr>
            </w:pPr>
            <w:r w:rsidRPr="00E105B1">
              <w:t>For optimisation of training and assessment effort, competency development in this unit may be arranged concurrently with unit:</w:t>
            </w:r>
          </w:p>
        </w:tc>
      </w:tr>
      <w:tr w:rsidTr="00C917A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E105B1">
            <w:pPr>
              <w:pStyle w:val="BodyText"/>
              <w:rPr>
                <w:lang w:val="en-NZ"/>
              </w:rPr>
            </w:pPr>
            <w:r w:rsidRPr="00E105B1">
              <w:t>UEENEEE007B</w:t>
            </w:r>
          </w:p>
        </w:tc>
        <w:tc>
          <w:tcPr>
            <w:tcW w:w="4500" w:type="dxa"/>
            <w:tcBorders>
              <w:top w:val="nil"/>
              <w:left w:val="nil"/>
              <w:bottom w:val="nil"/>
              <w:right w:val="nil"/>
            </w:tcBorders>
            <w:tcMar>
              <w:top w:w="0" w:type="dxa"/>
              <w:left w:w="62" w:type="dxa"/>
              <w:bottom w:w="0" w:type="dxa"/>
              <w:right w:w="62" w:type="dxa"/>
            </w:tcMar>
          </w:tcPr>
          <w:p w:rsidR="00000000" w:rsidP="00E105B1">
            <w:pPr>
              <w:pStyle w:val="BodyText"/>
              <w:rPr>
                <w:lang w:val="en-NZ"/>
              </w:rPr>
            </w:pPr>
            <w:r w:rsidRPr="00E105B1">
              <w:t>Use drawings, diagrams, schedules and service manuals</w:t>
            </w:r>
          </w:p>
        </w:tc>
      </w:tr>
      <w:tr w:rsidTr="00C917A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E105B1">
            <w:pPr>
              <w:pStyle w:val="BodyText"/>
              <w:rPr>
                <w:lang w:val="en-NZ"/>
              </w:rPr>
            </w:pPr>
            <w:r w:rsidRPr="00E105B1">
              <w:t>UEENEEI007C</w:t>
            </w:r>
          </w:p>
        </w:tc>
        <w:tc>
          <w:tcPr>
            <w:tcW w:w="4500" w:type="dxa"/>
            <w:tcBorders>
              <w:top w:val="nil"/>
              <w:left w:val="nil"/>
              <w:bottom w:val="nil"/>
              <w:right w:val="nil"/>
            </w:tcBorders>
            <w:tcMar>
              <w:top w:w="0" w:type="dxa"/>
              <w:left w:w="62" w:type="dxa"/>
              <w:bottom w:w="0" w:type="dxa"/>
              <w:right w:w="62" w:type="dxa"/>
            </w:tcMar>
          </w:tcPr>
          <w:p w:rsidR="00000000" w:rsidP="00E105B1">
            <w:pPr>
              <w:pStyle w:val="BodyText"/>
              <w:rPr>
                <w:lang w:val="en-NZ"/>
              </w:rPr>
            </w:pPr>
            <w:r w:rsidRPr="00E105B1">
              <w:t>Install process instrumentation and control cabling and tubing</w:t>
            </w:r>
          </w:p>
        </w:tc>
      </w:tr>
      <w:tr w:rsidTr="00C917A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E105B1" w:rsidP="00E105B1">
            <w:pPr>
              <w:pStyle w:val="BodyText"/>
            </w:pPr>
            <w:r w:rsidRPr="00E105B1">
              <w:t>The critical aspects of occupational health and safety covered in unit UEENEEE001B and other discipline specific occupational health and safety units shall be incorporated in relation to this</w:t>
            </w:r>
            <w:r w:rsidRPr="00E105B1">
              <w:t xml:space="preserve"> unit.</w:t>
            </w:r>
          </w:p>
        </w:tc>
      </w:tr>
    </w:tbl>
    <w:p w:rsidR="00C917A2" w:rsidP="00E105B1">
      <w:pPr>
        <w:pStyle w:val="BodyText"/>
      </w:pPr>
    </w:p>
    <w:p w:rsidR="00C917A2" w:rsidP="00E105B1">
      <w:pPr>
        <w:pStyle w:val="BodyText"/>
      </w:pPr>
    </w:p>
    <w:p w:rsidR="00000000" w:rsidRPr="00E105B1" w:rsidP="00E105B1">
      <w:pPr>
        <w:pStyle w:val="Heading1"/>
      </w:pPr>
      <w:bookmarkStart w:id="11" w:name="O_255463"/>
      <w:bookmarkEnd w:id="11"/>
      <w:r w:rsidRPr="00E105B1">
        <w:t>Range Statement</w:t>
      </w:r>
    </w:p>
    <w:tbl>
      <w:tblPr>
        <w:tblW w:w="0" w:type="auto"/>
        <w:tblLayout w:type="fixed"/>
        <w:tblCellMar>
          <w:left w:w="62" w:type="dxa"/>
          <w:right w:w="62" w:type="dxa"/>
        </w:tblCellMar>
        <w:tblLook w:val="0000"/>
      </w:tblPr>
      <w:tblGrid>
        <w:gridCol w:w="8460"/>
      </w:tblGrid>
      <w:tr w:rsidTr="00C917A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105B1">
            <w:pPr>
              <w:pStyle w:val="BodyText"/>
              <w:rPr>
                <w:lang w:val="en-NZ"/>
              </w:rPr>
            </w:pPr>
            <w:r w:rsidRPr="00E105B1">
              <w:rPr>
                <w:rStyle w:val="SpecialBold"/>
              </w:rPr>
              <w:t>RANGE STATEMENT</w:t>
            </w:r>
          </w:p>
        </w:tc>
      </w:tr>
      <w:tr w:rsidTr="00C917A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E105B1">
            <w:pPr>
              <w:pStyle w:val="BodyText"/>
              <w:rPr>
                <w:lang w:val="en-NZ"/>
              </w:rPr>
            </w:pPr>
            <w:r w:rsidRPr="00E105B1">
              <w:rPr>
                <w:rStyle w:val="SpecialBold"/>
              </w:rPr>
              <w:t>8</w:t>
            </w:r>
            <w:r w:rsidRPr="00E105B1">
              <w:t>) This relates to the unit as a whole providing the range of contexts and conditions to which the performance criteria apply. It allows for different work environments and situations t</w:t>
            </w:r>
            <w:r w:rsidRPr="00E105B1">
              <w:t>hat will affect performance.</w:t>
            </w:r>
          </w:p>
        </w:tc>
      </w:tr>
      <w:tr w:rsidTr="00C917A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105B1" w:rsidP="00E105B1">
            <w:pPr>
              <w:pStyle w:val="BodyText"/>
            </w:pPr>
            <w:r w:rsidRPr="00E105B1">
              <w:t>This unit must be demonstrated in relation to at least four different process apparatus and associated equipment.</w:t>
            </w:r>
          </w:p>
          <w:p w:rsidR="00000000" w:rsidP="00E105B1">
            <w:pPr>
              <w:pStyle w:val="BodyText"/>
              <w:rPr>
                <w:lang w:val="en-NZ"/>
              </w:rPr>
            </w:pPr>
            <w:r w:rsidRPr="00E105B1">
              <w:t xml:space="preserve">Note: </w:t>
            </w:r>
            <w:r w:rsidRPr="00E105B1">
              <w:br/>
              <w:t>1. Examples of process systems include pressure measurement apparatus and systems, temperature measuremen</w:t>
            </w:r>
            <w:r w:rsidRPr="00E105B1">
              <w:t>t apparatus and systems, level/density measurement apparatus and systems, flow measurement apparatus and systems, and chemical measurement apparatus and systems.</w:t>
            </w:r>
          </w:p>
        </w:tc>
      </w:tr>
      <w:tr w:rsidTr="00C917A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105B1" w:rsidP="00E105B1">
            <w:pPr>
              <w:pStyle w:val="BodyText"/>
            </w:pPr>
            <w:r w:rsidRPr="00E105B1">
              <w:t>Generic terms used throughout this Vocational Standard shall be regarded as part of the Range</w:t>
            </w:r>
            <w:r w:rsidRPr="00E105B1">
              <w:t xml:space="preserve"> Statement in which competency is demonstrated. The definition of these and other terms that apply are given in Volume 2, Part 2.1.</w:t>
            </w:r>
          </w:p>
        </w:tc>
      </w:tr>
    </w:tbl>
    <w:p w:rsidR="00C917A2" w:rsidP="00E105B1">
      <w:pPr>
        <w:pStyle w:val="BodyText"/>
      </w:pPr>
    </w:p>
    <w:p w:rsidR="00C917A2" w:rsidP="00E105B1">
      <w:pPr>
        <w:pStyle w:val="BodyText"/>
      </w:pPr>
    </w:p>
    <w:p w:rsidR="00000000" w:rsidRPr="00E105B1" w:rsidP="00E105B1">
      <w:pPr>
        <w:pStyle w:val="Heading1"/>
      </w:pPr>
      <w:bookmarkStart w:id="12" w:name="O_296476"/>
      <w:bookmarkEnd w:id="12"/>
      <w:r w:rsidRPr="00E105B1">
        <w:t>Unit Sector(s)</w:t>
      </w:r>
    </w:p>
    <w:p w:rsidR="00000000" w:rsidRPr="00E105B1" w:rsidP="00E105B1">
      <w:pPr>
        <w:pStyle w:val="BodyText"/>
      </w:pPr>
      <w:r w:rsidRPr="00E105B1">
        <w:t>Not Applicable</w:t>
      </w:r>
    </w:p>
    <w:p w:rsidR="00000000" w:rsidRPr="00E105B1" w:rsidP="00E105B1">
      <w:pPr>
        <w:pStyle w:val="AllowPageBreak"/>
      </w:pPr>
    </w:p>
    <w:p w:rsidR="00000000" w:rsidRPr="00E105B1" w:rsidP="00E105B1">
      <w:pPr>
        <w:pStyle w:val="Heading1"/>
      </w:pPr>
      <w:bookmarkStart w:id="13" w:name="O_227232"/>
      <w:bookmarkEnd w:id="13"/>
      <w:r w:rsidRPr="00E105B1">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C917A2">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E105B1" w:rsidP="00E105B1">
            <w:pPr>
              <w:pStyle w:val="BodyText"/>
            </w:pPr>
            <w:r w:rsidRPr="00E105B1">
              <w:rPr>
                <w:rStyle w:val="SpecialBold"/>
              </w:rPr>
              <w:t>2</w:t>
            </w:r>
            <w:r w:rsidRPr="00E105B1">
              <w:t>.</w:t>
            </w:r>
            <w:r w:rsidRPr="00E105B1">
              <w:rPr>
                <w:rStyle w:val="SpecialBold"/>
              </w:rPr>
              <w:t>2</w:t>
            </w:r>
            <w:r w:rsidRPr="00E105B1">
              <w:t xml:space="preserve">) </w:t>
            </w:r>
            <w:r w:rsidRPr="00E105B1">
              <w:rPr>
                <w:rStyle w:val="SpecialBold"/>
              </w:rPr>
              <w:t>Literacy and numeracy skills</w:t>
            </w:r>
          </w:p>
          <w:p w:rsidR="00000000" w:rsidP="00E105B1">
            <w:pPr>
              <w:pStyle w:val="BodyText"/>
              <w:rPr>
                <w:lang w:val="en-NZ"/>
              </w:rPr>
            </w:pPr>
            <w:r w:rsidRPr="00E105B1">
              <w:t>Participants are best equipped to achieve competency in this unit if they have reading, writing and numeracy skills indicated by the following scales. Description of each scale is given in Volume 2, Part 3 'Literacy and Numeracy'</w:t>
            </w:r>
          </w:p>
        </w:tc>
      </w:tr>
      <w:tr w:rsidTr="00C917A2">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E105B1">
            <w:pPr>
              <w:pStyle w:val="BodyText"/>
              <w:rPr>
                <w:lang w:val="en-NZ"/>
              </w:rPr>
            </w:pPr>
            <w:r w:rsidRPr="00E105B1">
              <w:t>Reading</w:t>
            </w:r>
          </w:p>
        </w:tc>
        <w:tc>
          <w:tcPr>
            <w:tcW w:w="1182" w:type="dxa"/>
            <w:tcBorders>
              <w:top w:val="nil"/>
              <w:left w:val="nil"/>
              <w:bottom w:val="nil"/>
              <w:right w:val="nil"/>
            </w:tcBorders>
            <w:tcMar>
              <w:top w:w="0" w:type="dxa"/>
              <w:left w:w="62" w:type="dxa"/>
              <w:bottom w:w="0" w:type="dxa"/>
              <w:right w:w="62" w:type="dxa"/>
            </w:tcMar>
          </w:tcPr>
          <w:p w:rsidR="00000000" w:rsidP="00E105B1">
            <w:pPr>
              <w:pStyle w:val="BodyText"/>
              <w:rPr>
                <w:lang w:val="en-NZ"/>
              </w:rPr>
            </w:pPr>
            <w:r w:rsidRPr="00E105B1">
              <w:t>3</w:t>
            </w:r>
          </w:p>
        </w:tc>
        <w:tc>
          <w:tcPr>
            <w:tcW w:w="1739" w:type="dxa"/>
            <w:tcBorders>
              <w:top w:val="nil"/>
              <w:left w:val="nil"/>
              <w:bottom w:val="nil"/>
              <w:right w:val="nil"/>
            </w:tcBorders>
            <w:tcMar>
              <w:top w:w="0" w:type="dxa"/>
              <w:left w:w="62" w:type="dxa"/>
              <w:bottom w:w="0" w:type="dxa"/>
              <w:right w:w="62" w:type="dxa"/>
            </w:tcMar>
          </w:tcPr>
          <w:p w:rsidR="00000000" w:rsidP="00E105B1">
            <w:pPr>
              <w:pStyle w:val="BodyText"/>
              <w:rPr>
                <w:lang w:val="en-NZ"/>
              </w:rPr>
            </w:pPr>
            <w:r w:rsidRPr="00E105B1">
              <w:t>Writing</w:t>
            </w:r>
          </w:p>
        </w:tc>
        <w:tc>
          <w:tcPr>
            <w:tcW w:w="1182" w:type="dxa"/>
            <w:tcBorders>
              <w:top w:val="nil"/>
              <w:left w:val="nil"/>
              <w:bottom w:val="nil"/>
              <w:right w:val="nil"/>
            </w:tcBorders>
            <w:tcMar>
              <w:top w:w="0" w:type="dxa"/>
              <w:left w:w="62" w:type="dxa"/>
              <w:bottom w:w="0" w:type="dxa"/>
              <w:right w:w="62" w:type="dxa"/>
            </w:tcMar>
          </w:tcPr>
          <w:p w:rsidR="00000000" w:rsidP="00E105B1">
            <w:pPr>
              <w:pStyle w:val="BodyText"/>
              <w:rPr>
                <w:lang w:val="en-NZ"/>
              </w:rPr>
            </w:pPr>
            <w:r w:rsidRPr="00E105B1">
              <w:t>3</w:t>
            </w:r>
          </w:p>
        </w:tc>
        <w:tc>
          <w:tcPr>
            <w:tcW w:w="1721" w:type="dxa"/>
            <w:tcBorders>
              <w:top w:val="nil"/>
              <w:left w:val="nil"/>
              <w:bottom w:val="nil"/>
              <w:right w:val="nil"/>
            </w:tcBorders>
            <w:tcMar>
              <w:top w:w="0" w:type="dxa"/>
              <w:left w:w="62" w:type="dxa"/>
              <w:bottom w:w="0" w:type="dxa"/>
              <w:right w:w="62" w:type="dxa"/>
            </w:tcMar>
          </w:tcPr>
          <w:p w:rsidR="00000000" w:rsidP="00E105B1">
            <w:pPr>
              <w:pStyle w:val="BodyText"/>
              <w:rPr>
                <w:lang w:val="en-NZ"/>
              </w:rPr>
            </w:pPr>
            <w:r w:rsidRPr="00E105B1">
              <w:t>Numeracy</w:t>
            </w:r>
          </w:p>
        </w:tc>
        <w:tc>
          <w:tcPr>
            <w:tcW w:w="1182" w:type="dxa"/>
            <w:tcBorders>
              <w:top w:val="nil"/>
              <w:left w:val="nil"/>
              <w:bottom w:val="nil"/>
              <w:right w:val="nil"/>
            </w:tcBorders>
            <w:tcMar>
              <w:top w:w="0" w:type="dxa"/>
              <w:left w:w="62" w:type="dxa"/>
              <w:bottom w:w="0" w:type="dxa"/>
              <w:right w:w="62" w:type="dxa"/>
            </w:tcMar>
          </w:tcPr>
          <w:p w:rsidR="00000000" w:rsidRPr="00E105B1" w:rsidP="00E105B1">
            <w:pPr>
              <w:pStyle w:val="BodyText"/>
            </w:pPr>
            <w:r w:rsidRPr="00E105B1">
              <w:t>3</w:t>
            </w:r>
          </w:p>
        </w:tc>
      </w:tr>
    </w:tbl>
    <w:p w:rsidR="00C917A2" w:rsidP="00E105B1">
      <w:pPr>
        <w:pStyle w:val="BodyText"/>
      </w:pPr>
    </w:p>
    <w:p w:rsidR="00C917A2" w:rsidP="00E105B1">
      <w:pPr>
        <w:pStyle w:val="BodyText"/>
      </w:pPr>
    </w:p>
    <w:p w:rsidR="00000000" w:rsidRPr="00E105B1" w:rsidP="00E105B1">
      <w:pPr>
        <w:pStyle w:val="Heading1"/>
      </w:pPr>
      <w:bookmarkStart w:id="14" w:name="O_227235"/>
      <w:bookmarkEnd w:id="14"/>
      <w:r w:rsidRPr="00E105B1">
        <w:t>2.2) Literacy and numeracy skills</w:t>
      </w:r>
    </w:p>
    <w:tbl>
      <w:tblPr>
        <w:tblW w:w="0" w:type="auto"/>
        <w:tblLayout w:type="fixed"/>
        <w:tblCellMar>
          <w:left w:w="62" w:type="dxa"/>
          <w:right w:w="62" w:type="dxa"/>
        </w:tblCellMar>
        <w:tblLook w:val="0000"/>
      </w:tblPr>
      <w:tblGrid>
        <w:gridCol w:w="2700"/>
        <w:gridCol w:w="5760"/>
      </w:tblGrid>
      <w:tr w:rsidTr="00C917A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105B1" w:rsidP="00E105B1">
            <w:pPr>
              <w:pStyle w:val="BodyText"/>
            </w:pPr>
            <w:r w:rsidRPr="00E105B1">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E105B1">
            <w:pPr>
              <w:pStyle w:val="BodyText"/>
              <w:rPr>
                <w:lang w:val="en-NZ"/>
              </w:rPr>
            </w:pPr>
            <w:r w:rsidRPr="00E105B1">
              <w:rPr>
                <w:rStyle w:val="SpecialBold"/>
              </w:rPr>
              <w:t>5</w:t>
            </w:r>
            <w:r w:rsidRPr="00E105B1">
              <w:t>)</w:t>
            </w:r>
          </w:p>
        </w:tc>
      </w:tr>
      <w:tr w:rsidTr="00C917A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105B1" w:rsidP="00E105B1">
            <w:pPr>
              <w:pStyle w:val="BodyText"/>
            </w:pPr>
            <w:r w:rsidRPr="00E105B1">
              <w:t>Instruments</w:t>
            </w:r>
          </w:p>
        </w:tc>
      </w:tr>
    </w:tbl>
    <w:p w:rsidR="00C917A2" w:rsidP="00E105B1">
      <w:pPr>
        <w:pStyle w:val="BodyText"/>
      </w:pPr>
    </w:p>
    <w:p w:rsidR="00C917A2" w:rsidP="00E105B1">
      <w:pPr>
        <w:pStyle w:val="BodyText"/>
      </w:pPr>
    </w:p>
    <w:p w:rsidR="00000000" w:rsidRPr="00E105B1" w:rsidP="00E105B1"/>
    <w:sectPr w:rsidSect="00E105B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5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917A2" w:rsidP="00C917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5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7A2" w:rsidP="00E105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C917A2" w:rsidP="00E105B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C917A2" w:rsidP="00E105B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5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917A2" w:rsidP="00C917A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5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7A2" w:rsidP="00E105B1">
    <w:pPr>
      <w:pStyle w:val="Header"/>
      <w:framePr w:wrap="around"/>
    </w:pPr>
    <w:r>
      <w:fldChar w:fldCharType="begin"/>
    </w:r>
    <w:r>
      <w:instrText xml:space="preserve"> TITLE   \* MERGEFORMAT </w:instrText>
    </w:r>
    <w:r>
      <w:fldChar w:fldCharType="separate"/>
    </w:r>
    <w:r>
      <w:t>UEENEEI008C Install process control apparatus and associated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917A2" w:rsidP="00E105B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C7A74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F9A4B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5E47D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05B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105B1"/>
    <w:pPr>
      <w:spacing w:before="360" w:after="60"/>
      <w:outlineLvl w:val="0"/>
    </w:pPr>
    <w:rPr>
      <w:sz w:val="32"/>
    </w:rPr>
  </w:style>
  <w:style w:type="paragraph" w:styleId="Heading2">
    <w:name w:val="heading 2"/>
    <w:basedOn w:val="HeadingBase"/>
    <w:next w:val="BodyText"/>
    <w:link w:val="Heading2Char"/>
    <w:qFormat/>
    <w:rsid w:val="00E105B1"/>
    <w:pPr>
      <w:keepLines/>
      <w:spacing w:before="240" w:after="120"/>
      <w:outlineLvl w:val="1"/>
    </w:pPr>
    <w:rPr>
      <w:sz w:val="28"/>
      <w:szCs w:val="40"/>
    </w:rPr>
  </w:style>
  <w:style w:type="paragraph" w:styleId="Heading3">
    <w:name w:val="heading 3"/>
    <w:basedOn w:val="HeadingBase"/>
    <w:next w:val="BodyText"/>
    <w:link w:val="Heading3Char"/>
    <w:qFormat/>
    <w:rsid w:val="00E105B1"/>
    <w:pPr>
      <w:spacing w:before="180" w:after="120"/>
      <w:outlineLvl w:val="2"/>
    </w:pPr>
    <w:rPr>
      <w:spacing w:val="-10"/>
      <w:kern w:val="32"/>
    </w:rPr>
  </w:style>
  <w:style w:type="paragraph" w:styleId="Heading4">
    <w:name w:val="heading 4"/>
    <w:basedOn w:val="HeadingBase"/>
    <w:next w:val="BodyText"/>
    <w:link w:val="Heading4Char"/>
    <w:qFormat/>
    <w:rsid w:val="00E105B1"/>
    <w:pPr>
      <w:spacing w:before="160" w:after="120"/>
      <w:outlineLvl w:val="3"/>
    </w:pPr>
    <w:rPr>
      <w:sz w:val="22"/>
    </w:rPr>
  </w:style>
  <w:style w:type="paragraph" w:styleId="Heading5">
    <w:name w:val="heading 5"/>
    <w:basedOn w:val="HeadingBase"/>
    <w:next w:val="Normal"/>
    <w:link w:val="Heading5Char"/>
    <w:qFormat/>
    <w:rsid w:val="00E105B1"/>
    <w:pPr>
      <w:spacing w:before="80"/>
      <w:outlineLvl w:val="4"/>
    </w:pPr>
    <w:rPr>
      <w:color w:val="918585"/>
      <w:sz w:val="20"/>
    </w:rPr>
  </w:style>
  <w:style w:type="paragraph" w:styleId="Heading6">
    <w:name w:val="heading 6"/>
    <w:basedOn w:val="HeadingBase"/>
    <w:next w:val="Normal"/>
    <w:link w:val="Heading6Char"/>
    <w:qFormat/>
    <w:rsid w:val="00E105B1"/>
    <w:pPr>
      <w:spacing w:before="60"/>
      <w:outlineLvl w:val="5"/>
    </w:pPr>
    <w:rPr>
      <w:color w:val="918585"/>
      <w:sz w:val="20"/>
    </w:rPr>
  </w:style>
  <w:style w:type="paragraph" w:styleId="Heading7">
    <w:name w:val="heading 7"/>
    <w:basedOn w:val="Normal"/>
    <w:next w:val="Normal"/>
    <w:link w:val="Heading7Char"/>
    <w:qFormat/>
    <w:rsid w:val="00E105B1"/>
    <w:pPr>
      <w:ind w:left="720"/>
      <w:outlineLvl w:val="6"/>
    </w:pPr>
    <w:rPr>
      <w:i/>
    </w:rPr>
  </w:style>
  <w:style w:type="paragraph" w:styleId="Heading8">
    <w:name w:val="heading 8"/>
    <w:basedOn w:val="Normal"/>
    <w:next w:val="Normal"/>
    <w:link w:val="Heading8Char"/>
    <w:qFormat/>
    <w:rsid w:val="00E105B1"/>
    <w:pPr>
      <w:ind w:left="720"/>
      <w:outlineLvl w:val="7"/>
    </w:pPr>
    <w:rPr>
      <w:i/>
    </w:rPr>
  </w:style>
  <w:style w:type="paragraph" w:styleId="Heading9">
    <w:name w:val="heading 9"/>
    <w:basedOn w:val="Normal"/>
    <w:next w:val="Normal"/>
    <w:link w:val="Heading9Char"/>
    <w:qFormat/>
    <w:rsid w:val="00E105B1"/>
    <w:pPr>
      <w:ind w:left="720"/>
      <w:outlineLvl w:val="8"/>
    </w:pPr>
    <w:rPr>
      <w:i/>
    </w:rPr>
  </w:style>
  <w:style w:type="character" w:default="1" w:styleId="DefaultParagraphFont">
    <w:name w:val="Default Paragraph Font"/>
    <w:uiPriority w:val="1"/>
    <w:unhideWhenUsed/>
    <w:rsid w:val="00E105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05B1"/>
  </w:style>
  <w:style w:type="character" w:customStyle="1" w:styleId="Heading1Char">
    <w:name w:val="Heading 1 Char"/>
    <w:basedOn w:val="DefaultParagraphFont"/>
    <w:link w:val="Heading1"/>
    <w:rsid w:val="00E105B1"/>
    <w:rPr>
      <w:rFonts w:ascii="Times New Roman" w:eastAsia="Times New Roman" w:hAnsi="Times New Roman" w:cs="Times New Roman"/>
      <w:b/>
      <w:sz w:val="32"/>
      <w:szCs w:val="20"/>
      <w:lang w:eastAsia="en-US"/>
    </w:rPr>
  </w:style>
  <w:style w:type="paragraph" w:styleId="BodyText">
    <w:name w:val="Body Text"/>
    <w:basedOn w:val="Normal"/>
    <w:link w:val="BodyTextChar"/>
    <w:rsid w:val="00E105B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105B1"/>
    <w:rPr>
      <w:rFonts w:ascii="Times New Roman" w:eastAsia="Times New Roman" w:hAnsi="Times New Roman" w:cs="Times New Roman"/>
      <w:sz w:val="24"/>
      <w:lang w:val="en-US" w:eastAsia="en-US"/>
    </w:rPr>
  </w:style>
  <w:style w:type="paragraph" w:styleId="Footer">
    <w:name w:val="footer"/>
    <w:basedOn w:val="Normal"/>
    <w:link w:val="FooterChar"/>
    <w:rsid w:val="00E105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05B1"/>
    <w:rPr>
      <w:rFonts w:ascii="Times New Roman" w:eastAsia="Times New Roman" w:hAnsi="Times New Roman" w:cs="Times New Roman"/>
      <w:sz w:val="16"/>
      <w:lang w:val="en-US" w:eastAsia="en-US"/>
    </w:rPr>
  </w:style>
  <w:style w:type="paragraph" w:styleId="ListBullet">
    <w:name w:val="List Bullet"/>
    <w:basedOn w:val="List"/>
    <w:rsid w:val="00E105B1"/>
    <w:pPr>
      <w:numPr>
        <w:numId w:val="13"/>
      </w:numPr>
      <w:tabs>
        <w:tab w:val="clear" w:pos="340"/>
      </w:tabs>
      <w:spacing w:before="40" w:after="40"/>
    </w:pPr>
  </w:style>
  <w:style w:type="character" w:customStyle="1" w:styleId="SpecialBold">
    <w:name w:val="Special Bold"/>
    <w:basedOn w:val="DefaultParagraphFont"/>
    <w:rsid w:val="00E105B1"/>
    <w:rPr>
      <w:b/>
      <w:spacing w:val="0"/>
    </w:rPr>
  </w:style>
  <w:style w:type="paragraph" w:styleId="ListBullet2">
    <w:name w:val="List Bullet 2"/>
    <w:basedOn w:val="List2"/>
    <w:rsid w:val="00E105B1"/>
    <w:pPr>
      <w:numPr>
        <w:numId w:val="14"/>
      </w:numPr>
      <w:tabs>
        <w:tab w:val="clear" w:pos="680"/>
      </w:tabs>
    </w:pPr>
  </w:style>
  <w:style w:type="paragraph" w:styleId="Header">
    <w:name w:val="header"/>
    <w:basedOn w:val="Normal"/>
    <w:link w:val="HeaderChar"/>
    <w:rsid w:val="00E105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05B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105B1"/>
    <w:pPr>
      <w:spacing w:before="240" w:after="120"/>
      <w:outlineLvl w:val="0"/>
    </w:pPr>
    <w:rPr>
      <w:rFonts w:ascii="Times New Roman" w:hAnsi="Times New Roman"/>
      <w:b/>
      <w:sz w:val="28"/>
    </w:rPr>
  </w:style>
  <w:style w:type="paragraph" w:customStyle="1" w:styleId="AllowPageBreak">
    <w:name w:val="AllowPageBreak"/>
    <w:rsid w:val="00E105B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105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05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05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05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05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05B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105B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105B1"/>
    <w:rPr>
      <w:rFonts w:ascii="Courier New" w:eastAsia="Times New Roman" w:hAnsi="Courier New" w:cs="Times New Roman"/>
      <w:i/>
      <w:szCs w:val="20"/>
      <w:lang w:val="en-US" w:eastAsia="en-US"/>
    </w:rPr>
  </w:style>
  <w:style w:type="paragraph" w:customStyle="1" w:styleId="HeadingBase">
    <w:name w:val="Heading Base"/>
    <w:rsid w:val="00E105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05B1"/>
    <w:pPr>
      <w:tabs>
        <w:tab w:val="right" w:leader="dot" w:pos="9072"/>
      </w:tabs>
      <w:ind w:left="567"/>
    </w:pPr>
    <w:rPr>
      <w:szCs w:val="22"/>
    </w:rPr>
  </w:style>
  <w:style w:type="paragraph" w:customStyle="1" w:styleId="TOCBase">
    <w:name w:val="TOC Base"/>
    <w:rsid w:val="00E105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05B1"/>
    <w:pPr>
      <w:tabs>
        <w:tab w:val="right" w:leader="dot" w:pos="9072"/>
      </w:tabs>
      <w:spacing w:before="40" w:after="40"/>
      <w:ind w:left="284"/>
    </w:pPr>
    <w:rPr>
      <w:rFonts w:ascii="Times New Roman" w:hAnsi="Times New Roman"/>
    </w:rPr>
  </w:style>
  <w:style w:type="paragraph" w:styleId="TOC1">
    <w:name w:val="toc 1"/>
    <w:basedOn w:val="TOCBase"/>
    <w:next w:val="Normal"/>
    <w:rsid w:val="00E105B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105B1"/>
    <w:pPr>
      <w:spacing w:before="5040"/>
      <w:jc w:val="center"/>
    </w:pPr>
    <w:rPr>
      <w:sz w:val="48"/>
      <w:szCs w:val="72"/>
      <w:lang w:val="en-US"/>
    </w:rPr>
  </w:style>
  <w:style w:type="character" w:customStyle="1" w:styleId="TitleChar">
    <w:name w:val="Title Char"/>
    <w:basedOn w:val="DefaultParagraphFont"/>
    <w:link w:val="Title"/>
    <w:rsid w:val="00E105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05B1"/>
    <w:pPr>
      <w:tabs>
        <w:tab w:val="left" w:pos="3600"/>
        <w:tab w:val="left" w:pos="3958"/>
      </w:tabs>
    </w:pPr>
  </w:style>
  <w:style w:type="paragraph" w:styleId="List">
    <w:name w:val="List"/>
    <w:basedOn w:val="BodyText"/>
    <w:next w:val="BodyText"/>
    <w:rsid w:val="00E105B1"/>
    <w:pPr>
      <w:tabs>
        <w:tab w:val="left" w:pos="340"/>
      </w:tabs>
      <w:spacing w:before="60" w:after="60"/>
      <w:ind w:left="340" w:hanging="340"/>
    </w:pPr>
  </w:style>
  <w:style w:type="paragraph" w:customStyle="1" w:styleId="Note">
    <w:name w:val="Note"/>
    <w:basedOn w:val="BodyText"/>
    <w:rsid w:val="00E105B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05B1"/>
    <w:pPr>
      <w:framePr w:wrap="auto" w:hAnchor="text" w:y="6049"/>
    </w:pPr>
    <w:rPr>
      <w:color w:val="000000"/>
      <w:sz w:val="40"/>
    </w:rPr>
  </w:style>
  <w:style w:type="paragraph" w:customStyle="1" w:styleId="TOCTitle">
    <w:name w:val="TOCTitle"/>
    <w:basedOn w:val="Heading1"/>
    <w:rsid w:val="00E105B1"/>
    <w:pPr>
      <w:spacing w:after="240"/>
      <w:jc w:val="center"/>
      <w:outlineLvl w:val="9"/>
    </w:pPr>
    <w:rPr>
      <w:caps/>
    </w:rPr>
  </w:style>
  <w:style w:type="paragraph" w:customStyle="1" w:styleId="Version">
    <w:name w:val="Version"/>
    <w:rsid w:val="00E105B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105B1"/>
    <w:pPr>
      <w:keepNext w:val="0"/>
      <w:tabs>
        <w:tab w:val="right" w:pos="4176"/>
      </w:tabs>
      <w:ind w:left="198" w:hanging="198"/>
    </w:pPr>
    <w:rPr>
      <w:rFonts w:ascii="Garamond" w:hAnsi="Garamond"/>
    </w:rPr>
  </w:style>
  <w:style w:type="paragraph" w:styleId="IndexHeading">
    <w:name w:val="index heading"/>
    <w:basedOn w:val="Normal"/>
    <w:next w:val="Index1"/>
    <w:semiHidden/>
    <w:rsid w:val="00E105B1"/>
    <w:pPr>
      <w:spacing w:before="120" w:after="120"/>
    </w:pPr>
    <w:rPr>
      <w:rFonts w:ascii="Arial" w:hAnsi="Arial"/>
      <w:b/>
      <w:color w:val="918585"/>
      <w:sz w:val="24"/>
    </w:rPr>
  </w:style>
  <w:style w:type="paragraph" w:customStyle="1" w:styleId="Chapter">
    <w:name w:val="Chapter"/>
    <w:basedOn w:val="Normal"/>
    <w:rsid w:val="00E105B1"/>
    <w:pPr>
      <w:spacing w:before="240"/>
    </w:pPr>
    <w:rPr>
      <w:rFonts w:ascii="Times New Roman" w:hAnsi="Times New Roman"/>
      <w:smallCaps/>
      <w:spacing w:val="80"/>
      <w:sz w:val="28"/>
    </w:rPr>
  </w:style>
  <w:style w:type="paragraph" w:customStyle="1" w:styleId="InChapter">
    <w:name w:val="InChapter"/>
    <w:basedOn w:val="Heading3"/>
    <w:rsid w:val="00E105B1"/>
    <w:pPr>
      <w:spacing w:after="240"/>
      <w:outlineLvl w:val="9"/>
    </w:pPr>
    <w:rPr>
      <w:noProof/>
    </w:rPr>
  </w:style>
  <w:style w:type="paragraph" w:styleId="Index2">
    <w:name w:val="index 2"/>
    <w:basedOn w:val="Normal"/>
    <w:next w:val="Normal"/>
    <w:semiHidden/>
    <w:rsid w:val="00E105B1"/>
    <w:pPr>
      <w:tabs>
        <w:tab w:val="right" w:pos="4176"/>
      </w:tabs>
      <w:ind w:left="568" w:hanging="284"/>
    </w:pPr>
    <w:rPr>
      <w:rFonts w:ascii="Garamond" w:hAnsi="Garamond"/>
    </w:rPr>
  </w:style>
  <w:style w:type="paragraph" w:customStyle="1" w:styleId="Byline">
    <w:name w:val="Byline"/>
    <w:rsid w:val="00E105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05B1"/>
    <w:pPr>
      <w:tabs>
        <w:tab w:val="clear" w:pos="3600"/>
        <w:tab w:val="clear" w:pos="3958"/>
      </w:tabs>
      <w:jc w:val="right"/>
    </w:pPr>
  </w:style>
  <w:style w:type="character" w:styleId="Emphasis">
    <w:name w:val="Emphasis"/>
    <w:basedOn w:val="DefaultParagraphFont"/>
    <w:qFormat/>
    <w:rsid w:val="00E105B1"/>
    <w:rPr>
      <w:i/>
    </w:rPr>
  </w:style>
  <w:style w:type="paragraph" w:styleId="Caption">
    <w:name w:val="caption"/>
    <w:basedOn w:val="BodyText"/>
    <w:next w:val="Normal"/>
    <w:qFormat/>
    <w:rsid w:val="00E105B1"/>
    <w:pPr>
      <w:framePr w:w="2268" w:hSpace="181" w:vSpace="181" w:wrap="around" w:vAnchor="text" w:hAnchor="page" w:x="1135" w:y="285" w:anchorLock="1"/>
    </w:pPr>
    <w:rPr>
      <w:i/>
    </w:rPr>
  </w:style>
  <w:style w:type="paragraph" w:customStyle="1" w:styleId="MiniTOCTitle">
    <w:name w:val="MiniTOCTitle"/>
    <w:basedOn w:val="Heading4"/>
    <w:rsid w:val="00E105B1"/>
    <w:pPr>
      <w:spacing w:before="240"/>
      <w:outlineLvl w:val="9"/>
    </w:pPr>
    <w:rPr>
      <w:noProof/>
      <w:sz w:val="24"/>
    </w:rPr>
  </w:style>
  <w:style w:type="paragraph" w:customStyle="1" w:styleId="MiniTOCItem">
    <w:name w:val="MiniTOCItem"/>
    <w:basedOn w:val="ListBullet"/>
    <w:rsid w:val="00E105B1"/>
    <w:pPr>
      <w:numPr>
        <w:numId w:val="0"/>
      </w:numPr>
      <w:tabs>
        <w:tab w:val="right" w:leader="dot" w:pos="6521"/>
      </w:tabs>
      <w:spacing w:before="0" w:after="0"/>
    </w:pPr>
  </w:style>
  <w:style w:type="paragraph" w:customStyle="1" w:styleId="TOFTitle">
    <w:name w:val="TOFTitle"/>
    <w:basedOn w:val="TOCTitle"/>
    <w:rsid w:val="00E105B1"/>
  </w:style>
  <w:style w:type="paragraph" w:styleId="TableofFigures">
    <w:name w:val="table of figures"/>
    <w:basedOn w:val="Normal"/>
    <w:next w:val="Normal"/>
    <w:semiHidden/>
    <w:rsid w:val="00E105B1"/>
    <w:pPr>
      <w:tabs>
        <w:tab w:val="right" w:leader="dot" w:pos="9072"/>
      </w:tabs>
      <w:ind w:left="970" w:hanging="403"/>
    </w:pPr>
    <w:rPr>
      <w:rFonts w:ascii="Times New Roman" w:hAnsi="Times New Roman"/>
      <w:b/>
    </w:rPr>
  </w:style>
  <w:style w:type="paragraph" w:styleId="ListNumber">
    <w:name w:val="List Number"/>
    <w:basedOn w:val="List"/>
    <w:rsid w:val="00E105B1"/>
    <w:pPr>
      <w:numPr>
        <w:numId w:val="11"/>
      </w:numPr>
    </w:pPr>
  </w:style>
  <w:style w:type="character" w:customStyle="1" w:styleId="WingdingSymbols">
    <w:name w:val="Wingding Symbols"/>
    <w:rsid w:val="00E105B1"/>
    <w:rPr>
      <w:rFonts w:ascii="Wingdings" w:hAnsi="Wingdings"/>
    </w:rPr>
  </w:style>
  <w:style w:type="paragraph" w:customStyle="1" w:styleId="TableHeading">
    <w:name w:val="Table Heading"/>
    <w:basedOn w:val="HeadingBase"/>
    <w:rsid w:val="00E105B1"/>
    <w:pPr>
      <w:keepLines/>
      <w:pBdr>
        <w:bottom w:val="single" w:sz="6" w:space="1" w:color="918585"/>
      </w:pBdr>
      <w:spacing w:before="240"/>
    </w:pPr>
  </w:style>
  <w:style w:type="character" w:customStyle="1" w:styleId="HotSpot">
    <w:name w:val="HotSpot"/>
    <w:rsid w:val="00E105B1"/>
    <w:rPr>
      <w:color w:val="0033CC"/>
      <w:u w:val="none"/>
    </w:rPr>
  </w:style>
  <w:style w:type="paragraph" w:customStyle="1" w:styleId="BodyTextRight">
    <w:name w:val="Body Text Right"/>
    <w:basedOn w:val="BodyText"/>
    <w:rsid w:val="00E105B1"/>
    <w:pPr>
      <w:spacing w:before="0" w:after="0"/>
      <w:jc w:val="right"/>
    </w:pPr>
  </w:style>
  <w:style w:type="paragraph" w:styleId="Index3">
    <w:name w:val="index 3"/>
    <w:basedOn w:val="ListNumber2"/>
    <w:next w:val="Normal"/>
    <w:semiHidden/>
    <w:rsid w:val="00E105B1"/>
    <w:pPr>
      <w:numPr>
        <w:numId w:val="0"/>
      </w:numPr>
      <w:tabs>
        <w:tab w:val="right" w:leader="dot" w:pos="4176"/>
      </w:tabs>
    </w:pPr>
  </w:style>
  <w:style w:type="paragraph" w:styleId="ListNumber2">
    <w:name w:val="List Number 2"/>
    <w:basedOn w:val="List2"/>
    <w:rsid w:val="00E105B1"/>
    <w:pPr>
      <w:numPr>
        <w:numId w:val="10"/>
      </w:numPr>
      <w:tabs>
        <w:tab w:val="clear" w:pos="1060"/>
      </w:tabs>
    </w:pPr>
  </w:style>
  <w:style w:type="paragraph" w:customStyle="1" w:styleId="MarginNote">
    <w:name w:val="Margin Note"/>
    <w:basedOn w:val="BodyText"/>
    <w:rsid w:val="00E105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05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05B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105B1"/>
    <w:rPr>
      <w:sz w:val="32"/>
    </w:rPr>
  </w:style>
  <w:style w:type="paragraph" w:customStyle="1" w:styleId="HeadingProcedure">
    <w:name w:val="Heading Procedure"/>
    <w:basedOn w:val="HeadingBase"/>
    <w:next w:val="Normal"/>
    <w:rsid w:val="00E105B1"/>
    <w:pPr>
      <w:tabs>
        <w:tab w:val="left" w:pos="0"/>
      </w:tabs>
      <w:spacing w:before="120" w:after="60"/>
    </w:pPr>
    <w:rPr>
      <w:i/>
      <w:color w:val="918585"/>
      <w:sz w:val="22"/>
    </w:rPr>
  </w:style>
  <w:style w:type="paragraph" w:customStyle="1" w:styleId="TableBodyText">
    <w:name w:val="Table Body Text"/>
    <w:basedOn w:val="BodyText"/>
    <w:rsid w:val="00E105B1"/>
    <w:pPr>
      <w:spacing w:before="60" w:after="60"/>
    </w:pPr>
  </w:style>
  <w:style w:type="paragraph" w:styleId="ListContinue">
    <w:name w:val="List Continue"/>
    <w:basedOn w:val="List"/>
    <w:rsid w:val="00E105B1"/>
    <w:pPr>
      <w:ind w:firstLine="0"/>
    </w:pPr>
  </w:style>
  <w:style w:type="paragraph" w:customStyle="1" w:styleId="ListNote">
    <w:name w:val="List Note"/>
    <w:basedOn w:val="List"/>
    <w:rsid w:val="00E105B1"/>
    <w:pPr>
      <w:pBdr>
        <w:top w:val="single" w:sz="6" w:space="2" w:color="918585"/>
        <w:bottom w:val="single" w:sz="6" w:space="2" w:color="918585"/>
      </w:pBdr>
      <w:tabs>
        <w:tab w:val="left" w:pos="1021"/>
      </w:tabs>
      <w:ind w:firstLine="0"/>
    </w:pPr>
  </w:style>
  <w:style w:type="paragraph" w:customStyle="1" w:styleId="Warning">
    <w:name w:val="Warning"/>
    <w:basedOn w:val="BodyText"/>
    <w:rsid w:val="00E105B1"/>
    <w:pPr>
      <w:shd w:val="clear" w:color="auto" w:fill="D9D9D9"/>
      <w:tabs>
        <w:tab w:val="left" w:pos="992"/>
      </w:tabs>
      <w:ind w:left="119" w:right="119"/>
    </w:pPr>
    <w:rPr>
      <w:sz w:val="20"/>
    </w:rPr>
  </w:style>
  <w:style w:type="paragraph" w:customStyle="1" w:styleId="MarginIcons">
    <w:name w:val="Margin Icons"/>
    <w:basedOn w:val="BodyText"/>
    <w:rsid w:val="00E105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05B1"/>
    <w:rPr>
      <w:rFonts w:ascii="Courier New" w:hAnsi="Courier New"/>
    </w:rPr>
  </w:style>
  <w:style w:type="paragraph" w:customStyle="1" w:styleId="NoteBullet">
    <w:name w:val="Note Bullet"/>
    <w:basedOn w:val="Note"/>
    <w:rsid w:val="00E105B1"/>
    <w:pPr>
      <w:tabs>
        <w:tab w:val="clear" w:pos="680"/>
      </w:tabs>
      <w:spacing w:before="60" w:after="60"/>
    </w:pPr>
  </w:style>
  <w:style w:type="paragraph" w:customStyle="1" w:styleId="SubHeading2">
    <w:name w:val="SubHeading2"/>
    <w:basedOn w:val="HeadingBase"/>
    <w:rsid w:val="00E105B1"/>
    <w:pPr>
      <w:spacing w:before="240" w:after="60"/>
    </w:pPr>
    <w:rPr>
      <w:sz w:val="20"/>
    </w:rPr>
  </w:style>
  <w:style w:type="paragraph" w:customStyle="1" w:styleId="SubHeading1">
    <w:name w:val="SubHeading1"/>
    <w:basedOn w:val="HeadingBase"/>
    <w:rsid w:val="00E105B1"/>
    <w:pPr>
      <w:spacing w:before="240" w:after="60"/>
    </w:pPr>
    <w:rPr>
      <w:color w:val="918585"/>
      <w:sz w:val="22"/>
    </w:rPr>
  </w:style>
  <w:style w:type="paragraph" w:customStyle="1" w:styleId="SideHeading">
    <w:name w:val="Side Heading"/>
    <w:basedOn w:val="HeadingBase"/>
    <w:rsid w:val="00E105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05B1"/>
    <w:pPr>
      <w:numPr>
        <w:numId w:val="12"/>
      </w:numPr>
    </w:pPr>
  </w:style>
  <w:style w:type="paragraph" w:styleId="PlainText">
    <w:name w:val="Plain Text"/>
    <w:basedOn w:val="Normal"/>
    <w:link w:val="PlainTextChar"/>
    <w:rsid w:val="00E105B1"/>
    <w:rPr>
      <w:sz w:val="20"/>
    </w:rPr>
  </w:style>
  <w:style w:type="character" w:customStyle="1" w:styleId="PlainTextChar">
    <w:name w:val="Plain Text Char"/>
    <w:basedOn w:val="DefaultParagraphFont"/>
    <w:link w:val="PlainText"/>
    <w:rsid w:val="00E105B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105B1"/>
    <w:rPr>
      <w:b/>
      <w:smallCaps/>
    </w:rPr>
  </w:style>
  <w:style w:type="paragraph" w:customStyle="1" w:styleId="TableListNumber">
    <w:name w:val="Table List Number"/>
    <w:basedOn w:val="ListNumber"/>
    <w:rsid w:val="00E105B1"/>
    <w:pPr>
      <w:numPr>
        <w:numId w:val="0"/>
      </w:numPr>
    </w:pPr>
  </w:style>
  <w:style w:type="paragraph" w:styleId="TOC4">
    <w:name w:val="toc 4"/>
    <w:basedOn w:val="TOCBase"/>
    <w:next w:val="Normal"/>
    <w:semiHidden/>
    <w:rsid w:val="00E105B1"/>
    <w:pPr>
      <w:tabs>
        <w:tab w:val="right" w:leader="dot" w:pos="9071"/>
      </w:tabs>
      <w:ind w:left="1701"/>
    </w:pPr>
  </w:style>
  <w:style w:type="paragraph" w:customStyle="1" w:styleId="ListAlpha">
    <w:name w:val="List Alpha"/>
    <w:basedOn w:val="List"/>
    <w:rsid w:val="00E105B1"/>
    <w:pPr>
      <w:numPr>
        <w:numId w:val="9"/>
      </w:numPr>
    </w:pPr>
  </w:style>
  <w:style w:type="paragraph" w:customStyle="1" w:styleId="ListAlpha2">
    <w:name w:val="List Alpha 2"/>
    <w:basedOn w:val="List2"/>
    <w:rsid w:val="00E105B1"/>
    <w:pPr>
      <w:numPr>
        <w:numId w:val="8"/>
      </w:numPr>
    </w:pPr>
  </w:style>
  <w:style w:type="paragraph" w:styleId="List2">
    <w:name w:val="List 2"/>
    <w:basedOn w:val="BodyText"/>
    <w:rsid w:val="00E105B1"/>
    <w:pPr>
      <w:tabs>
        <w:tab w:val="left" w:pos="680"/>
      </w:tabs>
      <w:spacing w:before="60" w:after="60"/>
      <w:ind w:left="680" w:hanging="340"/>
    </w:pPr>
  </w:style>
  <w:style w:type="paragraph" w:styleId="List3">
    <w:name w:val="List 3"/>
    <w:basedOn w:val="BodyText"/>
    <w:rsid w:val="00E105B1"/>
    <w:pPr>
      <w:tabs>
        <w:tab w:val="left" w:pos="1021"/>
      </w:tabs>
      <w:spacing w:before="60" w:after="60"/>
      <w:ind w:left="1020" w:hanging="340"/>
    </w:pPr>
  </w:style>
  <w:style w:type="paragraph" w:styleId="List4">
    <w:name w:val="List 4"/>
    <w:basedOn w:val="BodyText"/>
    <w:rsid w:val="00E105B1"/>
    <w:pPr>
      <w:tabs>
        <w:tab w:val="left" w:pos="1361"/>
      </w:tabs>
      <w:spacing w:before="60" w:after="60"/>
      <w:ind w:left="1361" w:hanging="340"/>
    </w:pPr>
  </w:style>
  <w:style w:type="paragraph" w:styleId="List5">
    <w:name w:val="List 5"/>
    <w:basedOn w:val="BodyText"/>
    <w:rsid w:val="00E105B1"/>
    <w:pPr>
      <w:tabs>
        <w:tab w:val="left" w:pos="1701"/>
      </w:tabs>
      <w:spacing w:before="60" w:after="60"/>
      <w:ind w:left="1701" w:hanging="340"/>
    </w:pPr>
  </w:style>
  <w:style w:type="paragraph" w:styleId="ListBullet3">
    <w:name w:val="List Bullet 3"/>
    <w:basedOn w:val="List3"/>
    <w:rsid w:val="00E105B1"/>
    <w:pPr>
      <w:numPr>
        <w:numId w:val="15"/>
      </w:numPr>
      <w:tabs>
        <w:tab w:val="clear" w:pos="1021"/>
      </w:tabs>
      <w:ind w:left="1037" w:hanging="357"/>
    </w:pPr>
  </w:style>
  <w:style w:type="paragraph" w:styleId="ListBullet4">
    <w:name w:val="List Bullet 4"/>
    <w:basedOn w:val="List4"/>
    <w:rsid w:val="00E105B1"/>
    <w:pPr>
      <w:numPr>
        <w:numId w:val="3"/>
      </w:numPr>
    </w:pPr>
  </w:style>
  <w:style w:type="paragraph" w:styleId="ListBullet5">
    <w:name w:val="List Bullet 5"/>
    <w:basedOn w:val="List5"/>
    <w:rsid w:val="00E105B1"/>
    <w:pPr>
      <w:numPr>
        <w:numId w:val="4"/>
      </w:numPr>
    </w:pPr>
  </w:style>
  <w:style w:type="paragraph" w:styleId="ListContinue2">
    <w:name w:val="List Continue 2"/>
    <w:basedOn w:val="List2"/>
    <w:rsid w:val="00E105B1"/>
    <w:pPr>
      <w:ind w:firstLine="0"/>
    </w:pPr>
  </w:style>
  <w:style w:type="paragraph" w:styleId="ListContinue3">
    <w:name w:val="List Continue 3"/>
    <w:basedOn w:val="List3"/>
    <w:rsid w:val="00E105B1"/>
    <w:pPr>
      <w:ind w:left="1021" w:firstLine="0"/>
    </w:pPr>
  </w:style>
  <w:style w:type="paragraph" w:styleId="ListContinue4">
    <w:name w:val="List Continue 4"/>
    <w:basedOn w:val="List4"/>
    <w:rsid w:val="00E105B1"/>
    <w:pPr>
      <w:ind w:firstLine="0"/>
    </w:pPr>
  </w:style>
  <w:style w:type="paragraph" w:styleId="ListContinue5">
    <w:name w:val="List Continue 5"/>
    <w:basedOn w:val="List5"/>
    <w:rsid w:val="00E105B1"/>
    <w:pPr>
      <w:ind w:firstLine="0"/>
    </w:pPr>
  </w:style>
  <w:style w:type="paragraph" w:styleId="ListNumber3">
    <w:name w:val="List Number 3"/>
    <w:basedOn w:val="List3"/>
    <w:rsid w:val="00E105B1"/>
    <w:pPr>
      <w:numPr>
        <w:numId w:val="5"/>
      </w:numPr>
    </w:pPr>
  </w:style>
  <w:style w:type="paragraph" w:styleId="ListNumber4">
    <w:name w:val="List Number 4"/>
    <w:basedOn w:val="List4"/>
    <w:rsid w:val="00E105B1"/>
    <w:pPr>
      <w:numPr>
        <w:numId w:val="6"/>
      </w:numPr>
    </w:pPr>
  </w:style>
  <w:style w:type="paragraph" w:styleId="ListNumber5">
    <w:name w:val="List Number 5"/>
    <w:basedOn w:val="List5"/>
    <w:rsid w:val="00E105B1"/>
    <w:pPr>
      <w:numPr>
        <w:numId w:val="7"/>
      </w:numPr>
    </w:pPr>
  </w:style>
  <w:style w:type="paragraph" w:styleId="BlockText">
    <w:name w:val="Block Text"/>
    <w:basedOn w:val="Normal"/>
    <w:rsid w:val="00E105B1"/>
    <w:pPr>
      <w:spacing w:after="120"/>
      <w:ind w:left="1440" w:right="1440"/>
    </w:pPr>
  </w:style>
  <w:style w:type="character" w:customStyle="1" w:styleId="Subscript">
    <w:name w:val="Subscript"/>
    <w:basedOn w:val="DefaultParagraphFont"/>
    <w:rsid w:val="00E105B1"/>
    <w:rPr>
      <w:sz w:val="16"/>
      <w:vertAlign w:val="subscript"/>
    </w:rPr>
  </w:style>
  <w:style w:type="character" w:customStyle="1" w:styleId="Superscript">
    <w:name w:val="Superscript"/>
    <w:basedOn w:val="DefaultParagraphFont"/>
    <w:rsid w:val="00E105B1"/>
    <w:rPr>
      <w:sz w:val="16"/>
      <w:vertAlign w:val="superscript"/>
    </w:rPr>
  </w:style>
  <w:style w:type="character" w:customStyle="1" w:styleId="Symbols">
    <w:name w:val="Symbols"/>
    <w:basedOn w:val="DefaultParagraphFont"/>
    <w:rsid w:val="00E105B1"/>
    <w:rPr>
      <w:rFonts w:ascii="Symbol" w:hAnsi="Symbol"/>
    </w:rPr>
  </w:style>
  <w:style w:type="character" w:customStyle="1" w:styleId="MenuOptions">
    <w:name w:val="Menu Options"/>
    <w:basedOn w:val="DefaultParagraphFont"/>
    <w:rsid w:val="00E105B1"/>
    <w:rPr>
      <w:rFonts w:ascii="Arial Narrow" w:hAnsi="Arial Narrow"/>
      <w:smallCaps/>
    </w:rPr>
  </w:style>
  <w:style w:type="character" w:customStyle="1" w:styleId="Buttons">
    <w:name w:val="Buttons"/>
    <w:basedOn w:val="DefaultParagraphFont"/>
    <w:rsid w:val="00E105B1"/>
    <w:rPr>
      <w:b/>
    </w:rPr>
  </w:style>
  <w:style w:type="character" w:customStyle="1" w:styleId="Underlined">
    <w:name w:val="Underlined"/>
    <w:basedOn w:val="DefaultParagraphFont"/>
    <w:rsid w:val="00E105B1"/>
    <w:rPr>
      <w:u w:val="single"/>
    </w:rPr>
  </w:style>
  <w:style w:type="paragraph" w:customStyle="1" w:styleId="TableBodyTextRight">
    <w:name w:val="Table Body Text Right"/>
    <w:basedOn w:val="TableBodyText"/>
    <w:rsid w:val="00E105B1"/>
    <w:pPr>
      <w:widowControl w:val="0"/>
      <w:autoSpaceDE w:val="0"/>
      <w:autoSpaceDN w:val="0"/>
      <w:adjustRightInd w:val="0"/>
      <w:jc w:val="right"/>
    </w:pPr>
    <w:rPr>
      <w:rFonts w:cs="Arial"/>
      <w:szCs w:val="18"/>
    </w:rPr>
  </w:style>
  <w:style w:type="paragraph" w:customStyle="1" w:styleId="CopyrightText">
    <w:name w:val="Copyright Text"/>
    <w:basedOn w:val="BodyText"/>
    <w:rsid w:val="00E105B1"/>
    <w:rPr>
      <w:sz w:val="18"/>
    </w:rPr>
  </w:style>
  <w:style w:type="paragraph" w:customStyle="1" w:styleId="BodySmallRight">
    <w:name w:val="Body Small Right"/>
    <w:basedOn w:val="BodyTextRight"/>
    <w:rsid w:val="00E105B1"/>
    <w:rPr>
      <w:sz w:val="18"/>
      <w:szCs w:val="18"/>
    </w:rPr>
  </w:style>
  <w:style w:type="paragraph" w:customStyle="1" w:styleId="MarginEdition">
    <w:name w:val="Margin Edition"/>
    <w:basedOn w:val="MarginNote"/>
    <w:rsid w:val="00E105B1"/>
    <w:pPr>
      <w:spacing w:before="0" w:after="0"/>
    </w:pPr>
    <w:rPr>
      <w:rFonts w:ascii="Times New Roman" w:hAnsi="Times New Roman"/>
      <w:color w:val="999999"/>
    </w:rPr>
  </w:style>
  <w:style w:type="paragraph" w:customStyle="1" w:styleId="Spacer">
    <w:name w:val="Spacer"/>
    <w:basedOn w:val="Normal"/>
    <w:rsid w:val="00E105B1"/>
    <w:rPr>
      <w:sz w:val="2"/>
      <w:szCs w:val="2"/>
    </w:rPr>
  </w:style>
  <w:style w:type="character" w:customStyle="1" w:styleId="Small">
    <w:name w:val="Small"/>
    <w:basedOn w:val="DefaultParagraphFont"/>
    <w:rsid w:val="00E105B1"/>
    <w:rPr>
      <w:sz w:val="16"/>
    </w:rPr>
  </w:style>
  <w:style w:type="paragraph" w:customStyle="1" w:styleId="WideTable">
    <w:name w:val="Wide Table"/>
    <w:basedOn w:val="Normal"/>
    <w:rsid w:val="00E105B1"/>
    <w:pPr>
      <w:ind w:left="-1418"/>
    </w:pPr>
    <w:rPr>
      <w:sz w:val="2"/>
      <w:szCs w:val="2"/>
    </w:rPr>
  </w:style>
  <w:style w:type="character" w:styleId="PageNumber">
    <w:name w:val="page number"/>
    <w:basedOn w:val="DefaultParagraphFont"/>
    <w:rsid w:val="00E105B1"/>
  </w:style>
  <w:style w:type="paragraph" w:styleId="Quote">
    <w:name w:val="Quote"/>
    <w:basedOn w:val="Heading1"/>
    <w:link w:val="QuoteChar"/>
    <w:qFormat/>
    <w:rsid w:val="00E105B1"/>
    <w:rPr>
      <w:b w:val="0"/>
      <w:sz w:val="72"/>
      <w:szCs w:val="72"/>
      <w:lang w:val="en-NZ"/>
    </w:rPr>
  </w:style>
  <w:style w:type="character" w:customStyle="1" w:styleId="QuoteChar">
    <w:name w:val="Quote Char"/>
    <w:basedOn w:val="DefaultParagraphFont"/>
    <w:link w:val="Quote"/>
    <w:rsid w:val="00E105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05B1"/>
    <w:pPr>
      <w:pageBreakBefore/>
    </w:pPr>
  </w:style>
  <w:style w:type="paragraph" w:customStyle="1" w:styleId="Border">
    <w:name w:val="Border"/>
    <w:basedOn w:val="Normal"/>
    <w:qFormat/>
    <w:rsid w:val="00E105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05B1"/>
    <w:rPr>
      <w:b/>
      <w:bCs/>
      <w:i/>
      <w:iCs/>
      <w:color w:val="auto"/>
    </w:rPr>
  </w:style>
  <w:style w:type="paragraph" w:styleId="IntenseQuote">
    <w:name w:val="Intense Quote"/>
    <w:basedOn w:val="Normal"/>
    <w:next w:val="Normal"/>
    <w:link w:val="IntenseQuoteChar"/>
    <w:uiPriority w:val="30"/>
    <w:qFormat/>
    <w:rsid w:val="00E105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05B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105B1"/>
    <w:rPr>
      <w:smallCaps/>
      <w:color w:val="auto"/>
      <w:u w:val="single"/>
    </w:rPr>
  </w:style>
  <w:style w:type="character" w:styleId="IntenseReference">
    <w:name w:val="Intense Reference"/>
    <w:basedOn w:val="DefaultParagraphFont"/>
    <w:uiPriority w:val="32"/>
    <w:qFormat/>
    <w:rsid w:val="00E105B1"/>
    <w:rPr>
      <w:b/>
      <w:bCs/>
      <w:smallCaps/>
      <w:color w:val="auto"/>
      <w:spacing w:val="5"/>
      <w:u w:val="single"/>
    </w:rPr>
  </w:style>
  <w:style w:type="paragraph" w:customStyle="1" w:styleId="2ColumnHeading">
    <w:name w:val="2Column Heading"/>
    <w:basedOn w:val="BodyText"/>
    <w:qFormat/>
    <w:rsid w:val="00E105B1"/>
    <w:pPr>
      <w:spacing w:after="60"/>
      <w:ind w:left="-2268"/>
    </w:pPr>
    <w:rPr>
      <w:b/>
    </w:rPr>
  </w:style>
  <w:style w:type="paragraph" w:customStyle="1" w:styleId="Heading1TOC">
    <w:name w:val="Heading1 TOC"/>
    <w:basedOn w:val="Normal"/>
    <w:qFormat/>
    <w:rsid w:val="00E105B1"/>
    <w:pPr>
      <w:spacing w:before="240" w:after="120"/>
    </w:pPr>
    <w:rPr>
      <w:rFonts w:ascii="Times New Roman" w:hAnsi="Times New Roman"/>
      <w:b/>
      <w:sz w:val="32"/>
    </w:rPr>
  </w:style>
  <w:style w:type="paragraph" w:customStyle="1" w:styleId="Heading2TOC">
    <w:name w:val="Heading2 TOC"/>
    <w:basedOn w:val="Normal"/>
    <w:qFormat/>
    <w:rsid w:val="00E105B1"/>
    <w:pPr>
      <w:spacing w:before="240" w:after="60"/>
    </w:pPr>
    <w:rPr>
      <w:rFonts w:ascii="Times New Roman" w:hAnsi="Times New Roman"/>
      <w:b/>
      <w:sz w:val="28"/>
    </w:rPr>
  </w:style>
  <w:style w:type="character" w:customStyle="1" w:styleId="Underline">
    <w:name w:val="Underline"/>
    <w:basedOn w:val="DefaultParagraphFont"/>
    <w:qFormat/>
    <w:rsid w:val="00E105B1"/>
    <w:rPr>
      <w:u w:val="single"/>
    </w:rPr>
  </w:style>
  <w:style w:type="character" w:customStyle="1" w:styleId="BoldandItalics">
    <w:name w:val="Bold and Italics"/>
    <w:qFormat/>
    <w:rsid w:val="00E105B1"/>
    <w:rPr>
      <w:b/>
      <w:i/>
      <w:u w:val="none"/>
    </w:rPr>
  </w:style>
  <w:style w:type="paragraph" w:styleId="BalloonText">
    <w:name w:val="Balloon Text"/>
    <w:basedOn w:val="Normal"/>
    <w:link w:val="BalloonTextChar"/>
    <w:rsid w:val="00E105B1"/>
    <w:rPr>
      <w:rFonts w:ascii="Tahoma" w:hAnsi="Tahoma" w:cs="Tahoma"/>
      <w:sz w:val="16"/>
      <w:szCs w:val="16"/>
    </w:rPr>
  </w:style>
  <w:style w:type="character" w:customStyle="1" w:styleId="BalloonTextChar">
    <w:name w:val="Balloon Text Char"/>
    <w:basedOn w:val="DefaultParagraphFont"/>
    <w:link w:val="BalloonText"/>
    <w:rsid w:val="00E105B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105B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105B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2035</Words>
  <Characters>12243</Characters>
  <Application>Microsoft Office Word</Application>
  <DocSecurity>0</DocSecurity>
  <Lines>464</Lines>
  <Paragraphs>170</Paragraphs>
  <ScaleCrop>false</ScaleCrop>
  <Company>Author-it Software Corporation Ltd.</Company>
  <LinksUpToDate>false</LinksUpToDate>
  <CharactersWithSpaces>14131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UEENEEI008C Install process control apparatus and associated equipment</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2012-05-26T11:21:00Z</dcterms:created>
  <dcterms:modified xsi:type="dcterms:W3CDTF">2012-05-26T11:21:00Z</dcterms:modified>
</cp:coreProperties>
</file>