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6EDC" w:rsidP="00086EDC">
      <w:pPr>
        <w:pStyle w:val="Title"/>
      </w:pPr>
      <w:r>
        <w:fldChar w:fldCharType="begin"/>
      </w:r>
      <w:r>
        <w:instrText xml:space="preserve"> TITLE   \* MERGEFORMAT </w:instrText>
      </w:r>
      <w:r>
        <w:fldChar w:fldCharType="separate"/>
      </w:r>
      <w:r>
        <w:t>UEENEEH091A Diagnose and rectify faults in air navigation systems</w:t>
      </w:r>
      <w:r>
        <w:fldChar w:fldCharType="end"/>
      </w:r>
    </w:p>
    <w:p w:rsidR="00086EDC" w:rsidP="00086EDC">
      <w:pPr>
        <w:pStyle w:val="Version"/>
        <w:sectPr w:rsidSect="00121F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1F1F" w:rsidP="00121F1F">
      <w:pPr>
        <w:pStyle w:val="SuperHeading"/>
      </w:pPr>
      <w:r w:rsidRPr="00121F1F">
        <w:t>UEENEEH091A Diagnose and rectify faults in air navigation systems</w:t>
      </w:r>
    </w:p>
    <w:p w:rsidR="00000000" w:rsidRPr="00121F1F" w:rsidP="00121F1F">
      <w:pPr>
        <w:pStyle w:val="Heading1"/>
      </w:pPr>
      <w:bookmarkStart w:id="1" w:name="O_274773"/>
      <w:bookmarkEnd w:id="1"/>
      <w:r w:rsidRPr="00121F1F">
        <w:t>Modification History</w:t>
      </w:r>
    </w:p>
    <w:p w:rsidR="00000000" w:rsidRPr="00121F1F" w:rsidP="00121F1F">
      <w:pPr>
        <w:pStyle w:val="BodyText"/>
      </w:pPr>
      <w:r w:rsidRPr="00121F1F">
        <w:t>Not Applicable</w:t>
      </w:r>
    </w:p>
    <w:p w:rsidR="00000000" w:rsidRPr="00121F1F" w:rsidP="00121F1F">
      <w:pPr>
        <w:pStyle w:val="AllowPageBreak"/>
      </w:pPr>
    </w:p>
    <w:p w:rsidR="00000000" w:rsidRPr="00121F1F" w:rsidP="00121F1F">
      <w:pPr>
        <w:pStyle w:val="Heading1"/>
      </w:pPr>
      <w:bookmarkStart w:id="2" w:name="O_227166"/>
      <w:bookmarkEnd w:id="2"/>
      <w:r w:rsidRPr="00121F1F">
        <w:t>Unit Descriptor</w:t>
      </w:r>
    </w:p>
    <w:tbl>
      <w:tblPr>
        <w:tblW w:w="0" w:type="auto"/>
        <w:tblLayout w:type="fixed"/>
        <w:tblCellMar>
          <w:left w:w="62" w:type="dxa"/>
          <w:right w:w="62" w:type="dxa"/>
        </w:tblCellMar>
        <w:tblLook w:val="0000"/>
      </w:tblPr>
      <w:tblGrid>
        <w:gridCol w:w="2700"/>
        <w:gridCol w:w="5760"/>
      </w:tblGrid>
      <w:tr w:rsidTr="00086E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rPr>
                <w:rStyle w:val="SpecialBold"/>
              </w:rPr>
              <w:t>1</w:t>
            </w:r>
            <w:r w:rsidRPr="00121F1F">
              <w:t>)</w:t>
            </w:r>
          </w:p>
          <w:p w:rsidR="00000000" w:rsidP="00121F1F">
            <w:pPr>
              <w:pStyle w:val="BodyText"/>
              <w:rPr>
                <w:lang w:val="en-NZ"/>
              </w:rPr>
            </w:pPr>
            <w:r w:rsidRPr="00121F1F">
              <w:rPr>
                <w:rStyle w:val="SpecialBold"/>
              </w:rPr>
              <w:t>1</w:t>
            </w:r>
            <w:r w:rsidRPr="00121F1F">
              <w:t>.</w:t>
            </w:r>
            <w:r w:rsidRPr="00121F1F">
              <w:rPr>
                <w:rStyle w:val="SpecialBold"/>
              </w:rPr>
              <w:t>1</w:t>
            </w:r>
            <w:r w:rsidRPr="00121F1F">
              <w:t xml:space="preserve">) </w:t>
            </w:r>
            <w:r w:rsidRPr="00121F1F">
              <w:rPr>
                <w:rStyle w:val="SpecialBold"/>
              </w:rPr>
              <w:t>Descriptor</w:t>
            </w:r>
          </w:p>
        </w:tc>
      </w:tr>
      <w:tr w:rsidTr="00086E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t xml:space="preserve">This unit covers fault finding, repairing of faults and commissioning of air navigation systems. The unit encompasses safe working practices, interpreting circuit diagrams, applying logical diagnostic methods and knowledge of navigation system components, </w:t>
            </w:r>
            <w:r w:rsidRPr="00121F1F">
              <w:t>rectifying faults, safety and functional testing and completing the necessary service documentation.</w:t>
            </w:r>
          </w:p>
        </w:tc>
      </w:tr>
    </w:tbl>
    <w:p w:rsidR="00086EDC" w:rsidP="00121F1F">
      <w:pPr>
        <w:pStyle w:val="BodyText"/>
      </w:pPr>
    </w:p>
    <w:p w:rsidR="00086EDC" w:rsidP="00121F1F">
      <w:pPr>
        <w:pStyle w:val="BodyText"/>
      </w:pPr>
    </w:p>
    <w:p w:rsidR="00000000" w:rsidRPr="00121F1F" w:rsidP="00121F1F">
      <w:pPr>
        <w:pStyle w:val="Heading1"/>
      </w:pPr>
      <w:bookmarkStart w:id="3" w:name="O_227171"/>
      <w:bookmarkEnd w:id="3"/>
      <w:r w:rsidRPr="00121F1F">
        <w:t>Application of the Unit</w:t>
      </w:r>
    </w:p>
    <w:tbl>
      <w:tblPr>
        <w:tblW w:w="0" w:type="auto"/>
        <w:tblLayout w:type="fixed"/>
        <w:tblCellMar>
          <w:left w:w="62" w:type="dxa"/>
          <w:right w:w="62" w:type="dxa"/>
        </w:tblCellMar>
        <w:tblLook w:val="0000"/>
      </w:tblPr>
      <w:tblGrid>
        <w:gridCol w:w="2700"/>
        <w:gridCol w:w="5760"/>
      </w:tblGrid>
      <w:tr w:rsidTr="00086E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rPr>
                <w:rStyle w:val="SpecialBold"/>
              </w:rPr>
              <w:t>4</w:t>
            </w:r>
            <w:r w:rsidRPr="00121F1F">
              <w:t>)</w:t>
            </w:r>
          </w:p>
        </w:tc>
      </w:tr>
      <w:tr w:rsidTr="00086E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t>This unit is intended as an additional competency to relevant competencies previously acquired. It is suitable for employment-based programs under an approved contract of training at the aligned AQF 5 level or higher.</w:t>
            </w:r>
          </w:p>
        </w:tc>
      </w:tr>
    </w:tbl>
    <w:p w:rsidR="00086EDC" w:rsidP="00121F1F">
      <w:pPr>
        <w:pStyle w:val="BodyText"/>
      </w:pPr>
    </w:p>
    <w:p w:rsidR="00086EDC" w:rsidP="00121F1F">
      <w:pPr>
        <w:pStyle w:val="BodyText"/>
      </w:pPr>
    </w:p>
    <w:p w:rsidR="00000000" w:rsidRPr="00121F1F" w:rsidP="00121F1F">
      <w:pPr>
        <w:pStyle w:val="Heading1"/>
      </w:pPr>
      <w:bookmarkStart w:id="4" w:name="O_227167"/>
      <w:bookmarkEnd w:id="4"/>
      <w:r w:rsidRPr="00121F1F">
        <w:t>Licensing/Regulatory Information</w:t>
      </w:r>
    </w:p>
    <w:tbl>
      <w:tblPr>
        <w:tblW w:w="0" w:type="auto"/>
        <w:tblLayout w:type="fixed"/>
        <w:tblCellMar>
          <w:left w:w="62" w:type="dxa"/>
          <w:right w:w="62" w:type="dxa"/>
        </w:tblCellMar>
        <w:tblLook w:val="0000"/>
      </w:tblPr>
      <w:tblGrid>
        <w:gridCol w:w="8460"/>
      </w:tblGrid>
      <w:tr w:rsidTr="00086E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rPr>
                <w:rStyle w:val="SpecialBold"/>
              </w:rPr>
              <w:t>1</w:t>
            </w:r>
            <w:r w:rsidRPr="00121F1F">
              <w:t>.</w:t>
            </w:r>
            <w:r w:rsidRPr="00121F1F">
              <w:rPr>
                <w:rStyle w:val="SpecialBold"/>
              </w:rPr>
              <w:t>2</w:t>
            </w:r>
            <w:r w:rsidRPr="00121F1F">
              <w:t xml:space="preserve">) </w:t>
            </w:r>
            <w:r w:rsidRPr="00121F1F">
              <w:rPr>
                <w:rStyle w:val="SpecialBold"/>
              </w:rPr>
              <w:t>License to practice</w:t>
            </w:r>
          </w:p>
        </w:tc>
      </w:tr>
      <w:tr w:rsidTr="00086E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t>However other conditions may apply in some jurisdictions subject to regulations related to electrical work. Practice in the workplace and during training is also subject to regulations directly rel</w:t>
            </w:r>
            <w:r w:rsidRPr="00121F1F">
              <w:t>ated to occupational health and safety and where applicable contracts of training such as traineeship.</w:t>
            </w:r>
          </w:p>
          <w:p w:rsidR="00000000" w:rsidRPr="00121F1F" w:rsidP="00121F1F">
            <w:pPr>
              <w:pStyle w:val="BodyText"/>
            </w:pPr>
            <w:r w:rsidRPr="00121F1F">
              <w:t>Note:</w:t>
            </w:r>
            <w:r w:rsidRPr="00121F1F">
              <w:br/>
              <w:t>1. Compliance with permits may be required in various jurisdictions and typically relates to the operation of plant, machinery and equipment such a</w:t>
            </w:r>
            <w:r w:rsidRPr="00121F1F">
              <w:t>s elevating work platforms, powder operated fixing tools, power operated tools, vehicles, road signage and traffic control, lifting equipment and the like. Permits may also be required for some work environments such as confined spaces, working aloft, near</w:t>
            </w:r>
            <w:r w:rsidRPr="00121F1F">
              <w:t xml:space="preserve"> live electrical apparatus and site rehabilitation.</w:t>
            </w:r>
            <w:r w:rsidRPr="00121F1F">
              <w:br/>
              <w:t>2. Compliance may be required in various jurisdictions relating to currency in First Aid, confined space, lifting and risk safety measures.</w:t>
            </w:r>
          </w:p>
          <w:p w:rsidR="00000000" w:rsidRPr="00121F1F" w:rsidP="00121F1F">
            <w:pPr>
              <w:pStyle w:val="BodyText"/>
            </w:pPr>
            <w:r w:rsidRPr="00121F1F">
              <w:t>The skills and knowledge described in this unit may require a li</w:t>
            </w:r>
            <w:r w:rsidRPr="00121F1F">
              <w:t>cense to practice in the workplace where plant and equipment operate at voltage above 50 V a.c. or 120 V d.c.</w:t>
            </w:r>
          </w:p>
        </w:tc>
      </w:tr>
    </w:tbl>
    <w:p w:rsidR="00086EDC" w:rsidP="00121F1F">
      <w:pPr>
        <w:pStyle w:val="BodyText"/>
      </w:pPr>
    </w:p>
    <w:p w:rsidR="00086EDC" w:rsidP="00121F1F">
      <w:pPr>
        <w:pStyle w:val="BodyText"/>
      </w:pPr>
    </w:p>
    <w:p w:rsidR="00000000" w:rsidRPr="00121F1F" w:rsidP="00121F1F">
      <w:pPr>
        <w:pStyle w:val="Heading1"/>
      </w:pPr>
      <w:bookmarkStart w:id="5" w:name="O_227168"/>
      <w:bookmarkEnd w:id="5"/>
      <w:r w:rsidRPr="00121F1F">
        <w:t>Pre-Requisites</w:t>
      </w:r>
    </w:p>
    <w:tbl>
      <w:tblPr>
        <w:tblW w:w="0" w:type="auto"/>
        <w:tblLayout w:type="fixed"/>
        <w:tblCellMar>
          <w:left w:w="62" w:type="dxa"/>
          <w:right w:w="62" w:type="dxa"/>
        </w:tblCellMar>
        <w:tblLook w:val="0000"/>
      </w:tblPr>
      <w:tblGrid>
        <w:gridCol w:w="2700"/>
        <w:gridCol w:w="5760"/>
      </w:tblGrid>
      <w:tr w:rsidTr="00086E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rPr>
                <w:rStyle w:val="SpecialBold"/>
              </w:rPr>
              <w:t>Prerequisite Unit</w:t>
            </w:r>
            <w:r w:rsidRPr="00121F1F">
              <w:t>(</w:t>
            </w:r>
            <w:r w:rsidRPr="00121F1F">
              <w:rPr>
                <w:rStyle w:val="SpecialBold"/>
              </w:rPr>
              <w:t>s</w:t>
            </w:r>
            <w:r w:rsidRPr="00121F1F">
              <w:t>)</w:t>
            </w:r>
          </w:p>
        </w:tc>
        <w:tc>
          <w:tcPr>
            <w:tcW w:w="576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rPr>
                <w:rStyle w:val="SpecialBold"/>
              </w:rPr>
              <w:t>2</w:t>
            </w:r>
            <w:r w:rsidRPr="00121F1F">
              <w:t>)</w:t>
            </w:r>
          </w:p>
        </w:tc>
      </w:tr>
      <w:tr w:rsidTr="00086E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21F1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rPr>
                <w:rStyle w:val="SpecialBold"/>
              </w:rPr>
              <w:t>2</w:t>
            </w:r>
            <w:r w:rsidRPr="00121F1F">
              <w:t>.</w:t>
            </w:r>
            <w:r w:rsidRPr="00121F1F">
              <w:rPr>
                <w:rStyle w:val="SpecialBold"/>
              </w:rPr>
              <w:t>1</w:t>
            </w:r>
            <w:r w:rsidRPr="00121F1F">
              <w:t xml:space="preserve">) </w:t>
            </w:r>
            <w:r w:rsidRPr="00121F1F">
              <w:rPr>
                <w:rStyle w:val="SpecialBold"/>
              </w:rPr>
              <w:t>Competencies</w:t>
            </w:r>
          </w:p>
        </w:tc>
      </w:tr>
      <w:tr w:rsidTr="00086E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t>Granting competency in this unit shall be made only after competency in the following unit(s) has/have been confirmed.</w:t>
            </w:r>
          </w:p>
          <w:p w:rsidR="00000000" w:rsidRPr="00121F1F" w:rsidP="00121F1F">
            <w:pPr>
              <w:pStyle w:val="BodyText"/>
            </w:pPr>
            <w:r w:rsidRPr="00121F1F">
              <w:t>UEENEEH027B Commission commercial radio frequency (RF) transmission and reception systems</w:t>
            </w:r>
          </w:p>
          <w:p w:rsidR="00000000" w:rsidRPr="00121F1F" w:rsidP="00121F1F">
            <w:pPr>
              <w:pStyle w:val="BodyText"/>
            </w:pPr>
            <w:r w:rsidRPr="00121F1F">
              <w:t>UEENEEH072CFind and repair faults in the RF sec</w:t>
            </w:r>
            <w:r w:rsidRPr="00121F1F">
              <w:t>tions of electronic apparatus</w:t>
            </w:r>
          </w:p>
          <w:p w:rsidR="00000000" w:rsidRPr="00121F1F" w:rsidP="00121F1F">
            <w:pPr>
              <w:pStyle w:val="BodyText"/>
            </w:pPr>
            <w:r w:rsidRPr="00121F1F">
              <w:t>UEENEEH090A Provide solutions to air traffic control system problems</w:t>
            </w:r>
          </w:p>
          <w:p w:rsidR="00000000" w:rsidRPr="00121F1F" w:rsidP="00121F1F">
            <w:pPr>
              <w:pStyle w:val="BodyText"/>
            </w:pPr>
            <w:r w:rsidRPr="00121F1F">
              <w:t>For the full prerequisite chain details for this unit please refer to Table 2 in Volume 1, Part 2</w:t>
            </w:r>
          </w:p>
        </w:tc>
      </w:tr>
    </w:tbl>
    <w:p w:rsidR="00086EDC" w:rsidP="00121F1F">
      <w:pPr>
        <w:pStyle w:val="BodyText"/>
      </w:pPr>
    </w:p>
    <w:p w:rsidR="00086EDC" w:rsidP="00121F1F">
      <w:pPr>
        <w:pStyle w:val="BodyText"/>
      </w:pPr>
    </w:p>
    <w:p w:rsidR="00000000" w:rsidRPr="00121F1F" w:rsidP="00121F1F">
      <w:pPr>
        <w:pStyle w:val="Heading1"/>
      </w:pPr>
      <w:bookmarkStart w:id="6" w:name="O_227170"/>
      <w:bookmarkEnd w:id="6"/>
      <w:r w:rsidRPr="00121F1F">
        <w:t>Employability Skills Information</w:t>
      </w:r>
    </w:p>
    <w:tbl>
      <w:tblPr>
        <w:tblW w:w="0" w:type="auto"/>
        <w:tblLayout w:type="fixed"/>
        <w:tblCellMar>
          <w:left w:w="62" w:type="dxa"/>
          <w:right w:w="62" w:type="dxa"/>
        </w:tblCellMar>
        <w:tblLook w:val="0000"/>
      </w:tblPr>
      <w:tblGrid>
        <w:gridCol w:w="2700"/>
        <w:gridCol w:w="5760"/>
      </w:tblGrid>
      <w:tr w:rsidTr="00086E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rPr>
                <w:rStyle w:val="SpecialBold"/>
              </w:rPr>
              <w:t>Employ</w:t>
            </w:r>
            <w:r w:rsidRPr="00121F1F">
              <w:rPr>
                <w:rStyle w:val="SpecialBold"/>
              </w:rPr>
              <w:t>ability Skills</w:t>
            </w:r>
          </w:p>
        </w:tc>
        <w:tc>
          <w:tcPr>
            <w:tcW w:w="5760" w:type="dxa"/>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rPr>
                <w:rStyle w:val="SpecialBold"/>
              </w:rPr>
              <w:t>3</w:t>
            </w:r>
            <w:r w:rsidRPr="00121F1F">
              <w:t>)</w:t>
            </w:r>
          </w:p>
          <w:p w:rsidR="00000000" w:rsidRPr="00121F1F" w:rsidP="00121F1F">
            <w:pPr>
              <w:pStyle w:val="BodyText"/>
            </w:pPr>
            <w:r w:rsidRPr="00121F1F">
              <w:t>This unit contains Employability Skills</w:t>
            </w:r>
          </w:p>
          <w:p w:rsidR="00000000" w:rsidRPr="00121F1F" w:rsidP="00121F1F">
            <w:pPr>
              <w:pStyle w:val="BodyText"/>
            </w:pPr>
            <w:r w:rsidRPr="00121F1F">
              <w:t>The required outcomes described in this unit of competency contain applica</w:t>
            </w:r>
            <w:r w:rsidRPr="00121F1F">
              <w:t>ble facets of Employability Skills. The Employability Skills Summary of the qualification in which this unit of competency is packaged will assist in identifying Employability Skill requirements.</w:t>
            </w:r>
          </w:p>
        </w:tc>
      </w:tr>
    </w:tbl>
    <w:p w:rsidR="00086EDC" w:rsidP="00121F1F">
      <w:pPr>
        <w:pStyle w:val="BodyText"/>
      </w:pPr>
    </w:p>
    <w:p w:rsidR="00086EDC" w:rsidP="00121F1F">
      <w:pPr>
        <w:pStyle w:val="BodyText"/>
      </w:pPr>
    </w:p>
    <w:p w:rsidR="00000000" w:rsidRPr="00121F1F" w:rsidP="00121F1F">
      <w:pPr>
        <w:pStyle w:val="Heading1"/>
      </w:pPr>
      <w:bookmarkStart w:id="7" w:name="O_292819"/>
      <w:bookmarkEnd w:id="7"/>
      <w:r w:rsidRPr="00121F1F">
        <w:t>Elements and Performance Criteria Pre-Co</w:t>
      </w:r>
      <w:r w:rsidRPr="00121F1F">
        <w:t>ntent</w:t>
      </w:r>
    </w:p>
    <w:tbl>
      <w:tblPr>
        <w:tblW w:w="9216" w:type="dxa"/>
        <w:tblLayout w:type="fixed"/>
        <w:tblCellMar>
          <w:left w:w="62" w:type="dxa"/>
          <w:right w:w="62" w:type="dxa"/>
        </w:tblCellMar>
        <w:tblLook w:val="0000"/>
      </w:tblPr>
      <w:tblGrid>
        <w:gridCol w:w="2410"/>
        <w:gridCol w:w="6806"/>
      </w:tblGrid>
      <w:tr w:rsidTr="00086EDC">
        <w:tblPrEx>
          <w:tblW w:w="9216" w:type="dxa"/>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rPr>
                <w:rStyle w:val="SpecialBold"/>
              </w:rPr>
              <w:t>6</w:t>
            </w:r>
            <w:r w:rsidRPr="00121F1F">
              <w:t>) Elements describe the essential outcomes of a unit of competency</w:t>
            </w:r>
          </w:p>
        </w:tc>
        <w:tc>
          <w:tcPr>
            <w:tcW w:w="6806" w:type="dxa"/>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t>Performance criteria describe the required performance needed to demonstrate achievement of the Element. Assessment of performance is to be consistent with the evidence guide.</w:t>
            </w:r>
          </w:p>
        </w:tc>
      </w:tr>
    </w:tbl>
    <w:p w:rsidR="00000000" w:rsidRPr="00121F1F" w:rsidP="00121F1F">
      <w:pPr>
        <w:pStyle w:val="BodyText"/>
      </w:pPr>
    </w:p>
    <w:p w:rsidR="00000000" w:rsidRPr="00121F1F" w:rsidP="00121F1F">
      <w:pPr>
        <w:pStyle w:val="AllowPageBreak"/>
      </w:pPr>
    </w:p>
    <w:p w:rsidR="00000000" w:rsidRPr="00121F1F" w:rsidP="00121F1F">
      <w:pPr>
        <w:pStyle w:val="Heading1"/>
      </w:pPr>
      <w:bookmarkStart w:id="8" w:name="O_239487"/>
      <w:bookmarkEnd w:id="8"/>
      <w:r w:rsidRPr="00121F1F">
        <w:t>Elements and Performance Criteria</w:t>
      </w:r>
    </w:p>
    <w:tbl>
      <w:tblPr>
        <w:tblW w:w="9216" w:type="dxa"/>
        <w:tblLayout w:type="fixed"/>
        <w:tblCellMar>
          <w:left w:w="62" w:type="dxa"/>
          <w:right w:w="62" w:type="dxa"/>
        </w:tblCellMar>
        <w:tblLook w:val="0000"/>
      </w:tblPr>
      <w:tblGrid>
        <w:gridCol w:w="360"/>
        <w:gridCol w:w="2050"/>
        <w:gridCol w:w="900"/>
        <w:gridCol w:w="5906"/>
      </w:tblGrid>
      <w:tr w:rsidTr="00086EDC">
        <w:tblPrEx>
          <w:tblW w:w="9216" w:type="dxa"/>
          <w:tblLayout w:type="fixed"/>
          <w:tblCellMar>
            <w:left w:w="62" w:type="dxa"/>
            <w:right w:w="62" w:type="dxa"/>
          </w:tblCellMar>
          <w:tblLook w:val="0000"/>
        </w:tblPrEx>
        <w:trPr>
          <w:tblHeader/>
        </w:trPr>
        <w:tc>
          <w:tcPr>
            <w:tcW w:w="2410" w:type="dxa"/>
            <w:gridSpan w:val="2"/>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rPr>
                <w:rStyle w:val="SpecialBold"/>
              </w:rPr>
              <w:t>ELEMENT</w:t>
            </w:r>
          </w:p>
        </w:tc>
        <w:tc>
          <w:tcPr>
            <w:tcW w:w="6806" w:type="dxa"/>
            <w:gridSpan w:val="2"/>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rPr>
                <w:rStyle w:val="SpecialBold"/>
              </w:rPr>
              <w:t>PERFORMANCE CRITERIA</w:t>
            </w:r>
          </w:p>
        </w:tc>
      </w:tr>
      <w:tr w:rsidTr="00086EDC">
        <w:tblPrEx>
          <w:tblW w:w="9216"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1</w:t>
            </w:r>
          </w:p>
        </w:tc>
        <w:tc>
          <w:tcPr>
            <w:tcW w:w="2050" w:type="dxa"/>
            <w:vMerge w:val="restart"/>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1.1</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OHS procedures for a given work area are obtained and understood.</w:t>
            </w:r>
          </w:p>
        </w:tc>
      </w:tr>
      <w:tr w:rsidTr="00086EDC">
        <w:tblPrEx>
          <w:tblW w:w="9216"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1.2</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Operational safety procedures for a given work area are obtained and understood</w:t>
            </w:r>
          </w:p>
        </w:tc>
      </w:tr>
      <w:tr w:rsidTr="00086EDC">
        <w:tblPrEx>
          <w:tblW w:w="9216"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1.3</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Established OHS risk control measures and procedures are followed in preparation for the work.</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1.4</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Safety hazards that have not previously been identified are documented and risk control measures devised and implemented in consultation with appropriate personnel.</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1.5</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The extent of faults is determined from reports and other documentation and fro disc</w:t>
            </w:r>
            <w:r w:rsidRPr="00121F1F">
              <w:t>ussion with appropriate personnel.</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1.6</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 xml:space="preserve">Appropriate personnel are consulted to ensure the work is co-ordinated effectively with others involved on the work </w:t>
            </w:r>
            <w:r w:rsidRPr="00121F1F">
              <w:t>site.</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1.7</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Tools, equipment and testing devices needed to diagnose faults are obtained in accordance with established procedures and checked for correct operation and safety.</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2</w:t>
            </w:r>
          </w:p>
        </w:tc>
        <w:tc>
          <w:tcPr>
            <w:tcW w:w="2050" w:type="dxa"/>
            <w:vMerge w:val="restart"/>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Diagnose and rectify faults.</w:t>
            </w: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2.1</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OHS risk control measures and procedures for carrying ou</w:t>
            </w:r>
            <w:r w:rsidRPr="00121F1F">
              <w:t>t the work are followed.</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2.2</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The need to test or measure live is determined in strict accordance with OHS requirements and when necessary conducted within established safety procedures.</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2.3</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Circuits/machines/plant are checked as being isolated where necessary in strict accordance OHS requirements and procedures.</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2.4</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Logical diagnostic met</w:t>
            </w:r>
            <w:r w:rsidRPr="00121F1F">
              <w:t>hods are applied to diagnose navigation system faults employing measurements and estimations of system operating parameters referenced to system operational requirements.</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2.5</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Suspected fault scenarios are tested as being the source of system problems.</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2.6</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Source of the fault is identified and appropriately competent persons are engaged to rectify the fault where it is outside the scope of electronics.</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2.7</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 xml:space="preserve">Faults in the electronic components of the system are rectified to raise navigation system to </w:t>
            </w:r>
            <w:r w:rsidRPr="00121F1F">
              <w:t>its operation standard.</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2.8</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System is tested to verify that the system operates as intended and to specified requirements.</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2.9</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Decisions for dealin</w:t>
            </w:r>
            <w:r w:rsidRPr="00121F1F">
              <w:t>g with unexpected situations are made from discussions with appropriate persons and job specifications and requirements.</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2.10</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Methods for dealing with unexpected situations are selected on the basis of safety and specified work outcomes.</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2.11</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Diagnos</w:t>
            </w:r>
            <w:r w:rsidRPr="00121F1F">
              <w:t>is and rectification activities are carried out efficiently without waste of materials or damage to apparatus and the surrounding environment or services and using sustainable energy practices.</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3</w:t>
            </w:r>
          </w:p>
        </w:tc>
        <w:tc>
          <w:tcPr>
            <w:tcW w:w="205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Commissioning of navigational systems</w:t>
            </w: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3.1</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 xml:space="preserve">OHS risk control </w:t>
            </w:r>
            <w:r w:rsidRPr="00121F1F">
              <w:t>measures and procedures for carrying out the work are followed.</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3.2</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Testing/measuring devices are connected and set up in accordance with requirements for a particular air navigational system.</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3.3</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Measuring instruments are set up and adjusted in accordance with transmission/reception requirements and equipment manufacturer's instructions.</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3.4</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Adjustments are made to provide optimum transmission/reception performance within regulatory requirements</w:t>
            </w:r>
            <w:r w:rsidRPr="00121F1F">
              <w:t>.</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3.5</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Decisions for dealing with unexpected situations are made from discussions with appropriate persons and job specifications and requirements.</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3.6</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Methods for dealing with unexpected situations are selected on the basis of safety and specified work outcomes.</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3.7</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Setting-up is carried out efficiently without waste of materials or damage to apparatus, the surrounding environment or services and usin</w:t>
            </w:r>
            <w:r w:rsidRPr="00121F1F">
              <w:t>g sustainable energy principles.</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4</w:t>
            </w:r>
          </w:p>
        </w:tc>
        <w:tc>
          <w:tcPr>
            <w:tcW w:w="2050" w:type="dxa"/>
            <w:vMerge w:val="restart"/>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Complete and report fault diagnosis and rectification activities.</w:t>
            </w: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4.1</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OHS work completion risk control measures and procedures are followed.</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4.2</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Work site is made safe in accordance with established safety procedures.</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4.3</w:t>
            </w:r>
          </w:p>
        </w:tc>
        <w:tc>
          <w:tcPr>
            <w:tcW w:w="590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Rectification of faults is documented in accordance with established procedures.</w:t>
            </w:r>
          </w:p>
        </w:tc>
      </w:tr>
      <w:tr w:rsidTr="00086EDC">
        <w:tblPrEx>
          <w:tblW w:w="921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4.4</w:t>
            </w:r>
          </w:p>
        </w:tc>
        <w:tc>
          <w:tcPr>
            <w:tcW w:w="5906" w:type="dxa"/>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t xml:space="preserve">Appropriate person or persons notified, in accordance with established procedures, that the system faults have been rectified and re commission </w:t>
            </w:r>
          </w:p>
        </w:tc>
      </w:tr>
    </w:tbl>
    <w:p w:rsidR="00086EDC" w:rsidP="00121F1F">
      <w:pPr>
        <w:pStyle w:val="BodyText"/>
      </w:pPr>
    </w:p>
    <w:p w:rsidR="00086EDC" w:rsidP="00121F1F">
      <w:pPr>
        <w:pStyle w:val="BodyText"/>
      </w:pPr>
    </w:p>
    <w:p w:rsidR="00000000" w:rsidRPr="00121F1F" w:rsidP="00121F1F">
      <w:pPr>
        <w:pStyle w:val="Heading1"/>
      </w:pPr>
      <w:bookmarkStart w:id="9" w:name="O_263278"/>
      <w:bookmarkEnd w:id="9"/>
      <w:r w:rsidRPr="00121F1F">
        <w:t>Required Skills and Knowledge</w:t>
      </w:r>
    </w:p>
    <w:tbl>
      <w:tblPr>
        <w:tblW w:w="9216" w:type="dxa"/>
        <w:tblLayout w:type="fixed"/>
        <w:tblCellMar>
          <w:left w:w="62" w:type="dxa"/>
          <w:right w:w="62" w:type="dxa"/>
        </w:tblCellMar>
        <w:tblLook w:val="0000"/>
      </w:tblPr>
      <w:tblGrid>
        <w:gridCol w:w="2410"/>
        <w:gridCol w:w="2126"/>
        <w:gridCol w:w="4680"/>
      </w:tblGrid>
      <w:tr w:rsidTr="00086EDC">
        <w:tblPrEx>
          <w:tblW w:w="9216" w:type="dxa"/>
          <w:tblLayout w:type="fixed"/>
          <w:tblCellMar>
            <w:left w:w="62" w:type="dxa"/>
            <w:right w:w="62" w:type="dxa"/>
          </w:tblCellMar>
          <w:tblLook w:val="0000"/>
        </w:tblPrEx>
        <w:trPr>
          <w:tblHeader/>
        </w:trPr>
        <w:tc>
          <w:tcPr>
            <w:tcW w:w="9216" w:type="dxa"/>
            <w:gridSpan w:val="3"/>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rPr>
                <w:rStyle w:val="SpecialBold"/>
              </w:rPr>
              <w:t>REQUIRED SKILLS AND KNOWLEDGE</w:t>
            </w:r>
          </w:p>
        </w:tc>
      </w:tr>
      <w:tr w:rsidTr="00086EDC">
        <w:tblPrEx>
          <w:tblW w:w="9216" w:type="dxa"/>
          <w:tblLayout w:type="fixed"/>
          <w:tblCellMar>
            <w:left w:w="62" w:type="dxa"/>
            <w:right w:w="62" w:type="dxa"/>
          </w:tblCellMar>
          <w:tblLook w:val="0000"/>
        </w:tblPrEx>
        <w:tc>
          <w:tcPr>
            <w:tcW w:w="9216" w:type="dxa"/>
            <w:gridSpan w:val="3"/>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rPr>
                <w:rStyle w:val="SpecialBold"/>
              </w:rPr>
              <w:t>7</w:t>
            </w:r>
            <w:r w:rsidRPr="00121F1F">
              <w:t>) This describes the essential skills and knowledge and their level, required for this unit.</w:t>
            </w:r>
          </w:p>
        </w:tc>
      </w:tr>
      <w:tr w:rsidTr="00086EDC">
        <w:tblPrEx>
          <w:tblW w:w="9216" w:type="dxa"/>
          <w:tblLayout w:type="fixed"/>
          <w:tblCellMar>
            <w:left w:w="62" w:type="dxa"/>
            <w:right w:w="62" w:type="dxa"/>
          </w:tblCellMar>
          <w:tblLook w:val="0000"/>
        </w:tblPrEx>
        <w:tc>
          <w:tcPr>
            <w:tcW w:w="9216" w:type="dxa"/>
            <w:gridSpan w:val="3"/>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t>Evidence shall show that knowledge has been acquired of safe working practices and diagn</w:t>
            </w:r>
            <w:r w:rsidRPr="00121F1F">
              <w:t xml:space="preserve">osing, rectifying faults and commissioning air navigation systems. </w:t>
            </w:r>
          </w:p>
          <w:p w:rsidR="00000000" w:rsidRPr="00121F1F" w:rsidP="00121F1F">
            <w:pPr>
              <w:pStyle w:val="BodyText"/>
            </w:pPr>
            <w:r w:rsidRPr="00121F1F">
              <w:t>All knowledge and skills detailed in this unit should be contextualised to current industry practices and technologies.</w:t>
            </w:r>
          </w:p>
          <w:p w:rsidR="00000000" w:rsidP="00121F1F">
            <w:pPr>
              <w:pStyle w:val="BodyText"/>
              <w:rPr>
                <w:lang w:val="en-NZ"/>
              </w:rPr>
            </w:pPr>
            <w:r w:rsidRPr="00121F1F">
              <w:t>The extent of the essential knowledge and associated skills (EKAS) r</w:t>
            </w:r>
            <w:r w:rsidRPr="00121F1F">
              <w:t>equired is given in Volume 2 - Part 2.2 EKAS.  It forms an integral part of this unit.</w:t>
            </w:r>
          </w:p>
        </w:tc>
      </w:tr>
      <w:tr w:rsidTr="00086EDC">
        <w:tblPrEx>
          <w:tblW w:w="9216" w:type="dxa"/>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KS01-EH091A</w:t>
            </w:r>
          </w:p>
        </w:tc>
        <w:tc>
          <w:tcPr>
            <w:tcW w:w="4680" w:type="dxa"/>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t>Electronic communications - air navigation systems</w:t>
            </w:r>
          </w:p>
        </w:tc>
      </w:tr>
    </w:tbl>
    <w:p w:rsidR="00086EDC" w:rsidP="00121F1F">
      <w:pPr>
        <w:pStyle w:val="BodyText"/>
      </w:pPr>
    </w:p>
    <w:p w:rsidR="00086EDC" w:rsidP="00121F1F">
      <w:pPr>
        <w:pStyle w:val="BodyText"/>
      </w:pPr>
    </w:p>
    <w:p w:rsidR="00000000" w:rsidRPr="00121F1F" w:rsidP="00121F1F">
      <w:pPr>
        <w:pStyle w:val="Heading1"/>
      </w:pPr>
      <w:bookmarkStart w:id="10" w:name="O_247471"/>
      <w:bookmarkEnd w:id="10"/>
      <w:r w:rsidRPr="00121F1F">
        <w:t>Evidence Guide</w:t>
      </w:r>
    </w:p>
    <w:tbl>
      <w:tblPr>
        <w:tblW w:w="9216" w:type="dxa"/>
        <w:tblLayout w:type="fixed"/>
        <w:tblCellMar>
          <w:left w:w="62" w:type="dxa"/>
          <w:right w:w="62" w:type="dxa"/>
        </w:tblCellMar>
        <w:tblLook w:val="0000"/>
      </w:tblPr>
      <w:tblGrid>
        <w:gridCol w:w="2160"/>
        <w:gridCol w:w="430"/>
        <w:gridCol w:w="540"/>
        <w:gridCol w:w="6086"/>
      </w:tblGrid>
      <w:tr w:rsidTr="00086EDC">
        <w:tblPrEx>
          <w:tblW w:w="9216" w:type="dxa"/>
          <w:tblLayout w:type="fixed"/>
          <w:tblCellMar>
            <w:left w:w="62" w:type="dxa"/>
            <w:right w:w="62" w:type="dxa"/>
          </w:tblCellMar>
          <w:tblLook w:val="0000"/>
        </w:tblPrEx>
        <w:trPr>
          <w:tblHeader/>
        </w:trPr>
        <w:tc>
          <w:tcPr>
            <w:tcW w:w="9216" w:type="dxa"/>
            <w:gridSpan w:val="4"/>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rPr>
                <w:rStyle w:val="SpecialBold"/>
              </w:rPr>
              <w:t>EVIDENCE GUIDE</w:t>
            </w:r>
          </w:p>
        </w:tc>
      </w:tr>
      <w:tr w:rsidTr="00086EDC">
        <w:tblPrEx>
          <w:tblW w:w="9216" w:type="dxa"/>
          <w:tblLayout w:type="fixed"/>
          <w:tblCellMar>
            <w:left w:w="62" w:type="dxa"/>
            <w:right w:w="62" w:type="dxa"/>
          </w:tblCellMar>
          <w:tblLook w:val="0000"/>
        </w:tblPrEx>
        <w:tc>
          <w:tcPr>
            <w:tcW w:w="9216" w:type="dxa"/>
            <w:gridSpan w:val="4"/>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rPr>
                <w:rStyle w:val="SpecialBold"/>
              </w:rPr>
              <w:t>9</w:t>
            </w:r>
            <w:r w:rsidRPr="00121F1F">
              <w:t>) The evidence guide provides advice on assessment and must be read in conjunction with the Performance Criteria, Required Skills and Knowledge, the Range Statement and the Assessment Guidelines for this Training Package. .</w:t>
            </w:r>
          </w:p>
          <w:p w:rsidR="00000000" w:rsidP="00121F1F">
            <w:pPr>
              <w:pStyle w:val="BodyText"/>
              <w:rPr>
                <w:lang w:val="en-NZ"/>
              </w:rPr>
            </w:pPr>
            <w:r w:rsidRPr="00121F1F">
              <w:t>The Evidence Guide forms an inte</w:t>
            </w:r>
            <w:r w:rsidRPr="00121F1F">
              <w:t>gral part of this unit. It must be used in conjunction with all parts of the unit and performed in accordance with the Assessment Guidelines of this Training Package.</w:t>
            </w:r>
          </w:p>
        </w:tc>
      </w:tr>
      <w:tr w:rsidTr="00086EDC">
        <w:tblPrEx>
          <w:tblW w:w="921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rPr>
                <w:rStyle w:val="SpecialBold"/>
              </w:rPr>
              <w:t>Overview of Assessment</w:t>
            </w:r>
          </w:p>
        </w:tc>
        <w:tc>
          <w:tcPr>
            <w:tcW w:w="7056" w:type="dxa"/>
            <w:gridSpan w:val="3"/>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rPr>
                <w:rStyle w:val="SpecialBold"/>
              </w:rPr>
              <w:t>9</w:t>
            </w:r>
            <w:r w:rsidRPr="00121F1F">
              <w:t>.</w:t>
            </w:r>
            <w:r w:rsidRPr="00121F1F">
              <w:rPr>
                <w:rStyle w:val="SpecialBold"/>
              </w:rPr>
              <w:t>1</w:t>
            </w:r>
            <w:r w:rsidRPr="00121F1F">
              <w:t xml:space="preserve">) </w:t>
            </w:r>
          </w:p>
          <w:p w:rsidR="00000000" w:rsidRPr="00121F1F" w:rsidP="00121F1F">
            <w:pPr>
              <w:pStyle w:val="BodyText"/>
            </w:pPr>
            <w:r w:rsidRPr="00121F1F">
              <w:t>Longitudinal competency development approaches to assessment, such as Profiling, require data to be reliably gathered in a form that can be consistently interpreted over time. This approach is best utilised in Apprenticeship programs and reduces assessment</w:t>
            </w:r>
            <w:r w:rsidRPr="00121F1F">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121F1F">
              <w:t>cy in a realistically simulated work environment. It is recognised that, in some circumstances, assessment in part or full can occur outside the workplace. However, it must be in accord with industry and regulatory policy.</w:t>
            </w:r>
          </w:p>
          <w:p w:rsidR="00000000" w:rsidRPr="00121F1F" w:rsidP="00121F1F">
            <w:pPr>
              <w:pStyle w:val="BodyText"/>
            </w:pPr>
            <w:r w:rsidRPr="00121F1F">
              <w:t>Methods chosen for a particular a</w:t>
            </w:r>
            <w:r w:rsidRPr="00121F1F">
              <w:t>ssessment will be influenced by various factors. These include the extent of the assessment, the most effective locations for the assessment activities to take place, access to physical resources, additional safety measures that may be required and the cri</w:t>
            </w:r>
            <w:r w:rsidRPr="00121F1F">
              <w:t>tical nature of the competencies being assessed.</w:t>
            </w:r>
          </w:p>
          <w:p w:rsidR="00000000" w:rsidRPr="00121F1F" w:rsidP="00121F1F">
            <w:pPr>
              <w:pStyle w:val="BodyText"/>
            </w:pPr>
            <w:r w:rsidRPr="00121F1F">
              <w:t>The critical safety nature of working with electricity, electrical equipment, gas or any other hazardous substance/material carries risk in deeming a person competent. Sources of evidence need to be 'rich' i</w:t>
            </w:r>
            <w:r w:rsidRPr="00121F1F">
              <w:t>n nature to minimise error in judgment.</w:t>
            </w:r>
          </w:p>
          <w:p w:rsidR="00000000" w:rsidP="00121F1F">
            <w:pPr>
              <w:pStyle w:val="BodyText"/>
              <w:rPr>
                <w:lang w:val="en-NZ"/>
              </w:rPr>
            </w:pPr>
            <w:r w:rsidRPr="00121F1F">
              <w:t>Activities associated with normal everyday work influence decisions about how/how much the data gathered will contribute to its 'richness'. Some skills are more critical to safety and operational requirements while t</w:t>
            </w:r>
            <w:r w:rsidRPr="00121F1F">
              <w:t>he same skills may be more or less frequently practised. These points are raised for the assessors to consider when choosing an assessment method and developing assessment instruments. Sample assessment instruments are included for Assessors in the Assessm</w:t>
            </w:r>
            <w:r w:rsidRPr="00121F1F">
              <w:t>ent Guidelines of this Training Package.</w:t>
            </w:r>
          </w:p>
        </w:tc>
      </w:tr>
      <w:tr w:rsidTr="00086EDC">
        <w:tblPrEx>
          <w:tblW w:w="9216" w:type="dxa"/>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rPr>
                <w:rStyle w:val="SpecialBold"/>
              </w:rPr>
              <w:t>Critical aspects of evidence required to demonstrate competency in this unit</w:t>
            </w:r>
          </w:p>
        </w:tc>
        <w:tc>
          <w:tcPr>
            <w:tcW w:w="7056" w:type="dxa"/>
            <w:gridSpan w:val="3"/>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rPr>
                <w:rStyle w:val="SpecialBold"/>
              </w:rPr>
              <w:t>9</w:t>
            </w:r>
            <w:r w:rsidRPr="00121F1F">
              <w:t>.</w:t>
            </w:r>
            <w:r w:rsidRPr="00121F1F">
              <w:rPr>
                <w:rStyle w:val="SpecialBold"/>
              </w:rPr>
              <w:t>2</w:t>
            </w:r>
            <w:r w:rsidRPr="00121F1F">
              <w:t xml:space="preserve">) </w:t>
            </w:r>
          </w:p>
          <w:p w:rsidR="00000000" w:rsidP="00121F1F">
            <w:pPr>
              <w:pStyle w:val="BodyText"/>
              <w:rPr>
                <w:lang w:val="en-NZ"/>
              </w:rPr>
            </w:pPr>
            <w:r w:rsidRPr="00121F1F">
              <w:t>Before the critical aspects of evidence are considered all prerequisites shall be met.</w:t>
            </w:r>
          </w:p>
        </w:tc>
      </w:tr>
      <w:tr w:rsidTr="00086EDC">
        <w:tblPrEx>
          <w:tblW w:w="9216" w:type="dxa"/>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56" w:type="dxa"/>
            <w:gridSpan w:val="3"/>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t>Evidence for</w:t>
            </w:r>
            <w:r w:rsidRPr="00121F1F">
              <w:t xml:space="preserve"> competence in this unit shall be considered holistically.  Each Element and associated performance criteria shall be demonstrated on at least two occasions in accordance with the 'Assessment Guidelines - UEE07'.  Evidence shall also comprise:</w:t>
            </w:r>
          </w:p>
          <w:p w:rsidR="00000000" w:rsidP="00121F1F">
            <w:pPr>
              <w:pStyle w:val="ListBullet"/>
              <w:rPr>
                <w:lang w:val="en-NZ"/>
              </w:rPr>
            </w:pPr>
            <w:r w:rsidRPr="00121F1F">
              <w:t>A represent</w:t>
            </w:r>
            <w:r w:rsidRPr="00121F1F">
              <w:t>ative body of work performance demonstrated within the timeframes typically expected of the discipline, work function and industrial environment. In particular this shall incorporate evidence that shows a candidate is able to:</w:t>
            </w:r>
          </w:p>
        </w:tc>
      </w:tr>
      <w:tr w:rsidTr="00086EDC">
        <w:tblPrEx>
          <w:tblW w:w="921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p>
        </w:tc>
        <w:tc>
          <w:tcPr>
            <w:tcW w:w="7056" w:type="dxa"/>
            <w:gridSpan w:val="3"/>
            <w:tcBorders>
              <w:top w:val="nil"/>
              <w:left w:val="nil"/>
              <w:bottom w:val="nil"/>
              <w:right w:val="nil"/>
            </w:tcBorders>
            <w:tcMar>
              <w:top w:w="0" w:type="dxa"/>
              <w:left w:w="62" w:type="dxa"/>
              <w:bottom w:w="0" w:type="dxa"/>
              <w:right w:w="62" w:type="dxa"/>
            </w:tcMar>
          </w:tcPr>
          <w:p w:rsidR="00000000" w:rsidRPr="00121F1F" w:rsidP="00121F1F">
            <w:pPr>
              <w:pStyle w:val="ListBullet2"/>
            </w:pPr>
            <w:r w:rsidRPr="00121F1F">
              <w:t>Implement Occupational Health and Safety workplace procedures and practices, including the use of risk control measures as specified in the performance criteria and range statement</w:t>
            </w:r>
          </w:p>
          <w:p w:rsidR="00000000" w:rsidRPr="00121F1F" w:rsidP="00121F1F">
            <w:pPr>
              <w:pStyle w:val="ListBullet2"/>
            </w:pPr>
            <w:r w:rsidRPr="00121F1F">
              <w:t>Apply sustainable energy principles and pr</w:t>
            </w:r>
            <w:r w:rsidRPr="00121F1F">
              <w:t>actices as specified in the performance criteria and range statement</w:t>
            </w:r>
          </w:p>
          <w:p w:rsidR="00000000" w:rsidRPr="00121F1F" w:rsidP="00121F1F">
            <w:pPr>
              <w:pStyle w:val="ListBullet2"/>
            </w:pPr>
            <w:r w:rsidRPr="00121F1F">
              <w:t>Demonstrate an understanding of the essential knowledge and associated skills as described in this unit.  It may be required by some jurisdictions that RTOs provide a percentile graded re</w:t>
            </w:r>
            <w:r w:rsidRPr="00121F1F">
              <w:t>sult for the purpose of regulatory or licensing requirements.</w:t>
            </w:r>
          </w:p>
          <w:p w:rsidR="00000000" w:rsidRPr="00121F1F" w:rsidP="00121F1F">
            <w:pPr>
              <w:pStyle w:val="ListBullet2"/>
            </w:pPr>
            <w:r w:rsidRPr="00121F1F">
              <w:t>Demonstrate an appropriate level of skills enabling employment</w:t>
            </w:r>
          </w:p>
          <w:p w:rsidR="00000000" w:rsidP="00121F1F">
            <w:pPr>
              <w:pStyle w:val="ListBullet2"/>
              <w:rPr>
                <w:lang w:val="en-NZ"/>
              </w:rPr>
            </w:pPr>
            <w:r w:rsidRPr="00121F1F">
              <w:t>Conduct work observing the relevant Anti Discrimination legislation, regulations, polices and workplace procedures</w:t>
            </w:r>
          </w:p>
        </w:tc>
      </w:tr>
      <w:tr w:rsidTr="00086EDC">
        <w:tblPrEx>
          <w:tblW w:w="921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p>
        </w:tc>
        <w:tc>
          <w:tcPr>
            <w:tcW w:w="7056" w:type="dxa"/>
            <w:gridSpan w:val="3"/>
            <w:tcBorders>
              <w:top w:val="nil"/>
              <w:left w:val="nil"/>
              <w:bottom w:val="nil"/>
              <w:right w:val="nil"/>
            </w:tcBorders>
            <w:tcMar>
              <w:top w:w="0" w:type="dxa"/>
              <w:left w:w="62" w:type="dxa"/>
              <w:bottom w:w="0" w:type="dxa"/>
              <w:right w:w="62" w:type="dxa"/>
            </w:tcMar>
          </w:tcPr>
          <w:p w:rsidR="00000000" w:rsidP="00121F1F">
            <w:pPr>
              <w:pStyle w:val="ListBullet"/>
              <w:rPr>
                <w:lang w:val="en-NZ"/>
              </w:rPr>
            </w:pPr>
            <w:r w:rsidRPr="00121F1F">
              <w:t>Demonstrate</w:t>
            </w:r>
            <w:r w:rsidRPr="00121F1F">
              <w:t>d consistent performance across a representative range of contexts from the prescribed items below:</w:t>
            </w:r>
          </w:p>
        </w:tc>
      </w:tr>
      <w:tr w:rsidTr="00086EDC">
        <w:tblPrEx>
          <w:tblW w:w="921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p>
        </w:tc>
        <w:tc>
          <w:tcPr>
            <w:tcW w:w="7056" w:type="dxa"/>
            <w:gridSpan w:val="3"/>
            <w:tcBorders>
              <w:top w:val="nil"/>
              <w:left w:val="nil"/>
              <w:bottom w:val="nil"/>
              <w:right w:val="nil"/>
            </w:tcBorders>
            <w:tcMar>
              <w:top w:w="0" w:type="dxa"/>
              <w:left w:w="62" w:type="dxa"/>
              <w:bottom w:w="0" w:type="dxa"/>
              <w:right w:w="62" w:type="dxa"/>
            </w:tcMar>
          </w:tcPr>
          <w:p w:rsidR="00000000" w:rsidP="00121F1F">
            <w:pPr>
              <w:pStyle w:val="ListBullet2"/>
              <w:rPr>
                <w:lang w:val="en-NZ"/>
              </w:rPr>
            </w:pPr>
            <w:r w:rsidRPr="00121F1F">
              <w:t>Diagnose and rectify faults in air navigation systems as described in 8) and including:</w:t>
            </w:r>
          </w:p>
        </w:tc>
      </w:tr>
      <w:tr w:rsidTr="00086EDC">
        <w:tblPrEx>
          <w:tblW w:w="921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A</w:t>
            </w:r>
          </w:p>
        </w:tc>
        <w:tc>
          <w:tcPr>
            <w:tcW w:w="608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Applying logical diagnostic methods.</w:t>
            </w:r>
          </w:p>
        </w:tc>
      </w:tr>
      <w:tr w:rsidTr="00086EDC">
        <w:tblPrEx>
          <w:tblW w:w="921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B</w:t>
            </w:r>
          </w:p>
        </w:tc>
        <w:tc>
          <w:tcPr>
            <w:tcW w:w="608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Using fault scenarios to test the source of system faults.</w:t>
            </w:r>
          </w:p>
        </w:tc>
      </w:tr>
      <w:tr w:rsidTr="00086EDC">
        <w:tblPrEx>
          <w:tblW w:w="921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C</w:t>
            </w:r>
          </w:p>
        </w:tc>
        <w:tc>
          <w:tcPr>
            <w:tcW w:w="608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Identifying faults and competency needed to rectify them.</w:t>
            </w:r>
          </w:p>
        </w:tc>
      </w:tr>
      <w:tr w:rsidTr="00086EDC">
        <w:tblPrEx>
          <w:tblW w:w="921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D</w:t>
            </w:r>
          </w:p>
        </w:tc>
        <w:tc>
          <w:tcPr>
            <w:tcW w:w="608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Rectifying faults in system electronics.</w:t>
            </w:r>
          </w:p>
        </w:tc>
      </w:tr>
      <w:tr w:rsidTr="00086EDC">
        <w:tblPrEx>
          <w:tblW w:w="921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E</w:t>
            </w:r>
          </w:p>
        </w:tc>
        <w:tc>
          <w:tcPr>
            <w:tcW w:w="608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Verifying that the system operates correctly.</w:t>
            </w:r>
          </w:p>
        </w:tc>
      </w:tr>
      <w:tr w:rsidTr="00086EDC">
        <w:tblPrEx>
          <w:tblW w:w="921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F</w:t>
            </w:r>
          </w:p>
        </w:tc>
        <w:tc>
          <w:tcPr>
            <w:tcW w:w="608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Documenting fault rectification.</w:t>
            </w:r>
          </w:p>
        </w:tc>
      </w:tr>
      <w:tr w:rsidTr="00086EDC">
        <w:tblPrEx>
          <w:tblW w:w="921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G</w:t>
            </w:r>
          </w:p>
        </w:tc>
        <w:tc>
          <w:tcPr>
            <w:tcW w:w="608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Dealing with unplanned events by drawing on essential knowledge and skills to provide appropriate solutions incorporated in a holistic assessment with the above listed items.</w:t>
            </w:r>
          </w:p>
        </w:tc>
      </w:tr>
      <w:tr w:rsidTr="00086EDC">
        <w:tblPrEx>
          <w:tblW w:w="921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56" w:type="dxa"/>
            <w:gridSpan w:val="3"/>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Note:</w:t>
            </w:r>
            <w:r w:rsidRPr="00121F1F">
              <w:br/>
              <w:t>Successful completion of relevant vendor training may be used to co</w:t>
            </w:r>
            <w:r w:rsidRPr="00121F1F">
              <w:t>ntribute to evidence on which competency is deemed. In these cases the alignment of outcomes of vendor training with performance criteria and critical aspects of evidence shall be clearly identified.</w:t>
            </w:r>
          </w:p>
        </w:tc>
      </w:tr>
      <w:tr w:rsidTr="00086EDC">
        <w:tblPrEx>
          <w:tblW w:w="921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rPr>
                <w:rStyle w:val="SpecialBold"/>
              </w:rPr>
              <w:t>Context of and specific resources for assessment</w:t>
            </w:r>
          </w:p>
        </w:tc>
        <w:tc>
          <w:tcPr>
            <w:tcW w:w="7056" w:type="dxa"/>
            <w:gridSpan w:val="3"/>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rPr>
                <w:rStyle w:val="SpecialBold"/>
              </w:rPr>
              <w:t>9</w:t>
            </w:r>
            <w:r w:rsidRPr="00121F1F">
              <w:t>.</w:t>
            </w:r>
            <w:r w:rsidRPr="00121F1F">
              <w:rPr>
                <w:rStyle w:val="SpecialBold"/>
              </w:rPr>
              <w:t>3</w:t>
            </w:r>
            <w:r w:rsidRPr="00121F1F">
              <w:t>)</w:t>
            </w:r>
            <w:r w:rsidRPr="00121F1F">
              <w:t xml:space="preserve"> </w:t>
            </w:r>
          </w:p>
          <w:p w:rsidR="00000000" w:rsidRPr="00121F1F" w:rsidP="00121F1F">
            <w:pPr>
              <w:pStyle w:val="BodyText"/>
            </w:pPr>
            <w:r w:rsidRPr="00121F1F">
              <w:t>This unit should be assessed as it relates to normal work practice using procedures, information and resources typical of a workplace. This should include:</w:t>
            </w:r>
          </w:p>
          <w:p w:rsidR="00000000" w:rsidRPr="00121F1F" w:rsidP="00121F1F">
            <w:pPr>
              <w:pStyle w:val="ListBullet"/>
            </w:pPr>
            <w:r w:rsidRPr="00121F1F">
              <w:t>OHS policy and work procedures and instructions.</w:t>
            </w:r>
          </w:p>
          <w:p w:rsidR="00000000" w:rsidRPr="00121F1F" w:rsidP="00121F1F">
            <w:pPr>
              <w:pStyle w:val="ListBullet"/>
            </w:pPr>
            <w:r w:rsidRPr="00121F1F">
              <w:t>Suitable work environment, facilities, equipment and materials to undertake actual work as prescribed by this unit.</w:t>
            </w:r>
          </w:p>
          <w:p w:rsidR="00000000" w:rsidRPr="00121F1F" w:rsidP="00121F1F">
            <w:pPr>
              <w:pStyle w:val="BodyText"/>
            </w:pPr>
            <w:r w:rsidRPr="00121F1F">
              <w:t>These should be part of the formal learning/assessment environment.</w:t>
            </w:r>
          </w:p>
          <w:p w:rsidR="00000000" w:rsidRPr="00121F1F" w:rsidP="00121F1F">
            <w:pPr>
              <w:pStyle w:val="BodyText"/>
            </w:pPr>
            <w:r w:rsidRPr="00121F1F">
              <w:t>Note:</w:t>
            </w:r>
          </w:p>
          <w:p w:rsidR="00000000" w:rsidP="00121F1F">
            <w:pPr>
              <w:pStyle w:val="BodyText"/>
              <w:rPr>
                <w:lang w:val="en-NZ"/>
              </w:rPr>
            </w:pPr>
            <w:r w:rsidRPr="00121F1F">
              <w:t>Where simulation is considered a suitable strategy for assessment,</w:t>
            </w:r>
            <w:r w:rsidRPr="00121F1F">
              <w:t xml:space="preserve"> conditions must be authentic and as far as possible reproduce and replicate the workplace and be consistent with the approved industry simulation policy.</w:t>
            </w:r>
          </w:p>
        </w:tc>
      </w:tr>
      <w:tr w:rsidTr="00086EDC">
        <w:tblPrEx>
          <w:tblW w:w="921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56" w:type="dxa"/>
            <w:gridSpan w:val="3"/>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The resources used for assessment should reflect current industry practices in relation to diagno</w:t>
            </w:r>
            <w:r w:rsidRPr="00121F1F">
              <w:t>sing and rectifying faults in air navigation systems.</w:t>
            </w:r>
          </w:p>
        </w:tc>
      </w:tr>
      <w:tr w:rsidTr="00086EDC">
        <w:tblPrEx>
          <w:tblW w:w="921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rPr>
                <w:rStyle w:val="SpecialBold"/>
              </w:rPr>
              <w:t>Method of assessment</w:t>
            </w:r>
          </w:p>
        </w:tc>
        <w:tc>
          <w:tcPr>
            <w:tcW w:w="7056" w:type="dxa"/>
            <w:gridSpan w:val="3"/>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rPr>
                <w:rStyle w:val="SpecialBold"/>
              </w:rPr>
              <w:t>9</w:t>
            </w:r>
            <w:r w:rsidRPr="00121F1F">
              <w:t>.</w:t>
            </w:r>
            <w:r w:rsidRPr="00121F1F">
              <w:rPr>
                <w:rStyle w:val="SpecialBold"/>
              </w:rPr>
              <w:t>4</w:t>
            </w:r>
            <w:r w:rsidRPr="00121F1F">
              <w:t xml:space="preserve">) </w:t>
            </w:r>
          </w:p>
          <w:p w:rsidR="00000000" w:rsidRPr="00121F1F" w:rsidP="00121F1F">
            <w:pPr>
              <w:pStyle w:val="BodyText"/>
            </w:pPr>
            <w:r w:rsidRPr="00121F1F">
              <w:t>This unit shall be assessed by methods given in Volume 1, Part 3 'Assessment Guidelines'.</w:t>
            </w:r>
          </w:p>
          <w:p w:rsidR="00000000" w:rsidP="00121F1F">
            <w:pPr>
              <w:pStyle w:val="BodyText"/>
              <w:rPr>
                <w:lang w:val="en-NZ"/>
              </w:rPr>
            </w:pPr>
            <w:r w:rsidRPr="00121F1F">
              <w:t>Note:</w:t>
            </w:r>
            <w:r w:rsidRPr="00121F1F">
              <w:br/>
            </w:r>
            <w:r w:rsidRPr="00121F1F">
              <w:t>Competent performance with inherent safe working practices is expected in the industry to which this unit applies. This requires that the specified essential knowledge and associated skills are assessed in a structured environment which is primarily intend</w:t>
            </w:r>
            <w:r w:rsidRPr="00121F1F">
              <w:t>ed for learning/assessment and incorporates all necessary equipment and facilities for learners to develop and demonstrate the essential knowledge and skills described in this unit.</w:t>
            </w:r>
          </w:p>
        </w:tc>
      </w:tr>
      <w:tr w:rsidTr="00086EDC">
        <w:tblPrEx>
          <w:tblW w:w="9216" w:type="dxa"/>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rPr>
                <w:rStyle w:val="SpecialBold"/>
              </w:rPr>
              <w:t>Concurrent assessment and relationship with other units</w:t>
            </w:r>
          </w:p>
        </w:tc>
        <w:tc>
          <w:tcPr>
            <w:tcW w:w="7056" w:type="dxa"/>
            <w:gridSpan w:val="3"/>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rPr>
                <w:rStyle w:val="SpecialBold"/>
              </w:rPr>
              <w:t>9</w:t>
            </w:r>
            <w:r w:rsidRPr="00121F1F">
              <w:t>.</w:t>
            </w:r>
            <w:r w:rsidRPr="00121F1F">
              <w:rPr>
                <w:rStyle w:val="SpecialBold"/>
              </w:rPr>
              <w:t>5</w:t>
            </w:r>
            <w:r w:rsidRPr="00121F1F">
              <w:t>)</w:t>
            </w:r>
          </w:p>
        </w:tc>
      </w:tr>
      <w:tr w:rsidTr="00086EDC">
        <w:tblPrEx>
          <w:tblW w:w="9216" w:type="dxa"/>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56" w:type="dxa"/>
            <w:gridSpan w:val="3"/>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 xml:space="preserve">There </w:t>
            </w:r>
            <w:r w:rsidRPr="00121F1F">
              <w:t>are no concurrent assessment recommendations for this unit.</w:t>
            </w:r>
          </w:p>
        </w:tc>
      </w:tr>
      <w:tr w:rsidTr="00086EDC">
        <w:tblPrEx>
          <w:tblW w:w="921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56" w:type="dxa"/>
            <w:gridSpan w:val="3"/>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t xml:space="preserve">The critical aspects of occupational health and safety covered in unit UEENEEE001B and other discipline specific occupational health and safety </w:t>
            </w:r>
            <w:r w:rsidRPr="00121F1F">
              <w:t>units shall be incorporated in relation to this unit.</w:t>
            </w:r>
          </w:p>
        </w:tc>
      </w:tr>
    </w:tbl>
    <w:p w:rsidR="00086EDC" w:rsidP="00121F1F">
      <w:pPr>
        <w:pStyle w:val="BodyText"/>
      </w:pPr>
    </w:p>
    <w:p w:rsidR="00086EDC" w:rsidP="00121F1F">
      <w:pPr>
        <w:pStyle w:val="BodyText"/>
      </w:pPr>
    </w:p>
    <w:p w:rsidR="00000000" w:rsidRPr="00121F1F" w:rsidP="00121F1F">
      <w:pPr>
        <w:pStyle w:val="Heading1"/>
      </w:pPr>
      <w:bookmarkStart w:id="11" w:name="O_255454"/>
      <w:bookmarkEnd w:id="11"/>
      <w:r w:rsidRPr="00121F1F">
        <w:t>Range Statement</w:t>
      </w:r>
    </w:p>
    <w:tbl>
      <w:tblPr>
        <w:tblW w:w="9216" w:type="dxa"/>
        <w:tblLayout w:type="fixed"/>
        <w:tblCellMar>
          <w:left w:w="62" w:type="dxa"/>
          <w:right w:w="62" w:type="dxa"/>
        </w:tblCellMar>
        <w:tblLook w:val="0000"/>
      </w:tblPr>
      <w:tblGrid>
        <w:gridCol w:w="9216"/>
      </w:tblGrid>
      <w:tr w:rsidTr="00086EDC">
        <w:tblPrEx>
          <w:tblW w:w="9216" w:type="dxa"/>
          <w:tblLayout w:type="fixed"/>
          <w:tblCellMar>
            <w:left w:w="62" w:type="dxa"/>
            <w:right w:w="62" w:type="dxa"/>
          </w:tblCellMar>
          <w:tblLook w:val="0000"/>
        </w:tblPrEx>
        <w:trPr>
          <w:tblHeader/>
        </w:trPr>
        <w:tc>
          <w:tcPr>
            <w:tcW w:w="921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rPr>
                <w:rStyle w:val="SpecialBold"/>
              </w:rPr>
              <w:t>RANGE STATEMENT</w:t>
            </w:r>
          </w:p>
        </w:tc>
      </w:tr>
      <w:tr w:rsidTr="00086EDC">
        <w:tblPrEx>
          <w:tblW w:w="9216" w:type="dxa"/>
          <w:tblLayout w:type="fixed"/>
          <w:tblCellMar>
            <w:left w:w="62" w:type="dxa"/>
            <w:right w:w="62" w:type="dxa"/>
          </w:tblCellMar>
          <w:tblLook w:val="0000"/>
        </w:tblPrEx>
        <w:tc>
          <w:tcPr>
            <w:tcW w:w="9216"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rPr>
                <w:rStyle w:val="SpecialBold"/>
              </w:rPr>
              <w:t>8</w:t>
            </w:r>
            <w:r w:rsidRPr="00121F1F">
              <w:t xml:space="preserve">) This relates to the unit as a whole providing the range of contexts and conditions to which the </w:t>
            </w:r>
            <w:r w:rsidRPr="00121F1F">
              <w:t>performance criteria apply. It allows for different work environments and situations that will affect performance.</w:t>
            </w:r>
          </w:p>
        </w:tc>
      </w:tr>
      <w:tr w:rsidTr="00086EDC">
        <w:tblPrEx>
          <w:tblW w:w="9216" w:type="dxa"/>
          <w:tblLayout w:type="fixed"/>
          <w:tblCellMar>
            <w:left w:w="62" w:type="dxa"/>
            <w:right w:w="62" w:type="dxa"/>
          </w:tblCellMar>
          <w:tblLook w:val="0000"/>
        </w:tblPrEx>
        <w:tc>
          <w:tcPr>
            <w:tcW w:w="9216" w:type="dxa"/>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t>This unit shall be demonstrated by diagnosing and rectifying at least four system faults across a representative range of electronic air nav</w:t>
            </w:r>
            <w:r w:rsidRPr="00121F1F">
              <w:t>igation systems.</w:t>
            </w:r>
          </w:p>
          <w:p w:rsidR="00000000" w:rsidP="00121F1F">
            <w:pPr>
              <w:pStyle w:val="BodyText"/>
              <w:rPr>
                <w:lang w:val="en-NZ"/>
              </w:rPr>
            </w:pPr>
            <w:r w:rsidRPr="00121F1F">
              <w:t>NDB, VOR, DME, ILS. GNSS</w:t>
            </w:r>
          </w:p>
        </w:tc>
      </w:tr>
      <w:tr w:rsidTr="00086EDC">
        <w:tblPrEx>
          <w:tblW w:w="9216" w:type="dxa"/>
          <w:tblLayout w:type="fixed"/>
          <w:tblCellMar>
            <w:left w:w="62" w:type="dxa"/>
            <w:right w:w="62" w:type="dxa"/>
          </w:tblCellMar>
          <w:tblLook w:val="0000"/>
        </w:tblPrEx>
        <w:tc>
          <w:tcPr>
            <w:tcW w:w="9216" w:type="dxa"/>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t>Generic terms used throughout this Vocational Standard shall be regarded as part of the Range Statement in which competency is demonstrated. The definition of these and other terms that apply are given in Volume 2</w:t>
            </w:r>
            <w:r w:rsidRPr="00121F1F">
              <w:t>, Part 2.1.</w:t>
            </w:r>
          </w:p>
        </w:tc>
      </w:tr>
    </w:tbl>
    <w:p w:rsidR="00086EDC" w:rsidP="00121F1F">
      <w:pPr>
        <w:pStyle w:val="BodyText"/>
      </w:pPr>
    </w:p>
    <w:p w:rsidR="00086EDC" w:rsidP="00121F1F">
      <w:pPr>
        <w:pStyle w:val="BodyText"/>
      </w:pPr>
    </w:p>
    <w:p w:rsidR="00000000" w:rsidRPr="00121F1F" w:rsidP="00121F1F">
      <w:pPr>
        <w:pStyle w:val="Heading1"/>
      </w:pPr>
      <w:bookmarkStart w:id="12" w:name="O_296467"/>
      <w:bookmarkEnd w:id="12"/>
      <w:r w:rsidRPr="00121F1F">
        <w:t>Unit Sector(s)</w:t>
      </w:r>
    </w:p>
    <w:p w:rsidR="00000000" w:rsidRPr="00121F1F" w:rsidP="00121F1F">
      <w:pPr>
        <w:pStyle w:val="BodyText"/>
      </w:pPr>
      <w:r w:rsidRPr="00121F1F">
        <w:t>Not Applicable</w:t>
      </w:r>
    </w:p>
    <w:p w:rsidR="00000000" w:rsidRPr="00121F1F" w:rsidP="00121F1F">
      <w:pPr>
        <w:pStyle w:val="AllowPageBreak"/>
      </w:pPr>
    </w:p>
    <w:p w:rsidR="00000000" w:rsidRPr="00121F1F" w:rsidP="00121F1F">
      <w:pPr>
        <w:pStyle w:val="Heading1"/>
      </w:pPr>
      <w:bookmarkStart w:id="13" w:name="O_227169"/>
      <w:bookmarkEnd w:id="13"/>
      <w:r w:rsidRPr="00121F1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86ED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rPr>
                <w:rStyle w:val="SpecialBold"/>
              </w:rPr>
              <w:t>2</w:t>
            </w:r>
            <w:r w:rsidRPr="00121F1F">
              <w:t>.</w:t>
            </w:r>
            <w:r w:rsidRPr="00121F1F">
              <w:rPr>
                <w:rStyle w:val="SpecialBold"/>
              </w:rPr>
              <w:t>2</w:t>
            </w:r>
            <w:r w:rsidRPr="00121F1F">
              <w:t xml:space="preserve">) </w:t>
            </w:r>
            <w:r w:rsidRPr="00121F1F">
              <w:rPr>
                <w:rStyle w:val="SpecialBold"/>
              </w:rPr>
              <w:t>Literacy and numeracy skills</w:t>
            </w:r>
          </w:p>
          <w:p w:rsidR="00000000" w:rsidP="00121F1F">
            <w:pPr>
              <w:pStyle w:val="BodyText"/>
              <w:rPr>
                <w:lang w:val="en-NZ"/>
              </w:rPr>
            </w:pPr>
            <w:r w:rsidRPr="00121F1F">
              <w:t xml:space="preserve">Participants are best equipped to achieve competency in this unit if they have reading, writing and numeracy skills indicated </w:t>
            </w:r>
            <w:r w:rsidRPr="00121F1F">
              <w:t>by the following scales. Description of each scale is given in Volume 2, Part 3 'Literacy and Numeracy'</w:t>
            </w:r>
          </w:p>
        </w:tc>
      </w:tr>
      <w:tr w:rsidTr="00086ED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Reading</w:t>
            </w:r>
          </w:p>
        </w:tc>
        <w:tc>
          <w:tcPr>
            <w:tcW w:w="1182"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5</w:t>
            </w:r>
          </w:p>
        </w:tc>
        <w:tc>
          <w:tcPr>
            <w:tcW w:w="1739"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Writing</w:t>
            </w:r>
          </w:p>
        </w:tc>
        <w:tc>
          <w:tcPr>
            <w:tcW w:w="1182"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5</w:t>
            </w:r>
          </w:p>
        </w:tc>
        <w:tc>
          <w:tcPr>
            <w:tcW w:w="1721"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t>Numeracy</w:t>
            </w:r>
          </w:p>
        </w:tc>
        <w:tc>
          <w:tcPr>
            <w:tcW w:w="1182" w:type="dxa"/>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t>5</w:t>
            </w:r>
          </w:p>
        </w:tc>
      </w:tr>
    </w:tbl>
    <w:p w:rsidR="00086EDC" w:rsidP="00121F1F">
      <w:pPr>
        <w:pStyle w:val="BodyText"/>
      </w:pPr>
    </w:p>
    <w:p w:rsidR="00086EDC" w:rsidP="00121F1F">
      <w:pPr>
        <w:pStyle w:val="BodyText"/>
      </w:pPr>
    </w:p>
    <w:p w:rsidR="00000000" w:rsidRPr="00121F1F" w:rsidP="00121F1F">
      <w:pPr>
        <w:pStyle w:val="Heading1"/>
      </w:pPr>
      <w:bookmarkStart w:id="14" w:name="O_227172"/>
      <w:bookmarkEnd w:id="14"/>
      <w:r w:rsidRPr="00121F1F">
        <w:t>2.2) Literacy and numeracy skills</w:t>
      </w:r>
    </w:p>
    <w:tbl>
      <w:tblPr>
        <w:tblW w:w="0" w:type="auto"/>
        <w:tblLayout w:type="fixed"/>
        <w:tblCellMar>
          <w:left w:w="62" w:type="dxa"/>
          <w:right w:w="62" w:type="dxa"/>
        </w:tblCellMar>
        <w:tblLook w:val="0000"/>
      </w:tblPr>
      <w:tblGrid>
        <w:gridCol w:w="2700"/>
        <w:gridCol w:w="5760"/>
      </w:tblGrid>
      <w:tr w:rsidTr="00086E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21F1F">
            <w:pPr>
              <w:pStyle w:val="BodyText"/>
              <w:rPr>
                <w:lang w:val="en-NZ"/>
              </w:rPr>
            </w:pPr>
            <w:r w:rsidRPr="00121F1F">
              <w:rPr>
                <w:rStyle w:val="SpecialBold"/>
              </w:rPr>
              <w:t>5</w:t>
            </w:r>
            <w:r w:rsidRPr="00121F1F">
              <w:t>)</w:t>
            </w:r>
          </w:p>
        </w:tc>
      </w:tr>
      <w:tr w:rsidTr="00086E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1F1F" w:rsidP="00121F1F">
            <w:pPr>
              <w:pStyle w:val="BodyText"/>
            </w:pPr>
            <w:r w:rsidRPr="00121F1F">
              <w:t>Electronics</w:t>
            </w:r>
          </w:p>
        </w:tc>
      </w:tr>
    </w:tbl>
    <w:p w:rsidR="00086EDC" w:rsidP="00121F1F">
      <w:pPr>
        <w:pStyle w:val="BodyText"/>
      </w:pPr>
    </w:p>
    <w:p w:rsidR="00086EDC" w:rsidP="00121F1F">
      <w:pPr>
        <w:pStyle w:val="BodyText"/>
      </w:pPr>
    </w:p>
    <w:p w:rsidR="00000000" w:rsidRPr="00121F1F" w:rsidP="00121F1F"/>
    <w:sectPr w:rsidSect="00121F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6EDC" w:rsidP="00086E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EDC" w:rsidP="00121F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86EDC" w:rsidP="00121F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86EDC" w:rsidP="00121F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6EDC" w:rsidP="00086E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EDC" w:rsidP="00121F1F">
    <w:pPr>
      <w:pStyle w:val="Header"/>
      <w:framePr w:wrap="around"/>
    </w:pPr>
    <w:r>
      <w:fldChar w:fldCharType="begin"/>
    </w:r>
    <w:r>
      <w:instrText xml:space="preserve"> TITLE   \* MERGEFORMAT </w:instrText>
    </w:r>
    <w:r>
      <w:fldChar w:fldCharType="separate"/>
    </w:r>
    <w:r>
      <w:t>UEENEEH091A Diagnose and rectify faults in air navigation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86EDC" w:rsidP="00121F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4EE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1668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CC6B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F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1F1F"/>
    <w:pPr>
      <w:spacing w:before="360" w:after="60"/>
      <w:outlineLvl w:val="0"/>
    </w:pPr>
    <w:rPr>
      <w:sz w:val="32"/>
    </w:rPr>
  </w:style>
  <w:style w:type="paragraph" w:styleId="Heading2">
    <w:name w:val="heading 2"/>
    <w:basedOn w:val="HeadingBase"/>
    <w:next w:val="BodyText"/>
    <w:link w:val="Heading2Char"/>
    <w:qFormat/>
    <w:rsid w:val="00121F1F"/>
    <w:pPr>
      <w:keepLines/>
      <w:spacing w:before="240" w:after="120"/>
      <w:outlineLvl w:val="1"/>
    </w:pPr>
    <w:rPr>
      <w:sz w:val="28"/>
      <w:szCs w:val="40"/>
    </w:rPr>
  </w:style>
  <w:style w:type="paragraph" w:styleId="Heading3">
    <w:name w:val="heading 3"/>
    <w:basedOn w:val="HeadingBase"/>
    <w:next w:val="BodyText"/>
    <w:link w:val="Heading3Char"/>
    <w:qFormat/>
    <w:rsid w:val="00121F1F"/>
    <w:pPr>
      <w:spacing w:before="180" w:after="120"/>
      <w:outlineLvl w:val="2"/>
    </w:pPr>
    <w:rPr>
      <w:spacing w:val="-10"/>
      <w:kern w:val="32"/>
    </w:rPr>
  </w:style>
  <w:style w:type="paragraph" w:styleId="Heading4">
    <w:name w:val="heading 4"/>
    <w:basedOn w:val="HeadingBase"/>
    <w:next w:val="BodyText"/>
    <w:link w:val="Heading4Char"/>
    <w:qFormat/>
    <w:rsid w:val="00121F1F"/>
    <w:pPr>
      <w:spacing w:before="160" w:after="120"/>
      <w:outlineLvl w:val="3"/>
    </w:pPr>
    <w:rPr>
      <w:sz w:val="22"/>
    </w:rPr>
  </w:style>
  <w:style w:type="paragraph" w:styleId="Heading5">
    <w:name w:val="heading 5"/>
    <w:basedOn w:val="HeadingBase"/>
    <w:next w:val="Normal"/>
    <w:link w:val="Heading5Char"/>
    <w:qFormat/>
    <w:rsid w:val="00121F1F"/>
    <w:pPr>
      <w:spacing w:before="80"/>
      <w:outlineLvl w:val="4"/>
    </w:pPr>
    <w:rPr>
      <w:color w:val="918585"/>
      <w:sz w:val="20"/>
    </w:rPr>
  </w:style>
  <w:style w:type="paragraph" w:styleId="Heading6">
    <w:name w:val="heading 6"/>
    <w:basedOn w:val="HeadingBase"/>
    <w:next w:val="Normal"/>
    <w:link w:val="Heading6Char"/>
    <w:qFormat/>
    <w:rsid w:val="00121F1F"/>
    <w:pPr>
      <w:spacing w:before="60"/>
      <w:outlineLvl w:val="5"/>
    </w:pPr>
    <w:rPr>
      <w:color w:val="918585"/>
      <w:sz w:val="20"/>
    </w:rPr>
  </w:style>
  <w:style w:type="paragraph" w:styleId="Heading7">
    <w:name w:val="heading 7"/>
    <w:basedOn w:val="Normal"/>
    <w:next w:val="Normal"/>
    <w:link w:val="Heading7Char"/>
    <w:qFormat/>
    <w:rsid w:val="00121F1F"/>
    <w:pPr>
      <w:ind w:left="720"/>
      <w:outlineLvl w:val="6"/>
    </w:pPr>
    <w:rPr>
      <w:i/>
    </w:rPr>
  </w:style>
  <w:style w:type="paragraph" w:styleId="Heading8">
    <w:name w:val="heading 8"/>
    <w:basedOn w:val="Normal"/>
    <w:next w:val="Normal"/>
    <w:link w:val="Heading8Char"/>
    <w:qFormat/>
    <w:rsid w:val="00121F1F"/>
    <w:pPr>
      <w:ind w:left="720"/>
      <w:outlineLvl w:val="7"/>
    </w:pPr>
    <w:rPr>
      <w:i/>
    </w:rPr>
  </w:style>
  <w:style w:type="paragraph" w:styleId="Heading9">
    <w:name w:val="heading 9"/>
    <w:basedOn w:val="Normal"/>
    <w:next w:val="Normal"/>
    <w:link w:val="Heading9Char"/>
    <w:qFormat/>
    <w:rsid w:val="00121F1F"/>
    <w:pPr>
      <w:ind w:left="720"/>
      <w:outlineLvl w:val="8"/>
    </w:pPr>
    <w:rPr>
      <w:i/>
    </w:rPr>
  </w:style>
  <w:style w:type="character" w:default="1" w:styleId="DefaultParagraphFont">
    <w:name w:val="Default Paragraph Font"/>
    <w:uiPriority w:val="1"/>
    <w:unhideWhenUsed/>
    <w:rsid w:val="00121F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F1F"/>
  </w:style>
  <w:style w:type="character" w:customStyle="1" w:styleId="Heading1Char">
    <w:name w:val="Heading 1 Char"/>
    <w:basedOn w:val="DefaultParagraphFont"/>
    <w:link w:val="Heading1"/>
    <w:rsid w:val="00121F1F"/>
    <w:rPr>
      <w:rFonts w:ascii="Times New Roman" w:eastAsia="Times New Roman" w:hAnsi="Times New Roman" w:cs="Times New Roman"/>
      <w:b/>
      <w:sz w:val="32"/>
      <w:szCs w:val="20"/>
      <w:lang w:eastAsia="en-US"/>
    </w:rPr>
  </w:style>
  <w:style w:type="paragraph" w:styleId="BodyText">
    <w:name w:val="Body Text"/>
    <w:basedOn w:val="Normal"/>
    <w:link w:val="BodyTextChar"/>
    <w:rsid w:val="00121F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1F1F"/>
    <w:rPr>
      <w:rFonts w:ascii="Times New Roman" w:eastAsia="Times New Roman" w:hAnsi="Times New Roman" w:cs="Times New Roman"/>
      <w:sz w:val="24"/>
      <w:lang w:val="en-US" w:eastAsia="en-US"/>
    </w:rPr>
  </w:style>
  <w:style w:type="paragraph" w:styleId="Footer">
    <w:name w:val="footer"/>
    <w:basedOn w:val="Normal"/>
    <w:link w:val="FooterChar"/>
    <w:rsid w:val="00121F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F1F"/>
    <w:rPr>
      <w:rFonts w:ascii="Times New Roman" w:eastAsia="Times New Roman" w:hAnsi="Times New Roman" w:cs="Times New Roman"/>
      <w:sz w:val="16"/>
      <w:lang w:val="en-US" w:eastAsia="en-US"/>
    </w:rPr>
  </w:style>
  <w:style w:type="paragraph" w:styleId="ListBullet">
    <w:name w:val="List Bullet"/>
    <w:basedOn w:val="List"/>
    <w:rsid w:val="00121F1F"/>
    <w:pPr>
      <w:numPr>
        <w:numId w:val="13"/>
      </w:numPr>
      <w:tabs>
        <w:tab w:val="clear" w:pos="340"/>
      </w:tabs>
      <w:spacing w:before="40" w:after="40"/>
    </w:pPr>
  </w:style>
  <w:style w:type="character" w:customStyle="1" w:styleId="SpecialBold">
    <w:name w:val="Special Bold"/>
    <w:basedOn w:val="DefaultParagraphFont"/>
    <w:rsid w:val="00121F1F"/>
    <w:rPr>
      <w:b/>
      <w:spacing w:val="0"/>
    </w:rPr>
  </w:style>
  <w:style w:type="paragraph" w:styleId="ListBullet2">
    <w:name w:val="List Bullet 2"/>
    <w:basedOn w:val="List2"/>
    <w:rsid w:val="00121F1F"/>
    <w:pPr>
      <w:numPr>
        <w:numId w:val="14"/>
      </w:numPr>
      <w:tabs>
        <w:tab w:val="clear" w:pos="680"/>
      </w:tabs>
    </w:pPr>
  </w:style>
  <w:style w:type="paragraph" w:styleId="Header">
    <w:name w:val="header"/>
    <w:basedOn w:val="Normal"/>
    <w:link w:val="HeaderChar"/>
    <w:rsid w:val="00121F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F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1F1F"/>
    <w:pPr>
      <w:spacing w:before="240" w:after="120"/>
      <w:outlineLvl w:val="0"/>
    </w:pPr>
    <w:rPr>
      <w:rFonts w:ascii="Times New Roman" w:hAnsi="Times New Roman"/>
      <w:b/>
      <w:sz w:val="28"/>
    </w:rPr>
  </w:style>
  <w:style w:type="paragraph" w:customStyle="1" w:styleId="AllowPageBreak">
    <w:name w:val="AllowPageBreak"/>
    <w:rsid w:val="00121F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1F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F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F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F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F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F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1F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1F1F"/>
    <w:rPr>
      <w:rFonts w:ascii="Courier New" w:eastAsia="Times New Roman" w:hAnsi="Courier New" w:cs="Times New Roman"/>
      <w:i/>
      <w:szCs w:val="20"/>
      <w:lang w:val="en-US" w:eastAsia="en-US"/>
    </w:rPr>
  </w:style>
  <w:style w:type="paragraph" w:customStyle="1" w:styleId="HeadingBase">
    <w:name w:val="Heading Base"/>
    <w:rsid w:val="00121F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F1F"/>
    <w:pPr>
      <w:tabs>
        <w:tab w:val="right" w:leader="dot" w:pos="9072"/>
      </w:tabs>
      <w:ind w:left="567"/>
    </w:pPr>
    <w:rPr>
      <w:szCs w:val="22"/>
    </w:rPr>
  </w:style>
  <w:style w:type="paragraph" w:customStyle="1" w:styleId="TOCBase">
    <w:name w:val="TOC Base"/>
    <w:rsid w:val="00121F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F1F"/>
    <w:pPr>
      <w:tabs>
        <w:tab w:val="right" w:leader="dot" w:pos="9072"/>
      </w:tabs>
      <w:spacing w:before="40" w:after="40"/>
      <w:ind w:left="284"/>
    </w:pPr>
    <w:rPr>
      <w:rFonts w:ascii="Times New Roman" w:hAnsi="Times New Roman"/>
    </w:rPr>
  </w:style>
  <w:style w:type="paragraph" w:styleId="TOC1">
    <w:name w:val="toc 1"/>
    <w:basedOn w:val="TOCBase"/>
    <w:next w:val="Normal"/>
    <w:rsid w:val="00121F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1F1F"/>
    <w:pPr>
      <w:spacing w:before="5040"/>
      <w:jc w:val="center"/>
    </w:pPr>
    <w:rPr>
      <w:sz w:val="48"/>
      <w:szCs w:val="72"/>
      <w:lang w:val="en-US"/>
    </w:rPr>
  </w:style>
  <w:style w:type="character" w:customStyle="1" w:styleId="TitleChar">
    <w:name w:val="Title Char"/>
    <w:basedOn w:val="DefaultParagraphFont"/>
    <w:link w:val="Title"/>
    <w:rsid w:val="00121F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F1F"/>
    <w:pPr>
      <w:tabs>
        <w:tab w:val="left" w:pos="3600"/>
        <w:tab w:val="left" w:pos="3958"/>
      </w:tabs>
    </w:pPr>
  </w:style>
  <w:style w:type="paragraph" w:styleId="List">
    <w:name w:val="List"/>
    <w:basedOn w:val="BodyText"/>
    <w:next w:val="BodyText"/>
    <w:rsid w:val="00121F1F"/>
    <w:pPr>
      <w:tabs>
        <w:tab w:val="left" w:pos="340"/>
      </w:tabs>
      <w:spacing w:before="60" w:after="60"/>
      <w:ind w:left="340" w:hanging="340"/>
    </w:pPr>
  </w:style>
  <w:style w:type="paragraph" w:customStyle="1" w:styleId="Note">
    <w:name w:val="Note"/>
    <w:basedOn w:val="BodyText"/>
    <w:rsid w:val="00121F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F1F"/>
    <w:pPr>
      <w:framePr w:wrap="auto" w:hAnchor="text" w:y="6049"/>
    </w:pPr>
    <w:rPr>
      <w:color w:val="000000"/>
      <w:sz w:val="40"/>
    </w:rPr>
  </w:style>
  <w:style w:type="paragraph" w:customStyle="1" w:styleId="TOCTitle">
    <w:name w:val="TOCTitle"/>
    <w:basedOn w:val="Heading1"/>
    <w:rsid w:val="00121F1F"/>
    <w:pPr>
      <w:spacing w:after="240"/>
      <w:jc w:val="center"/>
      <w:outlineLvl w:val="9"/>
    </w:pPr>
    <w:rPr>
      <w:caps/>
    </w:rPr>
  </w:style>
  <w:style w:type="paragraph" w:customStyle="1" w:styleId="Version">
    <w:name w:val="Version"/>
    <w:rsid w:val="00121F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1F1F"/>
    <w:pPr>
      <w:keepNext w:val="0"/>
      <w:tabs>
        <w:tab w:val="right" w:pos="4176"/>
      </w:tabs>
      <w:ind w:left="198" w:hanging="198"/>
    </w:pPr>
    <w:rPr>
      <w:rFonts w:ascii="Garamond" w:hAnsi="Garamond"/>
    </w:rPr>
  </w:style>
  <w:style w:type="paragraph" w:styleId="IndexHeading">
    <w:name w:val="index heading"/>
    <w:basedOn w:val="Normal"/>
    <w:next w:val="Index1"/>
    <w:semiHidden/>
    <w:rsid w:val="00121F1F"/>
    <w:pPr>
      <w:spacing w:before="120" w:after="120"/>
    </w:pPr>
    <w:rPr>
      <w:rFonts w:ascii="Arial" w:hAnsi="Arial"/>
      <w:b/>
      <w:color w:val="918585"/>
      <w:sz w:val="24"/>
    </w:rPr>
  </w:style>
  <w:style w:type="paragraph" w:customStyle="1" w:styleId="Chapter">
    <w:name w:val="Chapter"/>
    <w:basedOn w:val="Normal"/>
    <w:rsid w:val="00121F1F"/>
    <w:pPr>
      <w:spacing w:before="240"/>
    </w:pPr>
    <w:rPr>
      <w:rFonts w:ascii="Times New Roman" w:hAnsi="Times New Roman"/>
      <w:smallCaps/>
      <w:spacing w:val="80"/>
      <w:sz w:val="28"/>
    </w:rPr>
  </w:style>
  <w:style w:type="paragraph" w:customStyle="1" w:styleId="InChapter">
    <w:name w:val="InChapter"/>
    <w:basedOn w:val="Heading3"/>
    <w:rsid w:val="00121F1F"/>
    <w:pPr>
      <w:spacing w:after="240"/>
      <w:outlineLvl w:val="9"/>
    </w:pPr>
    <w:rPr>
      <w:noProof/>
    </w:rPr>
  </w:style>
  <w:style w:type="paragraph" w:styleId="Index2">
    <w:name w:val="index 2"/>
    <w:basedOn w:val="Normal"/>
    <w:next w:val="Normal"/>
    <w:semiHidden/>
    <w:rsid w:val="00121F1F"/>
    <w:pPr>
      <w:tabs>
        <w:tab w:val="right" w:pos="4176"/>
      </w:tabs>
      <w:ind w:left="568" w:hanging="284"/>
    </w:pPr>
    <w:rPr>
      <w:rFonts w:ascii="Garamond" w:hAnsi="Garamond"/>
    </w:rPr>
  </w:style>
  <w:style w:type="paragraph" w:customStyle="1" w:styleId="Byline">
    <w:name w:val="Byline"/>
    <w:rsid w:val="00121F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F1F"/>
    <w:pPr>
      <w:tabs>
        <w:tab w:val="clear" w:pos="3600"/>
        <w:tab w:val="clear" w:pos="3958"/>
      </w:tabs>
      <w:jc w:val="right"/>
    </w:pPr>
  </w:style>
  <w:style w:type="character" w:styleId="Emphasis">
    <w:name w:val="Emphasis"/>
    <w:basedOn w:val="DefaultParagraphFont"/>
    <w:qFormat/>
    <w:rsid w:val="00121F1F"/>
    <w:rPr>
      <w:i/>
    </w:rPr>
  </w:style>
  <w:style w:type="paragraph" w:styleId="Caption">
    <w:name w:val="caption"/>
    <w:basedOn w:val="BodyText"/>
    <w:next w:val="Normal"/>
    <w:qFormat/>
    <w:rsid w:val="00121F1F"/>
    <w:pPr>
      <w:framePr w:w="2268" w:hSpace="181" w:vSpace="181" w:wrap="around" w:vAnchor="text" w:hAnchor="page" w:x="1135" w:y="285" w:anchorLock="1"/>
    </w:pPr>
    <w:rPr>
      <w:i/>
    </w:rPr>
  </w:style>
  <w:style w:type="paragraph" w:customStyle="1" w:styleId="MiniTOCTitle">
    <w:name w:val="MiniTOCTitle"/>
    <w:basedOn w:val="Heading4"/>
    <w:rsid w:val="00121F1F"/>
    <w:pPr>
      <w:spacing w:before="240"/>
      <w:outlineLvl w:val="9"/>
    </w:pPr>
    <w:rPr>
      <w:noProof/>
      <w:sz w:val="24"/>
    </w:rPr>
  </w:style>
  <w:style w:type="paragraph" w:customStyle="1" w:styleId="MiniTOCItem">
    <w:name w:val="MiniTOCItem"/>
    <w:basedOn w:val="ListBullet"/>
    <w:rsid w:val="00121F1F"/>
    <w:pPr>
      <w:numPr>
        <w:numId w:val="0"/>
      </w:numPr>
      <w:tabs>
        <w:tab w:val="right" w:leader="dot" w:pos="6521"/>
      </w:tabs>
      <w:spacing w:before="0" w:after="0"/>
    </w:pPr>
  </w:style>
  <w:style w:type="paragraph" w:customStyle="1" w:styleId="TOFTitle">
    <w:name w:val="TOFTitle"/>
    <w:basedOn w:val="TOCTitle"/>
    <w:rsid w:val="00121F1F"/>
  </w:style>
  <w:style w:type="paragraph" w:styleId="TableofFigures">
    <w:name w:val="table of figures"/>
    <w:basedOn w:val="Normal"/>
    <w:next w:val="Normal"/>
    <w:semiHidden/>
    <w:rsid w:val="00121F1F"/>
    <w:pPr>
      <w:tabs>
        <w:tab w:val="right" w:leader="dot" w:pos="9072"/>
      </w:tabs>
      <w:ind w:left="970" w:hanging="403"/>
    </w:pPr>
    <w:rPr>
      <w:rFonts w:ascii="Times New Roman" w:hAnsi="Times New Roman"/>
      <w:b/>
    </w:rPr>
  </w:style>
  <w:style w:type="paragraph" w:styleId="ListNumber">
    <w:name w:val="List Number"/>
    <w:basedOn w:val="List"/>
    <w:rsid w:val="00121F1F"/>
    <w:pPr>
      <w:numPr>
        <w:numId w:val="11"/>
      </w:numPr>
    </w:pPr>
  </w:style>
  <w:style w:type="character" w:customStyle="1" w:styleId="WingdingSymbols">
    <w:name w:val="Wingding Symbols"/>
    <w:rsid w:val="00121F1F"/>
    <w:rPr>
      <w:rFonts w:ascii="Wingdings" w:hAnsi="Wingdings"/>
    </w:rPr>
  </w:style>
  <w:style w:type="paragraph" w:customStyle="1" w:styleId="TableHeading">
    <w:name w:val="Table Heading"/>
    <w:basedOn w:val="HeadingBase"/>
    <w:rsid w:val="00121F1F"/>
    <w:pPr>
      <w:keepLines/>
      <w:pBdr>
        <w:bottom w:val="single" w:sz="6" w:space="1" w:color="918585"/>
      </w:pBdr>
      <w:spacing w:before="240"/>
    </w:pPr>
  </w:style>
  <w:style w:type="character" w:customStyle="1" w:styleId="HotSpot">
    <w:name w:val="HotSpot"/>
    <w:rsid w:val="00121F1F"/>
    <w:rPr>
      <w:color w:val="0033CC"/>
      <w:u w:val="none"/>
    </w:rPr>
  </w:style>
  <w:style w:type="paragraph" w:customStyle="1" w:styleId="BodyTextRight">
    <w:name w:val="Body Text Right"/>
    <w:basedOn w:val="BodyText"/>
    <w:rsid w:val="00121F1F"/>
    <w:pPr>
      <w:spacing w:before="0" w:after="0"/>
      <w:jc w:val="right"/>
    </w:pPr>
  </w:style>
  <w:style w:type="paragraph" w:styleId="Index3">
    <w:name w:val="index 3"/>
    <w:basedOn w:val="ListNumber2"/>
    <w:next w:val="Normal"/>
    <w:semiHidden/>
    <w:rsid w:val="00121F1F"/>
    <w:pPr>
      <w:numPr>
        <w:numId w:val="0"/>
      </w:numPr>
      <w:tabs>
        <w:tab w:val="right" w:leader="dot" w:pos="4176"/>
      </w:tabs>
    </w:pPr>
  </w:style>
  <w:style w:type="paragraph" w:styleId="ListNumber2">
    <w:name w:val="List Number 2"/>
    <w:basedOn w:val="List2"/>
    <w:rsid w:val="00121F1F"/>
    <w:pPr>
      <w:numPr>
        <w:numId w:val="10"/>
      </w:numPr>
      <w:tabs>
        <w:tab w:val="clear" w:pos="1060"/>
      </w:tabs>
    </w:pPr>
  </w:style>
  <w:style w:type="paragraph" w:customStyle="1" w:styleId="MarginNote">
    <w:name w:val="Margin Note"/>
    <w:basedOn w:val="BodyText"/>
    <w:rsid w:val="00121F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F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F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1F1F"/>
    <w:rPr>
      <w:sz w:val="32"/>
    </w:rPr>
  </w:style>
  <w:style w:type="paragraph" w:customStyle="1" w:styleId="HeadingProcedure">
    <w:name w:val="Heading Procedure"/>
    <w:basedOn w:val="HeadingBase"/>
    <w:next w:val="Normal"/>
    <w:rsid w:val="00121F1F"/>
    <w:pPr>
      <w:tabs>
        <w:tab w:val="left" w:pos="0"/>
      </w:tabs>
      <w:spacing w:before="120" w:after="60"/>
    </w:pPr>
    <w:rPr>
      <w:i/>
      <w:color w:val="918585"/>
      <w:sz w:val="22"/>
    </w:rPr>
  </w:style>
  <w:style w:type="paragraph" w:customStyle="1" w:styleId="TableBodyText">
    <w:name w:val="Table Body Text"/>
    <w:basedOn w:val="BodyText"/>
    <w:rsid w:val="00121F1F"/>
    <w:pPr>
      <w:spacing w:before="60" w:after="60"/>
    </w:pPr>
  </w:style>
  <w:style w:type="paragraph" w:styleId="ListContinue">
    <w:name w:val="List Continue"/>
    <w:basedOn w:val="List"/>
    <w:rsid w:val="00121F1F"/>
    <w:pPr>
      <w:ind w:firstLine="0"/>
    </w:pPr>
  </w:style>
  <w:style w:type="paragraph" w:customStyle="1" w:styleId="ListNote">
    <w:name w:val="List Note"/>
    <w:basedOn w:val="List"/>
    <w:rsid w:val="00121F1F"/>
    <w:pPr>
      <w:pBdr>
        <w:top w:val="single" w:sz="6" w:space="2" w:color="918585"/>
        <w:bottom w:val="single" w:sz="6" w:space="2" w:color="918585"/>
      </w:pBdr>
      <w:tabs>
        <w:tab w:val="left" w:pos="1021"/>
      </w:tabs>
      <w:ind w:firstLine="0"/>
    </w:pPr>
  </w:style>
  <w:style w:type="paragraph" w:customStyle="1" w:styleId="Warning">
    <w:name w:val="Warning"/>
    <w:basedOn w:val="BodyText"/>
    <w:rsid w:val="00121F1F"/>
    <w:pPr>
      <w:shd w:val="clear" w:color="auto" w:fill="D9D9D9"/>
      <w:tabs>
        <w:tab w:val="left" w:pos="992"/>
      </w:tabs>
      <w:ind w:left="119" w:right="119"/>
    </w:pPr>
    <w:rPr>
      <w:sz w:val="20"/>
    </w:rPr>
  </w:style>
  <w:style w:type="paragraph" w:customStyle="1" w:styleId="MarginIcons">
    <w:name w:val="Margin Icons"/>
    <w:basedOn w:val="BodyText"/>
    <w:rsid w:val="00121F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F1F"/>
    <w:rPr>
      <w:rFonts w:ascii="Courier New" w:hAnsi="Courier New"/>
    </w:rPr>
  </w:style>
  <w:style w:type="paragraph" w:customStyle="1" w:styleId="NoteBullet">
    <w:name w:val="Note Bullet"/>
    <w:basedOn w:val="Note"/>
    <w:rsid w:val="00121F1F"/>
    <w:pPr>
      <w:tabs>
        <w:tab w:val="clear" w:pos="680"/>
      </w:tabs>
      <w:spacing w:before="60" w:after="60"/>
    </w:pPr>
  </w:style>
  <w:style w:type="paragraph" w:customStyle="1" w:styleId="SubHeading2">
    <w:name w:val="SubHeading2"/>
    <w:basedOn w:val="HeadingBase"/>
    <w:rsid w:val="00121F1F"/>
    <w:pPr>
      <w:spacing w:before="240" w:after="60"/>
    </w:pPr>
    <w:rPr>
      <w:sz w:val="20"/>
    </w:rPr>
  </w:style>
  <w:style w:type="paragraph" w:customStyle="1" w:styleId="SubHeading1">
    <w:name w:val="SubHeading1"/>
    <w:basedOn w:val="HeadingBase"/>
    <w:rsid w:val="00121F1F"/>
    <w:pPr>
      <w:spacing w:before="240" w:after="60"/>
    </w:pPr>
    <w:rPr>
      <w:color w:val="918585"/>
      <w:sz w:val="22"/>
    </w:rPr>
  </w:style>
  <w:style w:type="paragraph" w:customStyle="1" w:styleId="SideHeading">
    <w:name w:val="Side Heading"/>
    <w:basedOn w:val="HeadingBase"/>
    <w:rsid w:val="00121F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F1F"/>
    <w:pPr>
      <w:numPr>
        <w:numId w:val="12"/>
      </w:numPr>
    </w:pPr>
  </w:style>
  <w:style w:type="paragraph" w:styleId="PlainText">
    <w:name w:val="Plain Text"/>
    <w:basedOn w:val="Normal"/>
    <w:link w:val="PlainTextChar"/>
    <w:rsid w:val="00121F1F"/>
    <w:rPr>
      <w:sz w:val="20"/>
    </w:rPr>
  </w:style>
  <w:style w:type="character" w:customStyle="1" w:styleId="PlainTextChar">
    <w:name w:val="Plain Text Char"/>
    <w:basedOn w:val="DefaultParagraphFont"/>
    <w:link w:val="PlainText"/>
    <w:rsid w:val="00121F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1F1F"/>
    <w:rPr>
      <w:b/>
      <w:smallCaps/>
    </w:rPr>
  </w:style>
  <w:style w:type="paragraph" w:customStyle="1" w:styleId="TableListNumber">
    <w:name w:val="Table List Number"/>
    <w:basedOn w:val="ListNumber"/>
    <w:rsid w:val="00121F1F"/>
    <w:pPr>
      <w:numPr>
        <w:numId w:val="0"/>
      </w:numPr>
    </w:pPr>
  </w:style>
  <w:style w:type="paragraph" w:styleId="TOC4">
    <w:name w:val="toc 4"/>
    <w:basedOn w:val="TOCBase"/>
    <w:next w:val="Normal"/>
    <w:semiHidden/>
    <w:rsid w:val="00121F1F"/>
    <w:pPr>
      <w:tabs>
        <w:tab w:val="right" w:leader="dot" w:pos="9071"/>
      </w:tabs>
      <w:ind w:left="1701"/>
    </w:pPr>
  </w:style>
  <w:style w:type="paragraph" w:customStyle="1" w:styleId="ListAlpha">
    <w:name w:val="List Alpha"/>
    <w:basedOn w:val="List"/>
    <w:rsid w:val="00121F1F"/>
    <w:pPr>
      <w:numPr>
        <w:numId w:val="9"/>
      </w:numPr>
    </w:pPr>
  </w:style>
  <w:style w:type="paragraph" w:customStyle="1" w:styleId="ListAlpha2">
    <w:name w:val="List Alpha 2"/>
    <w:basedOn w:val="List2"/>
    <w:rsid w:val="00121F1F"/>
    <w:pPr>
      <w:numPr>
        <w:numId w:val="8"/>
      </w:numPr>
    </w:pPr>
  </w:style>
  <w:style w:type="paragraph" w:styleId="List2">
    <w:name w:val="List 2"/>
    <w:basedOn w:val="BodyText"/>
    <w:rsid w:val="00121F1F"/>
    <w:pPr>
      <w:tabs>
        <w:tab w:val="left" w:pos="680"/>
      </w:tabs>
      <w:spacing w:before="60" w:after="60"/>
      <w:ind w:left="680" w:hanging="340"/>
    </w:pPr>
  </w:style>
  <w:style w:type="paragraph" w:styleId="List3">
    <w:name w:val="List 3"/>
    <w:basedOn w:val="BodyText"/>
    <w:rsid w:val="00121F1F"/>
    <w:pPr>
      <w:tabs>
        <w:tab w:val="left" w:pos="1021"/>
      </w:tabs>
      <w:spacing w:before="60" w:after="60"/>
      <w:ind w:left="1020" w:hanging="340"/>
    </w:pPr>
  </w:style>
  <w:style w:type="paragraph" w:styleId="List4">
    <w:name w:val="List 4"/>
    <w:basedOn w:val="BodyText"/>
    <w:rsid w:val="00121F1F"/>
    <w:pPr>
      <w:tabs>
        <w:tab w:val="left" w:pos="1361"/>
      </w:tabs>
      <w:spacing w:before="60" w:after="60"/>
      <w:ind w:left="1361" w:hanging="340"/>
    </w:pPr>
  </w:style>
  <w:style w:type="paragraph" w:styleId="List5">
    <w:name w:val="List 5"/>
    <w:basedOn w:val="BodyText"/>
    <w:rsid w:val="00121F1F"/>
    <w:pPr>
      <w:tabs>
        <w:tab w:val="left" w:pos="1701"/>
      </w:tabs>
      <w:spacing w:before="60" w:after="60"/>
      <w:ind w:left="1701" w:hanging="340"/>
    </w:pPr>
  </w:style>
  <w:style w:type="paragraph" w:styleId="ListBullet3">
    <w:name w:val="List Bullet 3"/>
    <w:basedOn w:val="List3"/>
    <w:rsid w:val="00121F1F"/>
    <w:pPr>
      <w:numPr>
        <w:numId w:val="15"/>
      </w:numPr>
      <w:tabs>
        <w:tab w:val="clear" w:pos="1021"/>
      </w:tabs>
      <w:ind w:left="1037" w:hanging="357"/>
    </w:pPr>
  </w:style>
  <w:style w:type="paragraph" w:styleId="ListBullet4">
    <w:name w:val="List Bullet 4"/>
    <w:basedOn w:val="List4"/>
    <w:rsid w:val="00121F1F"/>
    <w:pPr>
      <w:numPr>
        <w:numId w:val="3"/>
      </w:numPr>
    </w:pPr>
  </w:style>
  <w:style w:type="paragraph" w:styleId="ListBullet5">
    <w:name w:val="List Bullet 5"/>
    <w:basedOn w:val="List5"/>
    <w:rsid w:val="00121F1F"/>
    <w:pPr>
      <w:numPr>
        <w:numId w:val="4"/>
      </w:numPr>
    </w:pPr>
  </w:style>
  <w:style w:type="paragraph" w:styleId="ListContinue2">
    <w:name w:val="List Continue 2"/>
    <w:basedOn w:val="List2"/>
    <w:rsid w:val="00121F1F"/>
    <w:pPr>
      <w:ind w:firstLine="0"/>
    </w:pPr>
  </w:style>
  <w:style w:type="paragraph" w:styleId="ListContinue3">
    <w:name w:val="List Continue 3"/>
    <w:basedOn w:val="List3"/>
    <w:rsid w:val="00121F1F"/>
    <w:pPr>
      <w:ind w:left="1021" w:firstLine="0"/>
    </w:pPr>
  </w:style>
  <w:style w:type="paragraph" w:styleId="ListContinue4">
    <w:name w:val="List Continue 4"/>
    <w:basedOn w:val="List4"/>
    <w:rsid w:val="00121F1F"/>
    <w:pPr>
      <w:ind w:firstLine="0"/>
    </w:pPr>
  </w:style>
  <w:style w:type="paragraph" w:styleId="ListContinue5">
    <w:name w:val="List Continue 5"/>
    <w:basedOn w:val="List5"/>
    <w:rsid w:val="00121F1F"/>
    <w:pPr>
      <w:ind w:firstLine="0"/>
    </w:pPr>
  </w:style>
  <w:style w:type="paragraph" w:styleId="ListNumber3">
    <w:name w:val="List Number 3"/>
    <w:basedOn w:val="List3"/>
    <w:rsid w:val="00121F1F"/>
    <w:pPr>
      <w:numPr>
        <w:numId w:val="5"/>
      </w:numPr>
    </w:pPr>
  </w:style>
  <w:style w:type="paragraph" w:styleId="ListNumber4">
    <w:name w:val="List Number 4"/>
    <w:basedOn w:val="List4"/>
    <w:rsid w:val="00121F1F"/>
    <w:pPr>
      <w:numPr>
        <w:numId w:val="6"/>
      </w:numPr>
    </w:pPr>
  </w:style>
  <w:style w:type="paragraph" w:styleId="ListNumber5">
    <w:name w:val="List Number 5"/>
    <w:basedOn w:val="List5"/>
    <w:rsid w:val="00121F1F"/>
    <w:pPr>
      <w:numPr>
        <w:numId w:val="7"/>
      </w:numPr>
    </w:pPr>
  </w:style>
  <w:style w:type="paragraph" w:styleId="BlockText">
    <w:name w:val="Block Text"/>
    <w:basedOn w:val="Normal"/>
    <w:rsid w:val="00121F1F"/>
    <w:pPr>
      <w:spacing w:after="120"/>
      <w:ind w:left="1440" w:right="1440"/>
    </w:pPr>
  </w:style>
  <w:style w:type="character" w:customStyle="1" w:styleId="Subscript">
    <w:name w:val="Subscript"/>
    <w:basedOn w:val="DefaultParagraphFont"/>
    <w:rsid w:val="00121F1F"/>
    <w:rPr>
      <w:sz w:val="16"/>
      <w:vertAlign w:val="subscript"/>
    </w:rPr>
  </w:style>
  <w:style w:type="character" w:customStyle="1" w:styleId="Superscript">
    <w:name w:val="Superscript"/>
    <w:basedOn w:val="DefaultParagraphFont"/>
    <w:rsid w:val="00121F1F"/>
    <w:rPr>
      <w:sz w:val="16"/>
      <w:vertAlign w:val="superscript"/>
    </w:rPr>
  </w:style>
  <w:style w:type="character" w:customStyle="1" w:styleId="Symbols">
    <w:name w:val="Symbols"/>
    <w:basedOn w:val="DefaultParagraphFont"/>
    <w:rsid w:val="00121F1F"/>
    <w:rPr>
      <w:rFonts w:ascii="Symbol" w:hAnsi="Symbol"/>
    </w:rPr>
  </w:style>
  <w:style w:type="character" w:customStyle="1" w:styleId="MenuOptions">
    <w:name w:val="Menu Options"/>
    <w:basedOn w:val="DefaultParagraphFont"/>
    <w:rsid w:val="00121F1F"/>
    <w:rPr>
      <w:rFonts w:ascii="Arial Narrow" w:hAnsi="Arial Narrow"/>
      <w:smallCaps/>
    </w:rPr>
  </w:style>
  <w:style w:type="character" w:customStyle="1" w:styleId="Buttons">
    <w:name w:val="Buttons"/>
    <w:basedOn w:val="DefaultParagraphFont"/>
    <w:rsid w:val="00121F1F"/>
    <w:rPr>
      <w:b/>
    </w:rPr>
  </w:style>
  <w:style w:type="character" w:customStyle="1" w:styleId="Underlined">
    <w:name w:val="Underlined"/>
    <w:basedOn w:val="DefaultParagraphFont"/>
    <w:rsid w:val="00121F1F"/>
    <w:rPr>
      <w:u w:val="single"/>
    </w:rPr>
  </w:style>
  <w:style w:type="paragraph" w:customStyle="1" w:styleId="TableBodyTextRight">
    <w:name w:val="Table Body Text Right"/>
    <w:basedOn w:val="TableBodyText"/>
    <w:rsid w:val="00121F1F"/>
    <w:pPr>
      <w:widowControl w:val="0"/>
      <w:autoSpaceDE w:val="0"/>
      <w:autoSpaceDN w:val="0"/>
      <w:adjustRightInd w:val="0"/>
      <w:jc w:val="right"/>
    </w:pPr>
    <w:rPr>
      <w:rFonts w:cs="Arial"/>
      <w:szCs w:val="18"/>
    </w:rPr>
  </w:style>
  <w:style w:type="paragraph" w:customStyle="1" w:styleId="CopyrightText">
    <w:name w:val="Copyright Text"/>
    <w:basedOn w:val="BodyText"/>
    <w:rsid w:val="00121F1F"/>
    <w:rPr>
      <w:sz w:val="18"/>
    </w:rPr>
  </w:style>
  <w:style w:type="paragraph" w:customStyle="1" w:styleId="BodySmallRight">
    <w:name w:val="Body Small Right"/>
    <w:basedOn w:val="BodyTextRight"/>
    <w:rsid w:val="00121F1F"/>
    <w:rPr>
      <w:sz w:val="18"/>
      <w:szCs w:val="18"/>
    </w:rPr>
  </w:style>
  <w:style w:type="paragraph" w:customStyle="1" w:styleId="MarginEdition">
    <w:name w:val="Margin Edition"/>
    <w:basedOn w:val="MarginNote"/>
    <w:rsid w:val="00121F1F"/>
    <w:pPr>
      <w:spacing w:before="0" w:after="0"/>
    </w:pPr>
    <w:rPr>
      <w:rFonts w:ascii="Times New Roman" w:hAnsi="Times New Roman"/>
      <w:color w:val="999999"/>
    </w:rPr>
  </w:style>
  <w:style w:type="paragraph" w:customStyle="1" w:styleId="Spacer">
    <w:name w:val="Spacer"/>
    <w:basedOn w:val="Normal"/>
    <w:rsid w:val="00121F1F"/>
    <w:rPr>
      <w:sz w:val="2"/>
      <w:szCs w:val="2"/>
    </w:rPr>
  </w:style>
  <w:style w:type="character" w:customStyle="1" w:styleId="Small">
    <w:name w:val="Small"/>
    <w:basedOn w:val="DefaultParagraphFont"/>
    <w:rsid w:val="00121F1F"/>
    <w:rPr>
      <w:sz w:val="16"/>
    </w:rPr>
  </w:style>
  <w:style w:type="paragraph" w:customStyle="1" w:styleId="WideTable">
    <w:name w:val="Wide Table"/>
    <w:basedOn w:val="Normal"/>
    <w:rsid w:val="00121F1F"/>
    <w:pPr>
      <w:ind w:left="-1418"/>
    </w:pPr>
    <w:rPr>
      <w:sz w:val="2"/>
      <w:szCs w:val="2"/>
    </w:rPr>
  </w:style>
  <w:style w:type="character" w:styleId="PageNumber">
    <w:name w:val="page number"/>
    <w:basedOn w:val="DefaultParagraphFont"/>
    <w:rsid w:val="00121F1F"/>
  </w:style>
  <w:style w:type="paragraph" w:styleId="Quote">
    <w:name w:val="Quote"/>
    <w:basedOn w:val="Heading1"/>
    <w:link w:val="QuoteChar"/>
    <w:qFormat/>
    <w:rsid w:val="00121F1F"/>
    <w:rPr>
      <w:b w:val="0"/>
      <w:sz w:val="72"/>
      <w:szCs w:val="72"/>
      <w:lang w:val="en-NZ"/>
    </w:rPr>
  </w:style>
  <w:style w:type="character" w:customStyle="1" w:styleId="QuoteChar">
    <w:name w:val="Quote Char"/>
    <w:basedOn w:val="DefaultParagraphFont"/>
    <w:link w:val="Quote"/>
    <w:rsid w:val="00121F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F1F"/>
    <w:pPr>
      <w:pageBreakBefore/>
    </w:pPr>
  </w:style>
  <w:style w:type="paragraph" w:customStyle="1" w:styleId="Border">
    <w:name w:val="Border"/>
    <w:basedOn w:val="Normal"/>
    <w:qFormat/>
    <w:rsid w:val="00121F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F1F"/>
    <w:rPr>
      <w:b/>
      <w:bCs/>
      <w:i/>
      <w:iCs/>
      <w:color w:val="auto"/>
    </w:rPr>
  </w:style>
  <w:style w:type="paragraph" w:styleId="IntenseQuote">
    <w:name w:val="Intense Quote"/>
    <w:basedOn w:val="Normal"/>
    <w:next w:val="Normal"/>
    <w:link w:val="IntenseQuoteChar"/>
    <w:uiPriority w:val="30"/>
    <w:qFormat/>
    <w:rsid w:val="00121F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F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1F1F"/>
    <w:rPr>
      <w:smallCaps/>
      <w:color w:val="auto"/>
      <w:u w:val="single"/>
    </w:rPr>
  </w:style>
  <w:style w:type="character" w:styleId="IntenseReference">
    <w:name w:val="Intense Reference"/>
    <w:basedOn w:val="DefaultParagraphFont"/>
    <w:uiPriority w:val="32"/>
    <w:qFormat/>
    <w:rsid w:val="00121F1F"/>
    <w:rPr>
      <w:b/>
      <w:bCs/>
      <w:smallCaps/>
      <w:color w:val="auto"/>
      <w:spacing w:val="5"/>
      <w:u w:val="single"/>
    </w:rPr>
  </w:style>
  <w:style w:type="paragraph" w:customStyle="1" w:styleId="2ColumnHeading">
    <w:name w:val="2Column Heading"/>
    <w:basedOn w:val="BodyText"/>
    <w:qFormat/>
    <w:rsid w:val="00121F1F"/>
    <w:pPr>
      <w:spacing w:after="60"/>
      <w:ind w:left="-2268"/>
    </w:pPr>
    <w:rPr>
      <w:b/>
    </w:rPr>
  </w:style>
  <w:style w:type="paragraph" w:customStyle="1" w:styleId="Heading1TOC">
    <w:name w:val="Heading1 TOC"/>
    <w:basedOn w:val="Normal"/>
    <w:qFormat/>
    <w:rsid w:val="00121F1F"/>
    <w:pPr>
      <w:spacing w:before="240" w:after="120"/>
    </w:pPr>
    <w:rPr>
      <w:rFonts w:ascii="Times New Roman" w:hAnsi="Times New Roman"/>
      <w:b/>
      <w:sz w:val="32"/>
    </w:rPr>
  </w:style>
  <w:style w:type="paragraph" w:customStyle="1" w:styleId="Heading2TOC">
    <w:name w:val="Heading2 TOC"/>
    <w:basedOn w:val="Normal"/>
    <w:qFormat/>
    <w:rsid w:val="00121F1F"/>
    <w:pPr>
      <w:spacing w:before="240" w:after="60"/>
    </w:pPr>
    <w:rPr>
      <w:rFonts w:ascii="Times New Roman" w:hAnsi="Times New Roman"/>
      <w:b/>
      <w:sz w:val="28"/>
    </w:rPr>
  </w:style>
  <w:style w:type="character" w:customStyle="1" w:styleId="Underline">
    <w:name w:val="Underline"/>
    <w:basedOn w:val="DefaultParagraphFont"/>
    <w:qFormat/>
    <w:rsid w:val="00121F1F"/>
    <w:rPr>
      <w:u w:val="single"/>
    </w:rPr>
  </w:style>
  <w:style w:type="character" w:customStyle="1" w:styleId="BoldandItalics">
    <w:name w:val="Bold and Italics"/>
    <w:qFormat/>
    <w:rsid w:val="00121F1F"/>
    <w:rPr>
      <w:b/>
      <w:i/>
      <w:u w:val="none"/>
    </w:rPr>
  </w:style>
  <w:style w:type="paragraph" w:styleId="BalloonText">
    <w:name w:val="Balloon Text"/>
    <w:basedOn w:val="Normal"/>
    <w:link w:val="BalloonTextChar"/>
    <w:rsid w:val="00121F1F"/>
    <w:rPr>
      <w:rFonts w:ascii="Tahoma" w:hAnsi="Tahoma" w:cs="Tahoma"/>
      <w:sz w:val="16"/>
      <w:szCs w:val="16"/>
    </w:rPr>
  </w:style>
  <w:style w:type="character" w:customStyle="1" w:styleId="BalloonTextChar">
    <w:name w:val="Balloon Text Char"/>
    <w:basedOn w:val="DefaultParagraphFont"/>
    <w:link w:val="BalloonText"/>
    <w:rsid w:val="00121F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1F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1F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2178</Words>
  <Characters>12900</Characters>
  <Application>Microsoft Office Word</Application>
  <DocSecurity>0</DocSecurity>
  <Lines>478</Lines>
  <Paragraphs>188</Paragraphs>
  <ScaleCrop>false</ScaleCrop>
  <Company>Author-it Software Corporation Ltd.</Company>
  <LinksUpToDate>false</LinksUpToDate>
  <CharactersWithSpaces>14909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UEENEEH091A Diagnose and rectify faults in air navigation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2012-05-26T11:15:00Z</dcterms:created>
  <dcterms:modified xsi:type="dcterms:W3CDTF">2012-05-26T11:15:00Z</dcterms:modified>
</cp:coreProperties>
</file>