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6D1" w:rsidP="002876D1">
      <w:pPr>
        <w:pStyle w:val="Title"/>
      </w:pPr>
      <w:bookmarkStart w:id="0" w:name="_GoBack"/>
      <w:bookmarkEnd w:id="0"/>
      <w:r>
        <w:fldChar w:fldCharType="begin"/>
      </w:r>
      <w:r>
        <w:instrText xml:space="preserve"> TITLE   \* MERGEFORMAT </w:instrText>
      </w:r>
      <w:r>
        <w:fldChar w:fldCharType="separate"/>
      </w:r>
      <w:r>
        <w:t>UEENEEH077B Diagnose and rectify faults in recording and replay apparatus</w:t>
      </w:r>
      <w:r>
        <w:fldChar w:fldCharType="end"/>
      </w:r>
    </w:p>
    <w:p w:rsidR="002876D1" w:rsidP="002876D1">
      <w:pPr>
        <w:pStyle w:val="Version"/>
        <w:sectPr w:rsidSect="00B932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23B" w:rsidP="00B9323B">
      <w:pPr>
        <w:pStyle w:val="SuperHeading"/>
      </w:pPr>
      <w:r w:rsidRPr="00B9323B">
        <w:t>UEENEEH077B Diagnose and rectify faults in recording and replay apparatus</w:t>
      </w:r>
    </w:p>
    <w:p w:rsidR="00000000" w:rsidRPr="00B9323B" w:rsidP="00B9323B">
      <w:pPr>
        <w:pStyle w:val="Heading1"/>
      </w:pPr>
      <w:bookmarkStart w:id="1" w:name="O_274760"/>
      <w:bookmarkEnd w:id="1"/>
      <w:r w:rsidRPr="00B9323B">
        <w:t>Modification History</w:t>
      </w:r>
    </w:p>
    <w:p w:rsidR="00000000" w:rsidRPr="00B9323B" w:rsidP="00B9323B">
      <w:pPr>
        <w:pStyle w:val="BodyText"/>
      </w:pPr>
      <w:r w:rsidRPr="00B9323B">
        <w:t>Not Applicable</w:t>
      </w:r>
    </w:p>
    <w:p w:rsidR="00000000" w:rsidRPr="00B9323B" w:rsidP="00B9323B">
      <w:pPr>
        <w:pStyle w:val="AllowPageBreak"/>
      </w:pPr>
    </w:p>
    <w:p w:rsidR="00000000" w:rsidRPr="00B9323B" w:rsidP="00B9323B">
      <w:pPr>
        <w:pStyle w:val="Heading1"/>
      </w:pPr>
      <w:bookmarkStart w:id="2" w:name="O_227076"/>
      <w:bookmarkEnd w:id="2"/>
      <w:r w:rsidRPr="00B9323B">
        <w:t>Unit Descriptor</w:t>
      </w:r>
    </w:p>
    <w:tbl>
      <w:tblPr>
        <w:tblW w:w="0" w:type="auto"/>
        <w:tblLayout w:type="fixed"/>
        <w:tblCellMar>
          <w:left w:w="62" w:type="dxa"/>
          <w:right w:w="62" w:type="dxa"/>
        </w:tblCellMar>
        <w:tblLook w:val="0000"/>
      </w:tblPr>
      <w:tblGrid>
        <w:gridCol w:w="2700"/>
        <w:gridCol w:w="5760"/>
      </w:tblGrid>
      <w:tr w:rsidTr="002876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1</w:t>
            </w:r>
            <w:r w:rsidRPr="00B9323B">
              <w:t>)</w:t>
            </w:r>
          </w:p>
          <w:p w:rsidR="00000000" w:rsidP="00B9323B">
            <w:pPr>
              <w:pStyle w:val="BodyText"/>
              <w:rPr>
                <w:lang w:val="en-NZ"/>
              </w:rPr>
            </w:pPr>
            <w:r w:rsidRPr="00B9323B">
              <w:rPr>
                <w:rStyle w:val="SpecialBold"/>
              </w:rPr>
              <w:t>1</w:t>
            </w:r>
            <w:r w:rsidRPr="00B9323B">
              <w:t>.</w:t>
            </w:r>
            <w:r w:rsidRPr="00B9323B">
              <w:rPr>
                <w:rStyle w:val="SpecialBold"/>
              </w:rPr>
              <w:t>1</w:t>
            </w:r>
            <w:r w:rsidRPr="00B9323B">
              <w:t xml:space="preserve">) </w:t>
            </w:r>
            <w:r w:rsidRPr="00B9323B">
              <w:rPr>
                <w:rStyle w:val="SpecialBold"/>
              </w:rPr>
              <w:t>Descriptor</w:t>
            </w:r>
          </w:p>
        </w:tc>
      </w:tr>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This unit covers fault finding and repair of faults in SACD, DVD and DVDA recording and replay apparatus. The unit encompasses safe working practices, interpreting diagrams, applying logical diagnostic methods and knowledge of recording and replay apparatu</w:t>
            </w:r>
            <w:r w:rsidRPr="00B9323B">
              <w:t>s components, rectifying faults, safety and functional testing and completing the necessary service documentation.</w:t>
            </w:r>
          </w:p>
        </w:tc>
      </w:tr>
    </w:tbl>
    <w:p w:rsidR="002876D1" w:rsidP="00B9323B">
      <w:pPr>
        <w:pStyle w:val="BodyText"/>
      </w:pPr>
    </w:p>
    <w:p w:rsidR="002876D1" w:rsidP="00B9323B">
      <w:pPr>
        <w:pStyle w:val="BodyText"/>
      </w:pPr>
    </w:p>
    <w:p w:rsidR="00000000" w:rsidRPr="00B9323B" w:rsidP="00B9323B">
      <w:pPr>
        <w:pStyle w:val="Heading1"/>
      </w:pPr>
      <w:bookmarkStart w:id="3" w:name="O_227081"/>
      <w:bookmarkEnd w:id="3"/>
      <w:r w:rsidRPr="00B9323B">
        <w:t>Application of the Unit</w:t>
      </w:r>
    </w:p>
    <w:tbl>
      <w:tblPr>
        <w:tblW w:w="0" w:type="auto"/>
        <w:tblLayout w:type="fixed"/>
        <w:tblCellMar>
          <w:left w:w="62" w:type="dxa"/>
          <w:right w:w="62" w:type="dxa"/>
        </w:tblCellMar>
        <w:tblLook w:val="0000"/>
      </w:tblPr>
      <w:tblGrid>
        <w:gridCol w:w="2700"/>
        <w:gridCol w:w="5760"/>
      </w:tblGrid>
      <w:tr w:rsidTr="002876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4</w:t>
            </w:r>
            <w:r w:rsidRPr="00B9323B">
              <w:t>)</w:t>
            </w:r>
          </w:p>
        </w:tc>
      </w:tr>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This unit is intended as an additional competency to relevant compet</w:t>
            </w:r>
            <w:r w:rsidRPr="00B9323B">
              <w:t>encies previously acquired. It is suitable for employment-based programs under an approved contract of training at the aligned AQF 4 level or higher.</w:t>
            </w:r>
          </w:p>
        </w:tc>
      </w:tr>
    </w:tbl>
    <w:p w:rsidR="002876D1" w:rsidP="00B9323B">
      <w:pPr>
        <w:pStyle w:val="BodyText"/>
      </w:pPr>
    </w:p>
    <w:p w:rsidR="002876D1" w:rsidP="00B9323B">
      <w:pPr>
        <w:pStyle w:val="BodyText"/>
      </w:pPr>
    </w:p>
    <w:p w:rsidR="00000000" w:rsidRPr="00B9323B" w:rsidP="00B9323B">
      <w:pPr>
        <w:pStyle w:val="Heading1"/>
      </w:pPr>
      <w:bookmarkStart w:id="4" w:name="O_227077"/>
      <w:bookmarkEnd w:id="4"/>
      <w:r w:rsidRPr="00B9323B">
        <w:t>Licensing/Regulatory Information</w:t>
      </w:r>
    </w:p>
    <w:tbl>
      <w:tblPr>
        <w:tblW w:w="0" w:type="auto"/>
        <w:tblLayout w:type="fixed"/>
        <w:tblCellMar>
          <w:left w:w="62" w:type="dxa"/>
          <w:right w:w="62" w:type="dxa"/>
        </w:tblCellMar>
        <w:tblLook w:val="0000"/>
      </w:tblPr>
      <w:tblGrid>
        <w:gridCol w:w="8460"/>
      </w:tblGrid>
      <w:tr w:rsidTr="002876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1</w:t>
            </w:r>
            <w:r w:rsidRPr="00B9323B">
              <w:t>.</w:t>
            </w:r>
            <w:r w:rsidRPr="00B9323B">
              <w:rPr>
                <w:rStyle w:val="SpecialBold"/>
              </w:rPr>
              <w:t>2</w:t>
            </w:r>
            <w:r w:rsidRPr="00B9323B">
              <w:t xml:space="preserve">) </w:t>
            </w:r>
            <w:r w:rsidRPr="00B9323B">
              <w:rPr>
                <w:rStyle w:val="SpecialBold"/>
              </w:rPr>
              <w:t>License to practice</w:t>
            </w:r>
          </w:p>
        </w:tc>
      </w:tr>
      <w:tr w:rsidTr="002876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The skills and knowledge described in this unit do not require a license to practice in the workplace provided equipment is not connected to installation wiring at voltage above 50 V a.c. or 120 V d.c. However other conditions may apply in some States/Terr</w:t>
            </w:r>
            <w:r w:rsidRPr="00B9323B">
              <w:t xml:space="preserve">itories subject to regulations related to electrical work. </w:t>
            </w:r>
          </w:p>
          <w:p w:rsidR="00000000" w:rsidRPr="00B9323B" w:rsidP="00B9323B">
            <w:pPr>
              <w:pStyle w:val="BodyText"/>
            </w:pPr>
            <w:r w:rsidRPr="00B9323B">
              <w:t>Practice in the workplace and during training is also subject to regulations directly related to occupational health and safety and where applicable contracts of training such as apprenticeships.</w:t>
            </w:r>
          </w:p>
          <w:p w:rsidR="00000000" w:rsidRPr="00B9323B" w:rsidP="00B9323B">
            <w:pPr>
              <w:pStyle w:val="BodyText"/>
            </w:pPr>
            <w:r w:rsidRPr="00B9323B">
              <w:br/>
              <w:t>Note:</w:t>
            </w:r>
            <w:r w:rsidRPr="00B9323B">
              <w:br/>
              <w:t>1. Compliance with permits may be required in various jurisdictions and typically relates to the operation of plant, machinery and equipment such as elevating work platforms, powder operated fixing tools, power operated tools, vehicles, road signage</w:t>
            </w:r>
            <w:r w:rsidRPr="00B9323B">
              <w:t xml:space="preserve"> and traffic control, lifting equipment and the like. Permits may also be required for some work environments such as confined spaces, working aloft, near live electrical apparatus and site rehabilitation.</w:t>
            </w:r>
            <w:r w:rsidRPr="00B9323B">
              <w:br/>
              <w:t>2. Compliance may be required in various jurisdict</w:t>
            </w:r>
            <w:r w:rsidRPr="00B9323B">
              <w:t>ions relating to currency in First Aid, confined space, lifting and risk safety measures</w:t>
            </w:r>
          </w:p>
        </w:tc>
      </w:tr>
    </w:tbl>
    <w:p w:rsidR="002876D1" w:rsidP="00B9323B">
      <w:pPr>
        <w:pStyle w:val="BodyText"/>
      </w:pPr>
    </w:p>
    <w:p w:rsidR="002876D1" w:rsidP="00B9323B">
      <w:pPr>
        <w:pStyle w:val="BodyText"/>
      </w:pPr>
    </w:p>
    <w:p w:rsidR="00000000" w:rsidRPr="00B9323B" w:rsidP="00B9323B">
      <w:pPr>
        <w:pStyle w:val="Heading1"/>
      </w:pPr>
      <w:bookmarkStart w:id="5" w:name="O_227078"/>
      <w:bookmarkEnd w:id="5"/>
      <w:r w:rsidRPr="00B9323B">
        <w:t>Pre-Requisites</w:t>
      </w:r>
    </w:p>
    <w:tbl>
      <w:tblPr>
        <w:tblW w:w="0" w:type="auto"/>
        <w:tblLayout w:type="fixed"/>
        <w:tblCellMar>
          <w:left w:w="62" w:type="dxa"/>
          <w:right w:w="62" w:type="dxa"/>
        </w:tblCellMar>
        <w:tblLook w:val="0000"/>
      </w:tblPr>
      <w:tblGrid>
        <w:gridCol w:w="2700"/>
        <w:gridCol w:w="5760"/>
      </w:tblGrid>
      <w:tr w:rsidTr="002876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Prerequisite Unit</w:t>
            </w:r>
            <w:r w:rsidRPr="00B9323B">
              <w:t>(</w:t>
            </w:r>
            <w:r w:rsidRPr="00B9323B">
              <w:rPr>
                <w:rStyle w:val="SpecialBold"/>
              </w:rPr>
              <w:t>s</w:t>
            </w:r>
            <w:r w:rsidRPr="00B9323B">
              <w:t>)</w:t>
            </w:r>
          </w:p>
        </w:tc>
        <w:tc>
          <w:tcPr>
            <w:tcW w:w="57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2</w:t>
            </w:r>
            <w:r w:rsidRPr="00B9323B">
              <w:t>)</w:t>
            </w:r>
          </w:p>
        </w:tc>
      </w:tr>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323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2</w:t>
            </w:r>
            <w:r w:rsidRPr="00B9323B">
              <w:t>.</w:t>
            </w:r>
            <w:r w:rsidRPr="00B9323B">
              <w:rPr>
                <w:rStyle w:val="SpecialBold"/>
              </w:rPr>
              <w:t>1</w:t>
            </w:r>
            <w:r w:rsidRPr="00B9323B">
              <w:t xml:space="preserve">) </w:t>
            </w:r>
            <w:r w:rsidRPr="00B9323B">
              <w:rPr>
                <w:rStyle w:val="SpecialBold"/>
              </w:rPr>
              <w:t>Competencies</w:t>
            </w:r>
          </w:p>
        </w:tc>
      </w:tr>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Granting competency in this unit shall be made only after competency in the following unit(s) has/have been confirmed.</w:t>
            </w:r>
          </w:p>
          <w:p w:rsidR="00000000" w:rsidRPr="00B9323B" w:rsidP="00B9323B">
            <w:pPr>
              <w:pStyle w:val="BodyText"/>
            </w:pPr>
            <w:r w:rsidRPr="00B9323B">
              <w:t>UEENEEH074B Find and repair faults in audio/video recording equipment</w:t>
            </w:r>
          </w:p>
          <w:p w:rsidR="00000000" w:rsidRPr="00B9323B" w:rsidP="00B9323B">
            <w:pPr>
              <w:pStyle w:val="BodyText"/>
            </w:pPr>
            <w:r w:rsidRPr="00B9323B">
              <w:t xml:space="preserve">For the full prerequisite chain details for this unit please refer </w:t>
            </w:r>
            <w:r w:rsidRPr="00B9323B">
              <w:t>to Table 2 in Volume 1, Part 2</w:t>
            </w:r>
          </w:p>
        </w:tc>
      </w:tr>
    </w:tbl>
    <w:p w:rsidR="002876D1" w:rsidP="00B9323B">
      <w:pPr>
        <w:pStyle w:val="BodyText"/>
      </w:pPr>
    </w:p>
    <w:p w:rsidR="002876D1" w:rsidP="00B9323B">
      <w:pPr>
        <w:pStyle w:val="BodyText"/>
      </w:pPr>
    </w:p>
    <w:p w:rsidR="00000000" w:rsidRPr="00B9323B" w:rsidP="00B9323B">
      <w:pPr>
        <w:pStyle w:val="Heading1"/>
      </w:pPr>
      <w:bookmarkStart w:id="6" w:name="O_227080"/>
      <w:bookmarkEnd w:id="6"/>
      <w:r w:rsidRPr="00B9323B">
        <w:t>Employability Skills Information</w:t>
      </w:r>
    </w:p>
    <w:tbl>
      <w:tblPr>
        <w:tblW w:w="0" w:type="auto"/>
        <w:tblLayout w:type="fixed"/>
        <w:tblCellMar>
          <w:left w:w="62" w:type="dxa"/>
          <w:right w:w="62" w:type="dxa"/>
        </w:tblCellMar>
        <w:tblLook w:val="0000"/>
      </w:tblPr>
      <w:tblGrid>
        <w:gridCol w:w="2700"/>
        <w:gridCol w:w="5760"/>
      </w:tblGrid>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3</w:t>
            </w:r>
            <w:r w:rsidRPr="00B9323B">
              <w:t>)</w:t>
            </w:r>
          </w:p>
          <w:p w:rsidR="00000000" w:rsidRPr="00B9323B" w:rsidP="00B9323B">
            <w:pPr>
              <w:pStyle w:val="BodyText"/>
            </w:pPr>
            <w:r w:rsidRPr="00B9323B">
              <w:t>This unit contains Employability Skills</w:t>
            </w:r>
          </w:p>
          <w:p w:rsidR="00000000" w:rsidRPr="00B9323B" w:rsidP="00B9323B">
            <w:pPr>
              <w:pStyle w:val="BodyText"/>
            </w:pPr>
            <w:r w:rsidRPr="00B9323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9323B">
              <w:t>requirements.</w:t>
            </w:r>
          </w:p>
        </w:tc>
      </w:tr>
    </w:tbl>
    <w:p w:rsidR="002876D1" w:rsidP="00B9323B">
      <w:pPr>
        <w:pStyle w:val="BodyText"/>
      </w:pPr>
    </w:p>
    <w:p w:rsidR="002876D1" w:rsidP="00B9323B">
      <w:pPr>
        <w:pStyle w:val="BodyText"/>
      </w:pPr>
    </w:p>
    <w:p w:rsidR="00000000" w:rsidRPr="00B9323B" w:rsidP="00B9323B">
      <w:pPr>
        <w:pStyle w:val="Heading1"/>
      </w:pPr>
      <w:bookmarkStart w:id="7" w:name="O_292806"/>
      <w:bookmarkEnd w:id="7"/>
      <w:r w:rsidRPr="00B9323B">
        <w:t>Elements and Performance Criteria Pre-Content</w:t>
      </w:r>
    </w:p>
    <w:tbl>
      <w:tblPr>
        <w:tblW w:w="0" w:type="auto"/>
        <w:tblLayout w:type="fixed"/>
        <w:tblCellMar>
          <w:left w:w="62" w:type="dxa"/>
          <w:right w:w="62" w:type="dxa"/>
        </w:tblCellMar>
        <w:tblLook w:val="0000"/>
      </w:tblPr>
      <w:tblGrid>
        <w:gridCol w:w="2700"/>
        <w:gridCol w:w="5760"/>
      </w:tblGrid>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6</w:t>
            </w:r>
            <w:r w:rsidRPr="00B9323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Performance criteria describe the required performance needed to demonstrate achievement of the Element. Ass</w:t>
            </w:r>
            <w:r w:rsidRPr="00B9323B">
              <w:t>essment of performance is to be consistent with the evidence guide.</w:t>
            </w:r>
          </w:p>
        </w:tc>
      </w:tr>
    </w:tbl>
    <w:p w:rsidR="00000000" w:rsidRPr="00B9323B" w:rsidP="00B9323B">
      <w:pPr>
        <w:pStyle w:val="BodyText"/>
      </w:pPr>
    </w:p>
    <w:p w:rsidR="00000000" w:rsidRPr="00B9323B" w:rsidP="00B9323B">
      <w:pPr>
        <w:pStyle w:val="AllowPageBreak"/>
      </w:pPr>
    </w:p>
    <w:p w:rsidR="00000000" w:rsidRPr="00B9323B" w:rsidP="00B9323B">
      <w:pPr>
        <w:pStyle w:val="Heading1"/>
      </w:pPr>
      <w:bookmarkStart w:id="8" w:name="O_239474"/>
      <w:bookmarkEnd w:id="8"/>
      <w:r w:rsidRPr="00B9323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876D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PERFORMANCE CRITERIA</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1</w:t>
            </w:r>
          </w:p>
        </w:tc>
        <w:tc>
          <w:tcPr>
            <w:tcW w:w="2296" w:type="dxa"/>
            <w:vMerge w:val="restart"/>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1.1</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OHS procedures for a given work area are obtained and understood.</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1.2</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Established OHS risk control measures and procedures are followed in preparation for the work.</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1.3</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Safety hazards, which have not previously been identified, are documented and risk control measures devised and implemented in consultation with appropriate personnel.</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1.4</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 xml:space="preserve">The extent of faults is determined from reports and other documentation and from </w:t>
            </w:r>
            <w:r w:rsidRPr="00B9323B">
              <w:t>discussion with appropriate personnel.</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1.5</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Appropriate personnel are consulted to ensure the work is co-ordinated effectively with others involved on the work site.</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1.6</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Tools, equipment and testing devices needed to diagnose faults are obtained in accordance with established procedures and checked for correct operation and safety.</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w:t>
            </w:r>
          </w:p>
        </w:tc>
        <w:tc>
          <w:tcPr>
            <w:tcW w:w="2296" w:type="dxa"/>
            <w:vMerge w:val="restart"/>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Diagnose and rectify faults.</w:t>
            </w: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2.1</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OHS risk control measures and procedures for carrying ou</w:t>
            </w:r>
            <w:r w:rsidRPr="00B9323B">
              <w:t>t the work are followed.</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2.2</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The need to test or measure live is determined in strict accordance with OHS requirements and when necessary conducted within established safety procedures.</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2.3</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 xml:space="preserve">Circuits/machines/plant are </w:t>
            </w:r>
            <w:r w:rsidRPr="00B9323B">
              <w:t>checked as being isolated where necessary in strict accordance OHS requirements and procedures.</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2.4</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Logical diagnostic methods are applied to diagnose recording and replay apparatus faults employing measurements of circuit operating parameters reference</w:t>
            </w:r>
            <w:r w:rsidRPr="00B9323B">
              <w:t>d to recording and replay apparatus operating specifications.</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2.5</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Suspected fault scenarios are tested as being the source of recording and replay apparatus problems.</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2.6</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Faults in the electronic components of the recording and replay apparatus are rectified to raise recording and replay apparatus to its operation standard.</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2.7</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Apparatus are tested to verify that the they operates as intended and to specified requirement</w:t>
            </w:r>
            <w:r w:rsidRPr="00B9323B">
              <w:t>s.</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2.8</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Decisions for dealing with unexpected situations are made from discussions with appropriate persons and consistent with job specifications and requirements.</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2.9</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Diagnosis and rectification activities are carried out efficiently without waste o</w:t>
            </w:r>
            <w:r w:rsidRPr="00B9323B">
              <w:t>f materials or damage to apparatus and the surrounding environment or services and using sustainable energy practices.</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3</w:t>
            </w:r>
          </w:p>
        </w:tc>
        <w:tc>
          <w:tcPr>
            <w:tcW w:w="2296"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3.1</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OHS work completion risk control measures and procedures are followed.</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3.2</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Work site is made safe in accordance with established safety procedures.</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3.3</w:t>
            </w:r>
          </w:p>
        </w:tc>
        <w:tc>
          <w:tcPr>
            <w:tcW w:w="48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Rectification of faults is documented in accordance with established procedures.</w:t>
            </w:r>
          </w:p>
        </w:tc>
      </w:tr>
      <w:tr w:rsidTr="002876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3.4</w:t>
            </w:r>
          </w:p>
        </w:tc>
        <w:tc>
          <w:tcPr>
            <w:tcW w:w="48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Appropriate person or persons notified, in accordance with established procedures, that recording and replay apparatus faults have been rectified.</w:t>
            </w:r>
          </w:p>
        </w:tc>
      </w:tr>
    </w:tbl>
    <w:p w:rsidR="002876D1" w:rsidP="00B9323B">
      <w:pPr>
        <w:pStyle w:val="BodyText"/>
      </w:pPr>
    </w:p>
    <w:p w:rsidR="002876D1" w:rsidP="00B9323B">
      <w:pPr>
        <w:pStyle w:val="BodyText"/>
      </w:pPr>
    </w:p>
    <w:p w:rsidR="00000000" w:rsidRPr="00B9323B" w:rsidP="00B9323B">
      <w:pPr>
        <w:pStyle w:val="Heading1"/>
      </w:pPr>
      <w:bookmarkStart w:id="9" w:name="O_263265"/>
      <w:bookmarkEnd w:id="9"/>
      <w:r w:rsidRPr="00B9323B">
        <w:t>Required Skills and Knowledge</w:t>
      </w:r>
    </w:p>
    <w:tbl>
      <w:tblPr>
        <w:tblW w:w="0" w:type="auto"/>
        <w:tblLayout w:type="fixed"/>
        <w:tblCellMar>
          <w:left w:w="62" w:type="dxa"/>
          <w:right w:w="62" w:type="dxa"/>
        </w:tblCellMar>
        <w:tblLook w:val="0000"/>
      </w:tblPr>
      <w:tblGrid>
        <w:gridCol w:w="2700"/>
        <w:gridCol w:w="1080"/>
        <w:gridCol w:w="4680"/>
      </w:tblGrid>
      <w:tr w:rsidTr="002876D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REQUIRED SKILLS AND KNOWLEDGE</w:t>
            </w:r>
          </w:p>
        </w:tc>
      </w:tr>
      <w:tr w:rsidTr="002876D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7</w:t>
            </w:r>
            <w:r w:rsidRPr="00B9323B">
              <w:t>) This describes the esse</w:t>
            </w:r>
            <w:r w:rsidRPr="00B9323B">
              <w:t>ntial skills and knowledge and their level, required for this unit.</w:t>
            </w:r>
          </w:p>
        </w:tc>
      </w:tr>
      <w:tr w:rsidTr="002876D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 xml:space="preserve">Evidence shall show that knowledge has been acquired of safe working practices and diagnosing and rectifying faults in recording and replay apparatus. </w:t>
            </w:r>
          </w:p>
          <w:p w:rsidR="00000000" w:rsidRPr="00B9323B" w:rsidP="00B9323B">
            <w:pPr>
              <w:pStyle w:val="BodyText"/>
            </w:pPr>
            <w:r w:rsidRPr="00B9323B">
              <w:t>All knowledge and skills detailed in this unit should be contextualised to current industry practices and technologies.</w:t>
            </w:r>
          </w:p>
          <w:p w:rsidR="00000000" w:rsidP="00B9323B">
            <w:pPr>
              <w:pStyle w:val="BodyText"/>
              <w:rPr>
                <w:lang w:val="en-NZ"/>
              </w:rPr>
            </w:pPr>
            <w:r w:rsidRPr="00B9323B">
              <w:t xml:space="preserve">The extent of the essential knowledge and associated skills (EKAS) required is given in Volume 2 - Part 2.2 EKAS.  It forms an integral </w:t>
            </w:r>
            <w:r w:rsidRPr="00B9323B">
              <w:t>part of this unit.</w:t>
            </w:r>
          </w:p>
        </w:tc>
      </w:tr>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2.9.45.2</w:t>
            </w:r>
          </w:p>
        </w:tc>
        <w:tc>
          <w:tcPr>
            <w:tcW w:w="468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Recording and replay apparatus diagnostics</w:t>
            </w:r>
          </w:p>
        </w:tc>
      </w:tr>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2.11.7.2</w:t>
            </w:r>
          </w:p>
        </w:tc>
        <w:tc>
          <w:tcPr>
            <w:tcW w:w="468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Advanced electronic testing and measuring devices and techniques</w:t>
            </w:r>
          </w:p>
        </w:tc>
      </w:tr>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2.18.8.2</w:t>
            </w:r>
          </w:p>
        </w:tc>
        <w:tc>
          <w:tcPr>
            <w:tcW w:w="468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Occupational Health and Safety, enterprise responsibilities</w:t>
            </w:r>
          </w:p>
        </w:tc>
      </w:tr>
    </w:tbl>
    <w:p w:rsidR="002876D1" w:rsidP="00B9323B">
      <w:pPr>
        <w:pStyle w:val="BodyText"/>
      </w:pPr>
    </w:p>
    <w:p w:rsidR="002876D1" w:rsidP="00B9323B">
      <w:pPr>
        <w:pStyle w:val="BodyText"/>
      </w:pPr>
    </w:p>
    <w:p w:rsidR="00000000" w:rsidRPr="00B9323B" w:rsidP="00B9323B">
      <w:pPr>
        <w:pStyle w:val="Heading1"/>
      </w:pPr>
      <w:bookmarkStart w:id="10" w:name="O_247458"/>
      <w:bookmarkEnd w:id="10"/>
      <w:r w:rsidRPr="00B9323B">
        <w:t>Evidence Guide</w:t>
      </w:r>
    </w:p>
    <w:tbl>
      <w:tblPr>
        <w:tblW w:w="0" w:type="auto"/>
        <w:tblLayout w:type="fixed"/>
        <w:tblCellMar>
          <w:left w:w="62" w:type="dxa"/>
          <w:right w:w="62" w:type="dxa"/>
        </w:tblCellMar>
        <w:tblLook w:val="0000"/>
      </w:tblPr>
      <w:tblGrid>
        <w:gridCol w:w="2160"/>
        <w:gridCol w:w="720"/>
        <w:gridCol w:w="540"/>
        <w:gridCol w:w="5040"/>
      </w:tblGrid>
      <w:tr w:rsidTr="002876D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EVIDENCE GUIDE</w:t>
            </w:r>
          </w:p>
        </w:tc>
      </w:tr>
      <w:tr w:rsidTr="002876D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9</w:t>
            </w:r>
            <w:r w:rsidRPr="00B9323B">
              <w:t>) The evidence guide provides advice on assessment and must be read in conjunction with the Performance Criteria, Required Skills and Knowledge, the Range Statement and the Assessment Guidelines for this Training Package. .</w:t>
            </w:r>
          </w:p>
          <w:p w:rsidR="00000000" w:rsidP="00B9323B">
            <w:pPr>
              <w:pStyle w:val="BodyText"/>
              <w:rPr>
                <w:lang w:val="en-NZ"/>
              </w:rPr>
            </w:pPr>
            <w:r w:rsidRPr="00B9323B">
              <w:t>The Evidence Guide forms an integral part of this unit. It must be used in conjunction with all parts of the unit and performed in accordance with the Assessment Guidelines of this Training Package.</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9</w:t>
            </w:r>
            <w:r w:rsidRPr="00B9323B">
              <w:t>.</w:t>
            </w:r>
            <w:r w:rsidRPr="00B9323B">
              <w:rPr>
                <w:rStyle w:val="SpecialBold"/>
              </w:rPr>
              <w:t>1</w:t>
            </w:r>
            <w:r w:rsidRPr="00B9323B">
              <w:t xml:space="preserve">) </w:t>
            </w:r>
          </w:p>
          <w:p w:rsidR="00000000" w:rsidRPr="00B9323B" w:rsidP="00B9323B">
            <w:pPr>
              <w:pStyle w:val="BodyText"/>
            </w:pPr>
            <w:r w:rsidRPr="00B9323B">
              <w:t xml:space="preserve">Longitudinal competency </w:t>
            </w:r>
            <w:r w:rsidRPr="00B9323B">
              <w:t>development approaches to assessment, such as Profiling, require data to be reliably gathered in a form that can be consistently interpreted over time. This approach is best utilised in Apprenticeship programs and reduces assessment intervention. It is the</w:t>
            </w:r>
            <w:r w:rsidRPr="00B9323B">
              <w:t xml:space="preserve"> Industry-preferred model for apprenticeships. However, where summative (or final) assessment is used it must include the application of the competency in the normal work environment or, at a minimum, the application of the competency in a realistically si</w:t>
            </w:r>
            <w:r w:rsidRPr="00B9323B">
              <w:t>mulated work environment. It is recognised that, in some circumstances, assessment in part or full can occur outside the workplace. However, it must be in accord with industry and regulatory policy.</w:t>
            </w:r>
          </w:p>
          <w:p w:rsidR="00000000" w:rsidRPr="00B9323B" w:rsidP="00B9323B">
            <w:pPr>
              <w:pStyle w:val="BodyText"/>
            </w:pPr>
            <w:r w:rsidRPr="00B9323B">
              <w:t>Methods chosen for a particular assessment will be influe</w:t>
            </w:r>
            <w:r w:rsidRPr="00B9323B">
              <w:t>nced by various factors. These include the extent of the assessment, the most effective locations for the assessment activities to take place, access to physical resources, additional safety measures that may be required and the critical nature of the comp</w:t>
            </w:r>
            <w:r w:rsidRPr="00B9323B">
              <w:t>etencies being assessed.</w:t>
            </w:r>
          </w:p>
          <w:p w:rsidR="00000000" w:rsidRPr="00B9323B" w:rsidP="00B9323B">
            <w:pPr>
              <w:pStyle w:val="BodyText"/>
            </w:pPr>
            <w:r w:rsidRPr="00B9323B">
              <w:t>The critical safety nature of working with electricity, electrical equipment, gas or any other hazardous substance/material carries risk in deeming a person competent. Sources of evidence need to be 'rich' in nature to minimise err</w:t>
            </w:r>
            <w:r w:rsidRPr="00B9323B">
              <w:t>or in judgment.</w:t>
            </w:r>
          </w:p>
          <w:p w:rsidR="00000000" w:rsidP="00B9323B">
            <w:pPr>
              <w:pStyle w:val="BodyText"/>
              <w:rPr>
                <w:lang w:val="en-NZ"/>
              </w:rPr>
            </w:pPr>
            <w:r w:rsidRPr="00B9323B">
              <w:t>Activities associated with normal everyday work influence decisions about how/how much the data gathered will contribute to its 'richness'. Some skills are more critical to safety and operational requirements while the same skills may be mo</w:t>
            </w:r>
            <w:r w:rsidRPr="00B9323B">
              <w:t>re or less frequently practised. These points are raised for the assessors to consider when choosing an assessment method and developing assessment instruments. Sample assessment instruments are included for Assessors in the Assessment Guidelines of this T</w:t>
            </w:r>
            <w:r w:rsidRPr="00B9323B">
              <w:t>raining Package.</w:t>
            </w:r>
          </w:p>
        </w:tc>
      </w:tr>
      <w:tr w:rsidTr="002876D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9</w:t>
            </w:r>
            <w:r w:rsidRPr="00B9323B">
              <w:t>.</w:t>
            </w:r>
            <w:r w:rsidRPr="00B9323B">
              <w:rPr>
                <w:rStyle w:val="SpecialBold"/>
              </w:rPr>
              <w:t>2</w:t>
            </w:r>
            <w:r w:rsidRPr="00B9323B">
              <w:t xml:space="preserve">) </w:t>
            </w:r>
          </w:p>
          <w:p w:rsidR="00000000" w:rsidP="00B9323B">
            <w:pPr>
              <w:pStyle w:val="BodyText"/>
              <w:rPr>
                <w:lang w:val="en-NZ"/>
              </w:rPr>
            </w:pPr>
            <w:r w:rsidRPr="00B9323B">
              <w:t>Before the critical aspects of evidence are considered all prerequisites shall be met.</w:t>
            </w:r>
          </w:p>
        </w:tc>
      </w:tr>
      <w:tr w:rsidTr="002876D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9323B">
            <w:pPr>
              <w:pStyle w:val="ListBullet"/>
              <w:rPr>
                <w:lang w:val="en-NZ"/>
              </w:rPr>
            </w:pPr>
            <w:r w:rsidRPr="00B9323B">
              <w:t>A representative body of work performance demonstrated within the timeframes typically expected of the discipline, work function and industrial environment. In particular this shall incorporate evidence that shows a candidate is able to:</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323B" w:rsidP="00B9323B">
            <w:pPr>
              <w:pStyle w:val="ListBullet2"/>
            </w:pPr>
            <w:r w:rsidRPr="00B9323B">
              <w:t>Implement Occ</w:t>
            </w:r>
            <w:r w:rsidRPr="00B9323B">
              <w:t>upational Health and Safety workplace procedures and practices, including the use of risk control measures as specified in the performance criteria and range statement</w:t>
            </w:r>
          </w:p>
          <w:p w:rsidR="00000000" w:rsidRPr="00B9323B" w:rsidP="00B9323B">
            <w:pPr>
              <w:pStyle w:val="ListBullet2"/>
            </w:pPr>
            <w:r w:rsidRPr="00B9323B">
              <w:t>Apply sustainable ener</w:t>
            </w:r>
            <w:r w:rsidRPr="00B9323B">
              <w:t>gy principles and practices as specified in the performance criteria and range statement</w:t>
            </w:r>
          </w:p>
          <w:p w:rsidR="00000000" w:rsidRPr="00B9323B" w:rsidP="00B9323B">
            <w:pPr>
              <w:pStyle w:val="ListBullet2"/>
            </w:pPr>
            <w:r w:rsidRPr="00B9323B">
              <w:t xml:space="preserve">Demonstrate an understanding of the essential knowledge and associated skills as described in this unit.  It may be required by some jurisdictions that RTOs provide a </w:t>
            </w:r>
            <w:r w:rsidRPr="00B9323B">
              <w:t>percentile graded result for the purpose of regulatory or licensing requirements.</w:t>
            </w:r>
          </w:p>
          <w:p w:rsidR="00000000" w:rsidRPr="00B9323B" w:rsidP="00B9323B">
            <w:pPr>
              <w:pStyle w:val="ListBullet2"/>
            </w:pPr>
            <w:r w:rsidRPr="00B9323B">
              <w:t>Demonstrate an appropriate level of skills enabling employment</w:t>
            </w:r>
          </w:p>
          <w:p w:rsidR="00000000" w:rsidP="00B9323B">
            <w:pPr>
              <w:pStyle w:val="ListBullet2"/>
              <w:rPr>
                <w:lang w:val="en-NZ"/>
              </w:rPr>
            </w:pPr>
            <w:r w:rsidRPr="00B9323B">
              <w:t>Conduct work observing the relevant Anti Discrimination legislation, regulations, polices&amp;workplace procedures</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323B">
            <w:pPr>
              <w:pStyle w:val="ListBullet"/>
              <w:rPr>
                <w:lang w:val="en-NZ"/>
              </w:rPr>
            </w:pPr>
            <w:r w:rsidRPr="00B9323B">
              <w:t>Demonstrated consistent performance across a representative range of contexts from the prescribed items below:</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323B">
            <w:pPr>
              <w:pStyle w:val="ListBullet2"/>
              <w:rPr>
                <w:lang w:val="en-NZ"/>
              </w:rPr>
            </w:pPr>
            <w:r w:rsidRPr="00B9323B">
              <w:t>Diagnose and rectify faults in recording and replay apparatus as described in 8) and including:</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A</w:t>
            </w:r>
          </w:p>
        </w:tc>
        <w:tc>
          <w:tcPr>
            <w:tcW w:w="50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Applying logical diagnostic methods.</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B</w:t>
            </w:r>
          </w:p>
        </w:tc>
        <w:tc>
          <w:tcPr>
            <w:tcW w:w="50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Using fault scenarios to test the source of apparatus faults.</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C</w:t>
            </w:r>
          </w:p>
        </w:tc>
        <w:tc>
          <w:tcPr>
            <w:tcW w:w="50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Identifying the cause faults using logical diagnostic methods.</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D</w:t>
            </w:r>
          </w:p>
        </w:tc>
        <w:tc>
          <w:tcPr>
            <w:tcW w:w="50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Rectifying faults effectively.</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E</w:t>
            </w:r>
          </w:p>
        </w:tc>
        <w:tc>
          <w:tcPr>
            <w:tcW w:w="50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Verifying that the recording and replay app</w:t>
            </w:r>
            <w:r w:rsidRPr="00B9323B">
              <w:t>aratus operates correctly.</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F</w:t>
            </w:r>
          </w:p>
        </w:tc>
        <w:tc>
          <w:tcPr>
            <w:tcW w:w="50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Documenting fault rectification.</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G</w:t>
            </w:r>
          </w:p>
        </w:tc>
        <w:tc>
          <w:tcPr>
            <w:tcW w:w="504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Dealing with unplanned events by drawing on essential knowledge and skills to provide appropriate solutions incorporated in a holistic assessment with the above listed items.</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Note:</w:t>
            </w:r>
            <w:r w:rsidRPr="00B9323B">
              <w:br/>
            </w:r>
            <w:r w:rsidRPr="00B9323B">
              <w:t>Successful completion of relevant vendor training may be used to contribute to evidence on which competency is deemed. In these cases the alignment of outcomes of vendor training with performance criteria and critical aspects of evidence shall be clearly i</w:t>
            </w:r>
            <w:r w:rsidRPr="00B9323B">
              <w:t>dentified.</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9</w:t>
            </w:r>
            <w:r w:rsidRPr="00B9323B">
              <w:t>.</w:t>
            </w:r>
            <w:r w:rsidRPr="00B9323B">
              <w:rPr>
                <w:rStyle w:val="SpecialBold"/>
              </w:rPr>
              <w:t>3</w:t>
            </w:r>
            <w:r w:rsidRPr="00B9323B">
              <w:t xml:space="preserve">) </w:t>
            </w:r>
          </w:p>
          <w:p w:rsidR="00000000" w:rsidRPr="00B9323B" w:rsidP="00B9323B">
            <w:pPr>
              <w:pStyle w:val="BodyText"/>
            </w:pPr>
            <w:r w:rsidRPr="00B9323B">
              <w:t>This unit should be assessed as it relates to normal work practice using procedures, information and resources typical of a workplace. This should include:</w:t>
            </w:r>
          </w:p>
          <w:p w:rsidR="00000000" w:rsidRPr="00B9323B" w:rsidP="00B9323B">
            <w:pPr>
              <w:pStyle w:val="ListBullet"/>
            </w:pPr>
            <w:r w:rsidRPr="00B9323B">
              <w:t>OHS policy and work procedures and instructions.</w:t>
            </w:r>
          </w:p>
          <w:p w:rsidR="00000000" w:rsidRPr="00B9323B" w:rsidP="00B9323B">
            <w:pPr>
              <w:pStyle w:val="ListBullet"/>
            </w:pPr>
            <w:r w:rsidRPr="00B9323B">
              <w:t>Suitable work environment, facilities, equipment and materials to undertake actual work as prescribed by this unit.</w:t>
            </w:r>
          </w:p>
          <w:p w:rsidR="00000000" w:rsidRPr="00B9323B" w:rsidP="00B9323B">
            <w:pPr>
              <w:pStyle w:val="BodyText"/>
            </w:pPr>
            <w:r w:rsidRPr="00B9323B">
              <w:t>These should be part of the formal learning/assessment environment.</w:t>
            </w:r>
          </w:p>
          <w:p w:rsidR="00000000" w:rsidRPr="00B9323B" w:rsidP="00B9323B">
            <w:pPr>
              <w:pStyle w:val="BodyText"/>
            </w:pPr>
            <w:r w:rsidRPr="00B9323B">
              <w:t>Note:</w:t>
            </w:r>
          </w:p>
          <w:p w:rsidR="00000000" w:rsidP="00B9323B">
            <w:pPr>
              <w:pStyle w:val="BodyText"/>
              <w:rPr>
                <w:lang w:val="en-NZ"/>
              </w:rPr>
            </w:pPr>
            <w:r w:rsidRPr="00B9323B">
              <w:t xml:space="preserve">Where simulation </w:t>
            </w:r>
            <w:r w:rsidRPr="00B9323B">
              <w:t>is considered a suitable strategy for assessment, conditions must be authentic and as far as possible reproduce and replicate the workplace and be consistent with the approved industry simulation policy.</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The resources used for assessment should reflect</w:t>
            </w:r>
            <w:r w:rsidRPr="00B9323B">
              <w:t xml:space="preserve"> current industry practices in relation to diagnosing and rectifying faults in recording and replay apparatus.</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9</w:t>
            </w:r>
            <w:r w:rsidRPr="00B9323B">
              <w:t>.</w:t>
            </w:r>
            <w:r w:rsidRPr="00B9323B">
              <w:rPr>
                <w:rStyle w:val="SpecialBold"/>
              </w:rPr>
              <w:t>4</w:t>
            </w:r>
            <w:r w:rsidRPr="00B9323B">
              <w:t xml:space="preserve">) </w:t>
            </w:r>
          </w:p>
          <w:p w:rsidR="00000000" w:rsidRPr="00B9323B" w:rsidP="00B9323B">
            <w:pPr>
              <w:pStyle w:val="BodyText"/>
            </w:pPr>
            <w:r w:rsidRPr="00B9323B">
              <w:t>This unit shall be assessed by methods given in Volume 1, Part 3 'Assessment Guidelines'.</w:t>
            </w:r>
          </w:p>
          <w:p w:rsidR="00000000" w:rsidP="00B9323B">
            <w:pPr>
              <w:pStyle w:val="BodyText"/>
              <w:rPr>
                <w:lang w:val="en-NZ"/>
              </w:rPr>
            </w:pPr>
            <w:r w:rsidRPr="00B9323B">
              <w:t>Note:</w:t>
            </w:r>
            <w:r w:rsidRPr="00B9323B">
              <w:br/>
              <w:t>Competent performan</w:t>
            </w:r>
            <w:r w:rsidRPr="00B9323B">
              <w:t>ce with inherent safe working practices is expected in the industry to which this unit applies. This requires that the specified essential knowledge and associated skills are assessed in a structured environment which is primarily intended for learning/ass</w:t>
            </w:r>
            <w:r w:rsidRPr="00B9323B">
              <w:t>essment and incorporates all necessary equipment and facilities for learners to develop and demonstrate the essential knowledge and skills described in this unit.</w:t>
            </w:r>
          </w:p>
        </w:tc>
      </w:tr>
      <w:tr w:rsidTr="002876D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9</w:t>
            </w:r>
            <w:r w:rsidRPr="00B9323B">
              <w:t>.</w:t>
            </w:r>
            <w:r w:rsidRPr="00B9323B">
              <w:rPr>
                <w:rStyle w:val="SpecialBold"/>
              </w:rPr>
              <w:t>5</w:t>
            </w:r>
            <w:r w:rsidRPr="00B9323B">
              <w:t>)</w:t>
            </w:r>
          </w:p>
        </w:tc>
      </w:tr>
      <w:tr w:rsidTr="002876D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There are no concurrent assessment recommendations for this unit.</w:t>
            </w:r>
          </w:p>
        </w:tc>
      </w:tr>
      <w:tr w:rsidTr="002876D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 xml:space="preserve">The critical aspects of occupational health and safety covered in unit UEENEEE001B and other discipline specific occupational health and safety </w:t>
            </w:r>
            <w:r w:rsidRPr="00B9323B">
              <w:t>units shall be incorporated in relation to this unit.</w:t>
            </w:r>
          </w:p>
        </w:tc>
      </w:tr>
    </w:tbl>
    <w:p w:rsidR="002876D1" w:rsidP="00B9323B">
      <w:pPr>
        <w:pStyle w:val="BodyText"/>
      </w:pPr>
    </w:p>
    <w:p w:rsidR="002876D1" w:rsidP="00B9323B">
      <w:pPr>
        <w:pStyle w:val="BodyText"/>
      </w:pPr>
    </w:p>
    <w:p w:rsidR="00000000" w:rsidRPr="00B9323B" w:rsidP="00B9323B">
      <w:pPr>
        <w:pStyle w:val="Heading1"/>
      </w:pPr>
      <w:bookmarkStart w:id="11" w:name="O_255441"/>
      <w:bookmarkEnd w:id="11"/>
      <w:r w:rsidRPr="00B9323B">
        <w:t>Range Statement</w:t>
      </w:r>
    </w:p>
    <w:tbl>
      <w:tblPr>
        <w:tblW w:w="0" w:type="auto"/>
        <w:tblLayout w:type="fixed"/>
        <w:tblCellMar>
          <w:left w:w="62" w:type="dxa"/>
          <w:right w:w="62" w:type="dxa"/>
        </w:tblCellMar>
        <w:tblLook w:val="0000"/>
      </w:tblPr>
      <w:tblGrid>
        <w:gridCol w:w="8460"/>
      </w:tblGrid>
      <w:tr w:rsidTr="002876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RANGE STATEMENT</w:t>
            </w:r>
          </w:p>
        </w:tc>
      </w:tr>
      <w:tr w:rsidTr="002876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8</w:t>
            </w:r>
            <w:r w:rsidRPr="00B9323B">
              <w:t xml:space="preserve">) This relates to the unit as a whole providing the range of contexts and conditions to which the </w:t>
            </w:r>
            <w:r w:rsidRPr="00B9323B">
              <w:t>performance criteria apply. It allows for different work environments and situations that will affect performance.</w:t>
            </w:r>
          </w:p>
        </w:tc>
      </w:tr>
      <w:tr w:rsidTr="002876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This unit shall be demonstrated using a representative range of recording and replay apparatus by diagnosing and rectifying at least four ci</w:t>
            </w:r>
            <w:r w:rsidRPr="00B9323B">
              <w:t>rcuit faults in two different types of recording and replay apparatus.</w:t>
            </w:r>
          </w:p>
        </w:tc>
      </w:tr>
      <w:tr w:rsidTr="002876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Generic terms used throughout this Vocational Standard shall be regarded as part of the Range Statement in which competency is demonstrated. The definition of these and other terms tha</w:t>
            </w:r>
            <w:r w:rsidRPr="00B9323B">
              <w:t>t apply are given in Volume 2, Part 2.1.</w:t>
            </w:r>
          </w:p>
        </w:tc>
      </w:tr>
    </w:tbl>
    <w:p w:rsidR="002876D1" w:rsidP="00B9323B">
      <w:pPr>
        <w:pStyle w:val="BodyText"/>
      </w:pPr>
    </w:p>
    <w:p w:rsidR="002876D1" w:rsidP="00B9323B">
      <w:pPr>
        <w:pStyle w:val="BodyText"/>
      </w:pPr>
    </w:p>
    <w:p w:rsidR="00000000" w:rsidRPr="00B9323B" w:rsidP="00B9323B">
      <w:pPr>
        <w:pStyle w:val="Heading1"/>
      </w:pPr>
      <w:bookmarkStart w:id="12" w:name="O_296454"/>
      <w:bookmarkEnd w:id="12"/>
      <w:r w:rsidRPr="00B9323B">
        <w:t>Unit Sector(s)</w:t>
      </w:r>
    </w:p>
    <w:p w:rsidR="00000000" w:rsidRPr="00B9323B" w:rsidP="00B9323B">
      <w:pPr>
        <w:pStyle w:val="BodyText"/>
      </w:pPr>
      <w:r w:rsidRPr="00B9323B">
        <w:t>Not Applicable</w:t>
      </w:r>
    </w:p>
    <w:p w:rsidR="00000000" w:rsidRPr="00B9323B" w:rsidP="00B9323B">
      <w:pPr>
        <w:pStyle w:val="AllowPageBreak"/>
      </w:pPr>
    </w:p>
    <w:p w:rsidR="00000000" w:rsidRPr="00B9323B" w:rsidP="00B9323B">
      <w:pPr>
        <w:pStyle w:val="Heading1"/>
      </w:pPr>
      <w:bookmarkStart w:id="13" w:name="O_227079"/>
      <w:bookmarkEnd w:id="13"/>
      <w:r w:rsidRPr="00B9323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876D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2</w:t>
            </w:r>
            <w:r w:rsidRPr="00B9323B">
              <w:t>.</w:t>
            </w:r>
            <w:r w:rsidRPr="00B9323B">
              <w:rPr>
                <w:rStyle w:val="SpecialBold"/>
              </w:rPr>
              <w:t>2</w:t>
            </w:r>
            <w:r w:rsidRPr="00B9323B">
              <w:t xml:space="preserve">) </w:t>
            </w:r>
            <w:r w:rsidRPr="00B9323B">
              <w:rPr>
                <w:rStyle w:val="SpecialBold"/>
              </w:rPr>
              <w:t>Literacy and numeracy skills</w:t>
            </w:r>
          </w:p>
          <w:p w:rsidR="00000000" w:rsidP="00B9323B">
            <w:pPr>
              <w:pStyle w:val="BodyText"/>
              <w:rPr>
                <w:lang w:val="en-NZ"/>
              </w:rPr>
            </w:pPr>
            <w:r w:rsidRPr="00B9323B">
              <w:t>Participants are best equipped to achieve competency in this unit if they have reading, writing a</w:t>
            </w:r>
            <w:r w:rsidRPr="00B9323B">
              <w:t>nd numeracy skills indicated by the following scales. Description of each scale is given in Volume 2, Part 3 'Literacy and Numeracy'</w:t>
            </w:r>
          </w:p>
        </w:tc>
      </w:tr>
      <w:tr w:rsidTr="002876D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Reading</w:t>
            </w:r>
          </w:p>
        </w:tc>
        <w:tc>
          <w:tcPr>
            <w:tcW w:w="1182"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4</w:t>
            </w:r>
          </w:p>
        </w:tc>
        <w:tc>
          <w:tcPr>
            <w:tcW w:w="1739"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Writing</w:t>
            </w:r>
          </w:p>
        </w:tc>
        <w:tc>
          <w:tcPr>
            <w:tcW w:w="1182"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4</w:t>
            </w:r>
          </w:p>
        </w:tc>
        <w:tc>
          <w:tcPr>
            <w:tcW w:w="1721"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t>Numeracy</w:t>
            </w:r>
          </w:p>
        </w:tc>
        <w:tc>
          <w:tcPr>
            <w:tcW w:w="1182"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4</w:t>
            </w:r>
          </w:p>
        </w:tc>
      </w:tr>
    </w:tbl>
    <w:p w:rsidR="002876D1" w:rsidP="00B9323B">
      <w:pPr>
        <w:pStyle w:val="BodyText"/>
      </w:pPr>
    </w:p>
    <w:p w:rsidR="002876D1" w:rsidP="00B9323B">
      <w:pPr>
        <w:pStyle w:val="BodyText"/>
      </w:pPr>
    </w:p>
    <w:p w:rsidR="00000000" w:rsidRPr="00B9323B" w:rsidP="00B9323B">
      <w:pPr>
        <w:pStyle w:val="Heading1"/>
      </w:pPr>
      <w:bookmarkStart w:id="14" w:name="O_227082"/>
      <w:bookmarkEnd w:id="14"/>
      <w:r w:rsidRPr="00B9323B">
        <w:t>Custom Content Section</w:t>
      </w:r>
    </w:p>
    <w:tbl>
      <w:tblPr>
        <w:tblW w:w="0" w:type="auto"/>
        <w:tblLayout w:type="fixed"/>
        <w:tblCellMar>
          <w:left w:w="62" w:type="dxa"/>
          <w:right w:w="62" w:type="dxa"/>
        </w:tblCellMar>
        <w:tblLook w:val="0000"/>
      </w:tblPr>
      <w:tblGrid>
        <w:gridCol w:w="2700"/>
        <w:gridCol w:w="5760"/>
      </w:tblGrid>
      <w:tr w:rsidTr="002876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323B">
            <w:pPr>
              <w:pStyle w:val="BodyText"/>
              <w:rPr>
                <w:lang w:val="en-NZ"/>
              </w:rPr>
            </w:pPr>
            <w:r w:rsidRPr="00B9323B">
              <w:rPr>
                <w:rStyle w:val="SpecialBold"/>
              </w:rPr>
              <w:t>5</w:t>
            </w:r>
            <w:r w:rsidRPr="00B9323B">
              <w:t>)</w:t>
            </w:r>
          </w:p>
        </w:tc>
      </w:tr>
      <w:tr w:rsidTr="002876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323B" w:rsidP="00B9323B">
            <w:pPr>
              <w:pStyle w:val="BodyText"/>
            </w:pPr>
            <w:r w:rsidRPr="00B9323B">
              <w:t>Electronics</w:t>
            </w:r>
          </w:p>
        </w:tc>
      </w:tr>
    </w:tbl>
    <w:p w:rsidR="002876D1" w:rsidP="00B9323B">
      <w:pPr>
        <w:pStyle w:val="BodyText"/>
      </w:pPr>
    </w:p>
    <w:p w:rsidR="002876D1" w:rsidP="00B9323B">
      <w:pPr>
        <w:pStyle w:val="BodyText"/>
      </w:pPr>
    </w:p>
    <w:p w:rsidR="00000000" w:rsidRPr="00B9323B" w:rsidP="00B9323B"/>
    <w:sectPr w:rsidSect="00B932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6D1" w:rsidP="002876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6D1" w:rsidP="00B932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76D1" w:rsidP="00B932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876D1" w:rsidP="00B932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3B" w:rsidRPr="002876D1" w:rsidP="002876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6D1" w:rsidRPr="002D2AF8" w:rsidP="00B9323B">
    <w:pPr>
      <w:pStyle w:val="Header"/>
      <w:framePr w:wrap="around"/>
    </w:pPr>
    <w:r>
      <w:fldChar w:fldCharType="begin"/>
    </w:r>
    <w:r>
      <w:instrText xml:space="preserve"> TITLE   \* MERGEFORMAT </w:instrText>
    </w:r>
    <w:r>
      <w:fldChar w:fldCharType="separate"/>
    </w:r>
    <w:r>
      <w:t>UEENEEH077B Diagnose and rectify faults in recording and replay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876D1" w:rsidP="00B93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60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687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56F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23B"/>
    <w:pPr>
      <w:spacing w:before="360" w:after="60"/>
      <w:outlineLvl w:val="0"/>
    </w:pPr>
    <w:rPr>
      <w:sz w:val="32"/>
    </w:rPr>
  </w:style>
  <w:style w:type="paragraph" w:styleId="Heading2">
    <w:name w:val="heading 2"/>
    <w:basedOn w:val="HeadingBase"/>
    <w:next w:val="BodyText"/>
    <w:link w:val="Heading2Char"/>
    <w:qFormat/>
    <w:rsid w:val="00B9323B"/>
    <w:pPr>
      <w:keepLines/>
      <w:spacing w:before="240" w:after="120"/>
      <w:outlineLvl w:val="1"/>
    </w:pPr>
    <w:rPr>
      <w:sz w:val="28"/>
      <w:szCs w:val="40"/>
    </w:rPr>
  </w:style>
  <w:style w:type="paragraph" w:styleId="Heading3">
    <w:name w:val="heading 3"/>
    <w:basedOn w:val="HeadingBase"/>
    <w:next w:val="BodyText"/>
    <w:link w:val="Heading3Char"/>
    <w:qFormat/>
    <w:rsid w:val="00B9323B"/>
    <w:pPr>
      <w:spacing w:before="180" w:after="120"/>
      <w:outlineLvl w:val="2"/>
    </w:pPr>
    <w:rPr>
      <w:spacing w:val="-10"/>
      <w:kern w:val="32"/>
    </w:rPr>
  </w:style>
  <w:style w:type="paragraph" w:styleId="Heading4">
    <w:name w:val="heading 4"/>
    <w:basedOn w:val="HeadingBase"/>
    <w:next w:val="BodyText"/>
    <w:link w:val="Heading4Char"/>
    <w:qFormat/>
    <w:rsid w:val="00B9323B"/>
    <w:pPr>
      <w:spacing w:before="160" w:after="120"/>
      <w:outlineLvl w:val="3"/>
    </w:pPr>
    <w:rPr>
      <w:sz w:val="22"/>
    </w:rPr>
  </w:style>
  <w:style w:type="paragraph" w:styleId="Heading5">
    <w:name w:val="heading 5"/>
    <w:basedOn w:val="HeadingBase"/>
    <w:next w:val="Normal"/>
    <w:link w:val="Heading5Char"/>
    <w:qFormat/>
    <w:rsid w:val="00B9323B"/>
    <w:pPr>
      <w:spacing w:before="80"/>
      <w:outlineLvl w:val="4"/>
    </w:pPr>
    <w:rPr>
      <w:color w:val="918585"/>
      <w:sz w:val="20"/>
    </w:rPr>
  </w:style>
  <w:style w:type="paragraph" w:styleId="Heading6">
    <w:name w:val="heading 6"/>
    <w:basedOn w:val="HeadingBase"/>
    <w:next w:val="Normal"/>
    <w:link w:val="Heading6Char"/>
    <w:qFormat/>
    <w:rsid w:val="00B9323B"/>
    <w:pPr>
      <w:spacing w:before="60"/>
      <w:outlineLvl w:val="5"/>
    </w:pPr>
    <w:rPr>
      <w:color w:val="918585"/>
      <w:sz w:val="20"/>
    </w:rPr>
  </w:style>
  <w:style w:type="paragraph" w:styleId="Heading7">
    <w:name w:val="heading 7"/>
    <w:basedOn w:val="Normal"/>
    <w:next w:val="Normal"/>
    <w:link w:val="Heading7Char"/>
    <w:qFormat/>
    <w:rsid w:val="00B9323B"/>
    <w:pPr>
      <w:ind w:left="720"/>
      <w:outlineLvl w:val="6"/>
    </w:pPr>
    <w:rPr>
      <w:i/>
    </w:rPr>
  </w:style>
  <w:style w:type="paragraph" w:styleId="Heading8">
    <w:name w:val="heading 8"/>
    <w:basedOn w:val="Normal"/>
    <w:next w:val="Normal"/>
    <w:link w:val="Heading8Char"/>
    <w:qFormat/>
    <w:rsid w:val="00B9323B"/>
    <w:pPr>
      <w:ind w:left="720"/>
      <w:outlineLvl w:val="7"/>
    </w:pPr>
    <w:rPr>
      <w:i/>
    </w:rPr>
  </w:style>
  <w:style w:type="paragraph" w:styleId="Heading9">
    <w:name w:val="heading 9"/>
    <w:basedOn w:val="Normal"/>
    <w:next w:val="Normal"/>
    <w:link w:val="Heading9Char"/>
    <w:qFormat/>
    <w:rsid w:val="00B9323B"/>
    <w:pPr>
      <w:ind w:left="720"/>
      <w:outlineLvl w:val="8"/>
    </w:pPr>
    <w:rPr>
      <w:i/>
    </w:rPr>
  </w:style>
  <w:style w:type="character" w:default="1" w:styleId="DefaultParagraphFont">
    <w:name w:val="Default Paragraph Font"/>
    <w:uiPriority w:val="1"/>
    <w:unhideWhenUsed/>
    <w:rsid w:val="00B93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23B"/>
  </w:style>
  <w:style w:type="character" w:customStyle="1" w:styleId="Heading1Char">
    <w:name w:val="Heading 1 Char"/>
    <w:basedOn w:val="DefaultParagraphFont"/>
    <w:link w:val="Heading1"/>
    <w:rsid w:val="00B9323B"/>
    <w:rPr>
      <w:rFonts w:ascii="Times New Roman" w:eastAsia="Times New Roman" w:hAnsi="Times New Roman" w:cs="Times New Roman"/>
      <w:b/>
      <w:sz w:val="32"/>
      <w:szCs w:val="20"/>
      <w:lang w:eastAsia="en-US"/>
    </w:rPr>
  </w:style>
  <w:style w:type="paragraph" w:styleId="BodyText">
    <w:name w:val="Body Text"/>
    <w:basedOn w:val="Normal"/>
    <w:link w:val="BodyTextChar"/>
    <w:rsid w:val="00B932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23B"/>
    <w:rPr>
      <w:rFonts w:ascii="Times New Roman" w:eastAsia="Times New Roman" w:hAnsi="Times New Roman" w:cs="Times New Roman"/>
      <w:sz w:val="24"/>
      <w:lang w:eastAsia="en-US"/>
    </w:rPr>
  </w:style>
  <w:style w:type="paragraph" w:styleId="Footer">
    <w:name w:val="footer"/>
    <w:basedOn w:val="Normal"/>
    <w:link w:val="FooterChar"/>
    <w:rsid w:val="00B93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23B"/>
    <w:rPr>
      <w:rFonts w:ascii="Times New Roman" w:eastAsia="Times New Roman" w:hAnsi="Times New Roman" w:cs="Times New Roman"/>
      <w:sz w:val="16"/>
      <w:lang w:eastAsia="en-US"/>
    </w:rPr>
  </w:style>
  <w:style w:type="paragraph" w:styleId="ListBullet">
    <w:name w:val="List Bullet"/>
    <w:basedOn w:val="List"/>
    <w:rsid w:val="00B9323B"/>
    <w:pPr>
      <w:numPr>
        <w:numId w:val="13"/>
      </w:numPr>
      <w:tabs>
        <w:tab w:val="clear" w:pos="340"/>
      </w:tabs>
      <w:spacing w:before="40" w:after="40"/>
    </w:pPr>
  </w:style>
  <w:style w:type="character" w:customStyle="1" w:styleId="SpecialBold">
    <w:name w:val="Special Bold"/>
    <w:basedOn w:val="DefaultParagraphFont"/>
    <w:rsid w:val="00B9323B"/>
    <w:rPr>
      <w:b/>
      <w:spacing w:val="0"/>
    </w:rPr>
  </w:style>
  <w:style w:type="paragraph" w:styleId="ListBullet2">
    <w:name w:val="List Bullet 2"/>
    <w:basedOn w:val="List2"/>
    <w:rsid w:val="00B9323B"/>
    <w:pPr>
      <w:numPr>
        <w:numId w:val="14"/>
      </w:numPr>
      <w:tabs>
        <w:tab w:val="clear" w:pos="680"/>
      </w:tabs>
    </w:pPr>
  </w:style>
  <w:style w:type="paragraph" w:customStyle="1" w:styleId="SuperHeading">
    <w:name w:val="SuperHeading"/>
    <w:basedOn w:val="Normal"/>
    <w:rsid w:val="00B9323B"/>
    <w:pPr>
      <w:spacing w:before="240" w:after="120"/>
      <w:outlineLvl w:val="0"/>
    </w:pPr>
    <w:rPr>
      <w:rFonts w:ascii="Times New Roman" w:hAnsi="Times New Roman"/>
      <w:b/>
      <w:sz w:val="28"/>
    </w:rPr>
  </w:style>
  <w:style w:type="paragraph" w:customStyle="1" w:styleId="AllowPageBreak">
    <w:name w:val="AllowPageBreak"/>
    <w:rsid w:val="00B932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23B"/>
    <w:rPr>
      <w:rFonts w:ascii="Courier New" w:eastAsia="Times New Roman" w:hAnsi="Courier New" w:cs="Times New Roman"/>
      <w:i/>
      <w:szCs w:val="20"/>
      <w:lang w:eastAsia="en-US"/>
    </w:rPr>
  </w:style>
  <w:style w:type="paragraph" w:customStyle="1" w:styleId="HeadingBase">
    <w:name w:val="Heading Base"/>
    <w:rsid w:val="00B93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23B"/>
    <w:pPr>
      <w:tabs>
        <w:tab w:val="right" w:leader="dot" w:pos="9072"/>
      </w:tabs>
      <w:ind w:left="567"/>
    </w:pPr>
    <w:rPr>
      <w:szCs w:val="22"/>
    </w:rPr>
  </w:style>
  <w:style w:type="paragraph" w:customStyle="1" w:styleId="TOCBase">
    <w:name w:val="TOC Base"/>
    <w:rsid w:val="00B93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23B"/>
    <w:pPr>
      <w:tabs>
        <w:tab w:val="right" w:leader="dot" w:pos="9072"/>
      </w:tabs>
      <w:spacing w:before="40" w:after="40"/>
      <w:ind w:left="284"/>
    </w:pPr>
    <w:rPr>
      <w:rFonts w:ascii="Times New Roman" w:hAnsi="Times New Roman"/>
    </w:rPr>
  </w:style>
  <w:style w:type="paragraph" w:styleId="TOC1">
    <w:name w:val="toc 1"/>
    <w:basedOn w:val="TOCBase"/>
    <w:next w:val="Normal"/>
    <w:rsid w:val="00B932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23B"/>
    <w:pPr>
      <w:spacing w:before="5040"/>
      <w:jc w:val="center"/>
    </w:pPr>
    <w:rPr>
      <w:sz w:val="48"/>
      <w:szCs w:val="72"/>
      <w:lang w:val="en-US"/>
    </w:rPr>
  </w:style>
  <w:style w:type="character" w:customStyle="1" w:styleId="TitleChar">
    <w:name w:val="Title Char"/>
    <w:basedOn w:val="DefaultParagraphFont"/>
    <w:link w:val="Title"/>
    <w:rsid w:val="00B93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23B"/>
    <w:pPr>
      <w:tabs>
        <w:tab w:val="left" w:pos="3600"/>
        <w:tab w:val="left" w:pos="3958"/>
      </w:tabs>
    </w:pPr>
  </w:style>
  <w:style w:type="paragraph" w:styleId="List">
    <w:name w:val="List"/>
    <w:basedOn w:val="BodyText"/>
    <w:next w:val="BodyText"/>
    <w:rsid w:val="00B9323B"/>
    <w:pPr>
      <w:tabs>
        <w:tab w:val="left" w:pos="340"/>
      </w:tabs>
      <w:spacing w:before="60" w:after="60"/>
      <w:ind w:left="340" w:hanging="340"/>
    </w:pPr>
  </w:style>
  <w:style w:type="paragraph" w:customStyle="1" w:styleId="Note">
    <w:name w:val="Note"/>
    <w:basedOn w:val="BodyText"/>
    <w:rsid w:val="00B93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23B"/>
    <w:pPr>
      <w:framePr w:wrap="auto" w:hAnchor="text" w:y="6049"/>
    </w:pPr>
    <w:rPr>
      <w:color w:val="000000"/>
      <w:sz w:val="40"/>
    </w:rPr>
  </w:style>
  <w:style w:type="paragraph" w:customStyle="1" w:styleId="TOCTitle">
    <w:name w:val="TOCTitle"/>
    <w:basedOn w:val="Heading1"/>
    <w:rsid w:val="00B9323B"/>
    <w:pPr>
      <w:spacing w:after="240"/>
      <w:jc w:val="center"/>
      <w:outlineLvl w:val="9"/>
    </w:pPr>
    <w:rPr>
      <w:caps/>
    </w:rPr>
  </w:style>
  <w:style w:type="paragraph" w:customStyle="1" w:styleId="Version">
    <w:name w:val="Version"/>
    <w:rsid w:val="00B93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23B"/>
    <w:pPr>
      <w:keepNext w:val="0"/>
      <w:tabs>
        <w:tab w:val="right" w:pos="4176"/>
      </w:tabs>
      <w:ind w:left="198" w:hanging="198"/>
    </w:pPr>
    <w:rPr>
      <w:rFonts w:ascii="Garamond" w:hAnsi="Garamond"/>
    </w:rPr>
  </w:style>
  <w:style w:type="paragraph" w:styleId="IndexHeading">
    <w:name w:val="index heading"/>
    <w:basedOn w:val="Normal"/>
    <w:next w:val="Index1"/>
    <w:semiHidden/>
    <w:rsid w:val="00B9323B"/>
    <w:pPr>
      <w:spacing w:before="120" w:after="120"/>
    </w:pPr>
    <w:rPr>
      <w:rFonts w:ascii="Arial" w:hAnsi="Arial"/>
      <w:b/>
      <w:color w:val="918585"/>
      <w:sz w:val="24"/>
    </w:rPr>
  </w:style>
  <w:style w:type="paragraph" w:styleId="Header">
    <w:name w:val="header"/>
    <w:basedOn w:val="Normal"/>
    <w:link w:val="HeaderChar"/>
    <w:rsid w:val="00B93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23B"/>
    <w:rPr>
      <w:rFonts w:ascii="Times New Roman" w:eastAsia="Times New Roman" w:hAnsi="Times New Roman" w:cs="Times New Roman"/>
      <w:sz w:val="16"/>
      <w:szCs w:val="20"/>
      <w:lang w:val="en-GB" w:eastAsia="en-US"/>
    </w:rPr>
  </w:style>
  <w:style w:type="paragraph" w:customStyle="1" w:styleId="Chapter">
    <w:name w:val="Chapter"/>
    <w:basedOn w:val="Normal"/>
    <w:rsid w:val="00B9323B"/>
    <w:pPr>
      <w:spacing w:before="240"/>
    </w:pPr>
    <w:rPr>
      <w:rFonts w:ascii="Times New Roman" w:hAnsi="Times New Roman"/>
      <w:smallCaps/>
      <w:spacing w:val="80"/>
      <w:sz w:val="28"/>
    </w:rPr>
  </w:style>
  <w:style w:type="paragraph" w:customStyle="1" w:styleId="InChapter">
    <w:name w:val="InChapter"/>
    <w:basedOn w:val="Heading3"/>
    <w:rsid w:val="00B9323B"/>
    <w:pPr>
      <w:spacing w:after="240"/>
      <w:outlineLvl w:val="9"/>
    </w:pPr>
    <w:rPr>
      <w:noProof/>
    </w:rPr>
  </w:style>
  <w:style w:type="paragraph" w:styleId="Index2">
    <w:name w:val="index 2"/>
    <w:basedOn w:val="Normal"/>
    <w:next w:val="Normal"/>
    <w:semiHidden/>
    <w:rsid w:val="00B9323B"/>
    <w:pPr>
      <w:tabs>
        <w:tab w:val="right" w:pos="4176"/>
      </w:tabs>
      <w:ind w:left="568" w:hanging="284"/>
    </w:pPr>
    <w:rPr>
      <w:rFonts w:ascii="Garamond" w:hAnsi="Garamond"/>
    </w:rPr>
  </w:style>
  <w:style w:type="paragraph" w:customStyle="1" w:styleId="Byline">
    <w:name w:val="Byline"/>
    <w:rsid w:val="00B93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23B"/>
    <w:pPr>
      <w:tabs>
        <w:tab w:val="clear" w:pos="3600"/>
        <w:tab w:val="clear" w:pos="3958"/>
      </w:tabs>
      <w:jc w:val="right"/>
    </w:pPr>
  </w:style>
  <w:style w:type="character" w:styleId="Emphasis">
    <w:name w:val="Emphasis"/>
    <w:basedOn w:val="DefaultParagraphFont"/>
    <w:qFormat/>
    <w:rsid w:val="00B9323B"/>
    <w:rPr>
      <w:i/>
    </w:rPr>
  </w:style>
  <w:style w:type="paragraph" w:styleId="Caption">
    <w:name w:val="caption"/>
    <w:basedOn w:val="BodyText"/>
    <w:next w:val="Normal"/>
    <w:qFormat/>
    <w:rsid w:val="00B9323B"/>
    <w:pPr>
      <w:framePr w:w="2268" w:hSpace="181" w:vSpace="181" w:wrap="around" w:vAnchor="text" w:hAnchor="page" w:x="1135" w:y="285" w:anchorLock="1"/>
    </w:pPr>
    <w:rPr>
      <w:i/>
    </w:rPr>
  </w:style>
  <w:style w:type="paragraph" w:customStyle="1" w:styleId="MiniTOCTitle">
    <w:name w:val="MiniTOCTitle"/>
    <w:basedOn w:val="Heading4"/>
    <w:rsid w:val="00B9323B"/>
    <w:pPr>
      <w:spacing w:before="240"/>
      <w:outlineLvl w:val="9"/>
    </w:pPr>
    <w:rPr>
      <w:noProof/>
      <w:sz w:val="24"/>
    </w:rPr>
  </w:style>
  <w:style w:type="paragraph" w:customStyle="1" w:styleId="MiniTOCItem">
    <w:name w:val="MiniTOCItem"/>
    <w:basedOn w:val="ListBullet"/>
    <w:rsid w:val="00B9323B"/>
    <w:pPr>
      <w:numPr>
        <w:numId w:val="0"/>
      </w:numPr>
      <w:tabs>
        <w:tab w:val="right" w:leader="dot" w:pos="6521"/>
      </w:tabs>
      <w:spacing w:before="0" w:after="0"/>
    </w:pPr>
  </w:style>
  <w:style w:type="paragraph" w:customStyle="1" w:styleId="TOFTitle">
    <w:name w:val="TOFTitle"/>
    <w:basedOn w:val="TOCTitle"/>
    <w:rsid w:val="00B9323B"/>
  </w:style>
  <w:style w:type="paragraph" w:styleId="TableofFigures">
    <w:name w:val="table of figures"/>
    <w:basedOn w:val="Normal"/>
    <w:next w:val="Normal"/>
    <w:semiHidden/>
    <w:rsid w:val="00B9323B"/>
    <w:pPr>
      <w:tabs>
        <w:tab w:val="right" w:leader="dot" w:pos="9072"/>
      </w:tabs>
      <w:ind w:left="970" w:hanging="403"/>
    </w:pPr>
    <w:rPr>
      <w:rFonts w:ascii="Times New Roman" w:hAnsi="Times New Roman"/>
      <w:b/>
    </w:rPr>
  </w:style>
  <w:style w:type="paragraph" w:styleId="ListNumber">
    <w:name w:val="List Number"/>
    <w:basedOn w:val="List"/>
    <w:rsid w:val="00B9323B"/>
    <w:pPr>
      <w:numPr>
        <w:numId w:val="11"/>
      </w:numPr>
    </w:pPr>
  </w:style>
  <w:style w:type="character" w:customStyle="1" w:styleId="WingdingSymbols">
    <w:name w:val="Wingding Symbols"/>
    <w:rsid w:val="00B9323B"/>
    <w:rPr>
      <w:rFonts w:ascii="Wingdings" w:hAnsi="Wingdings"/>
    </w:rPr>
  </w:style>
  <w:style w:type="paragraph" w:customStyle="1" w:styleId="TableHeading">
    <w:name w:val="Table Heading"/>
    <w:basedOn w:val="HeadingBase"/>
    <w:rsid w:val="00B9323B"/>
    <w:pPr>
      <w:keepLines/>
      <w:pBdr>
        <w:bottom w:val="single" w:sz="6" w:space="1" w:color="918585"/>
      </w:pBdr>
      <w:spacing w:before="240"/>
    </w:pPr>
  </w:style>
  <w:style w:type="character" w:customStyle="1" w:styleId="HotSpot">
    <w:name w:val="HotSpot"/>
    <w:rsid w:val="00B9323B"/>
    <w:rPr>
      <w:color w:val="0033CC"/>
      <w:u w:val="none"/>
    </w:rPr>
  </w:style>
  <w:style w:type="paragraph" w:customStyle="1" w:styleId="BodyTextRight">
    <w:name w:val="Body Text Right"/>
    <w:basedOn w:val="BodyText"/>
    <w:rsid w:val="00B9323B"/>
    <w:pPr>
      <w:spacing w:before="0" w:after="0"/>
      <w:jc w:val="right"/>
    </w:pPr>
  </w:style>
  <w:style w:type="paragraph" w:styleId="Index3">
    <w:name w:val="index 3"/>
    <w:basedOn w:val="ListNumber2"/>
    <w:next w:val="Normal"/>
    <w:semiHidden/>
    <w:rsid w:val="00B9323B"/>
    <w:pPr>
      <w:numPr>
        <w:numId w:val="0"/>
      </w:numPr>
      <w:tabs>
        <w:tab w:val="right" w:leader="dot" w:pos="4176"/>
      </w:tabs>
    </w:pPr>
  </w:style>
  <w:style w:type="paragraph" w:styleId="ListNumber2">
    <w:name w:val="List Number 2"/>
    <w:basedOn w:val="List2"/>
    <w:rsid w:val="00B9323B"/>
    <w:pPr>
      <w:numPr>
        <w:numId w:val="10"/>
      </w:numPr>
      <w:tabs>
        <w:tab w:val="clear" w:pos="1060"/>
      </w:tabs>
    </w:pPr>
  </w:style>
  <w:style w:type="paragraph" w:customStyle="1" w:styleId="MarginNote">
    <w:name w:val="Margin Note"/>
    <w:basedOn w:val="BodyText"/>
    <w:rsid w:val="00B93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23B"/>
    <w:rPr>
      <w:sz w:val="32"/>
    </w:rPr>
  </w:style>
  <w:style w:type="paragraph" w:customStyle="1" w:styleId="HeadingProcedure">
    <w:name w:val="Heading Procedure"/>
    <w:basedOn w:val="HeadingBase"/>
    <w:next w:val="Normal"/>
    <w:rsid w:val="00B9323B"/>
    <w:pPr>
      <w:tabs>
        <w:tab w:val="left" w:pos="0"/>
      </w:tabs>
      <w:spacing w:before="120" w:after="60"/>
    </w:pPr>
    <w:rPr>
      <w:i/>
      <w:color w:val="918585"/>
      <w:sz w:val="22"/>
    </w:rPr>
  </w:style>
  <w:style w:type="paragraph" w:customStyle="1" w:styleId="TableBodyText">
    <w:name w:val="Table Body Text"/>
    <w:basedOn w:val="BodyText"/>
    <w:rsid w:val="00B9323B"/>
    <w:pPr>
      <w:spacing w:before="60" w:after="60"/>
    </w:pPr>
  </w:style>
  <w:style w:type="paragraph" w:styleId="ListContinue">
    <w:name w:val="List Continue"/>
    <w:basedOn w:val="List"/>
    <w:rsid w:val="00B9323B"/>
    <w:pPr>
      <w:ind w:firstLine="0"/>
    </w:pPr>
  </w:style>
  <w:style w:type="paragraph" w:customStyle="1" w:styleId="ListNote">
    <w:name w:val="List Note"/>
    <w:basedOn w:val="List"/>
    <w:rsid w:val="00B9323B"/>
    <w:pPr>
      <w:pBdr>
        <w:top w:val="single" w:sz="6" w:space="2" w:color="918585"/>
        <w:bottom w:val="single" w:sz="6" w:space="2" w:color="918585"/>
      </w:pBdr>
      <w:tabs>
        <w:tab w:val="left" w:pos="1021"/>
      </w:tabs>
      <w:ind w:firstLine="0"/>
    </w:pPr>
  </w:style>
  <w:style w:type="paragraph" w:customStyle="1" w:styleId="Warning">
    <w:name w:val="Warning"/>
    <w:basedOn w:val="BodyText"/>
    <w:rsid w:val="00B9323B"/>
    <w:pPr>
      <w:shd w:val="clear" w:color="auto" w:fill="D9D9D9"/>
      <w:tabs>
        <w:tab w:val="left" w:pos="992"/>
      </w:tabs>
      <w:ind w:left="119" w:right="119"/>
    </w:pPr>
    <w:rPr>
      <w:sz w:val="20"/>
    </w:rPr>
  </w:style>
  <w:style w:type="paragraph" w:customStyle="1" w:styleId="MarginIcons">
    <w:name w:val="Margin Icons"/>
    <w:basedOn w:val="BodyText"/>
    <w:rsid w:val="00B93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23B"/>
    <w:rPr>
      <w:rFonts w:ascii="Courier New" w:hAnsi="Courier New"/>
    </w:rPr>
  </w:style>
  <w:style w:type="paragraph" w:customStyle="1" w:styleId="NoteBullet">
    <w:name w:val="Note Bullet"/>
    <w:basedOn w:val="Note"/>
    <w:rsid w:val="00B9323B"/>
    <w:pPr>
      <w:tabs>
        <w:tab w:val="clear" w:pos="680"/>
      </w:tabs>
      <w:spacing w:before="60" w:after="60"/>
    </w:pPr>
  </w:style>
  <w:style w:type="paragraph" w:customStyle="1" w:styleId="SubHeading2">
    <w:name w:val="SubHeading2"/>
    <w:basedOn w:val="HeadingBase"/>
    <w:rsid w:val="00B9323B"/>
    <w:pPr>
      <w:spacing w:before="240" w:after="60"/>
    </w:pPr>
    <w:rPr>
      <w:sz w:val="20"/>
    </w:rPr>
  </w:style>
  <w:style w:type="paragraph" w:customStyle="1" w:styleId="SubHeading1">
    <w:name w:val="SubHeading1"/>
    <w:basedOn w:val="HeadingBase"/>
    <w:rsid w:val="00B9323B"/>
    <w:pPr>
      <w:spacing w:before="240" w:after="60"/>
    </w:pPr>
    <w:rPr>
      <w:color w:val="918585"/>
      <w:sz w:val="22"/>
    </w:rPr>
  </w:style>
  <w:style w:type="paragraph" w:customStyle="1" w:styleId="SideHeading">
    <w:name w:val="Side Heading"/>
    <w:basedOn w:val="HeadingBase"/>
    <w:rsid w:val="00B93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23B"/>
    <w:pPr>
      <w:numPr>
        <w:numId w:val="12"/>
      </w:numPr>
    </w:pPr>
  </w:style>
  <w:style w:type="paragraph" w:styleId="PlainText">
    <w:name w:val="Plain Text"/>
    <w:basedOn w:val="Normal"/>
    <w:link w:val="PlainTextChar"/>
    <w:rsid w:val="00B9323B"/>
    <w:rPr>
      <w:sz w:val="20"/>
    </w:rPr>
  </w:style>
  <w:style w:type="character" w:customStyle="1" w:styleId="PlainTextChar">
    <w:name w:val="Plain Text Char"/>
    <w:basedOn w:val="DefaultParagraphFont"/>
    <w:link w:val="PlainText"/>
    <w:rsid w:val="00B9323B"/>
    <w:rPr>
      <w:rFonts w:ascii="Courier New" w:eastAsia="Times New Roman" w:hAnsi="Courier New" w:cs="Times New Roman"/>
      <w:sz w:val="20"/>
      <w:szCs w:val="20"/>
      <w:lang w:eastAsia="en-US"/>
    </w:rPr>
  </w:style>
  <w:style w:type="character" w:customStyle="1" w:styleId="MenuOption">
    <w:name w:val="Menu Option"/>
    <w:basedOn w:val="DefaultParagraphFont"/>
    <w:rsid w:val="00B9323B"/>
    <w:rPr>
      <w:b/>
      <w:smallCaps/>
    </w:rPr>
  </w:style>
  <w:style w:type="paragraph" w:customStyle="1" w:styleId="TableListNumber">
    <w:name w:val="Table List Number"/>
    <w:basedOn w:val="ListNumber"/>
    <w:rsid w:val="00B9323B"/>
    <w:pPr>
      <w:numPr>
        <w:numId w:val="0"/>
      </w:numPr>
    </w:pPr>
  </w:style>
  <w:style w:type="paragraph" w:styleId="TOC4">
    <w:name w:val="toc 4"/>
    <w:basedOn w:val="TOCBase"/>
    <w:next w:val="Normal"/>
    <w:semiHidden/>
    <w:rsid w:val="00B9323B"/>
    <w:pPr>
      <w:tabs>
        <w:tab w:val="right" w:leader="dot" w:pos="9071"/>
      </w:tabs>
      <w:ind w:left="1701"/>
    </w:pPr>
  </w:style>
  <w:style w:type="paragraph" w:customStyle="1" w:styleId="ListAlpha">
    <w:name w:val="List Alpha"/>
    <w:basedOn w:val="List"/>
    <w:rsid w:val="00B9323B"/>
    <w:pPr>
      <w:numPr>
        <w:numId w:val="9"/>
      </w:numPr>
    </w:pPr>
  </w:style>
  <w:style w:type="paragraph" w:customStyle="1" w:styleId="ListAlpha2">
    <w:name w:val="List Alpha 2"/>
    <w:basedOn w:val="List2"/>
    <w:rsid w:val="00B9323B"/>
    <w:pPr>
      <w:numPr>
        <w:numId w:val="8"/>
      </w:numPr>
    </w:pPr>
  </w:style>
  <w:style w:type="paragraph" w:styleId="List2">
    <w:name w:val="List 2"/>
    <w:basedOn w:val="BodyText"/>
    <w:rsid w:val="00B9323B"/>
    <w:pPr>
      <w:tabs>
        <w:tab w:val="left" w:pos="680"/>
      </w:tabs>
      <w:spacing w:before="60" w:after="60"/>
      <w:ind w:left="680" w:hanging="340"/>
    </w:pPr>
  </w:style>
  <w:style w:type="paragraph" w:styleId="List3">
    <w:name w:val="List 3"/>
    <w:basedOn w:val="BodyText"/>
    <w:rsid w:val="00B9323B"/>
    <w:pPr>
      <w:tabs>
        <w:tab w:val="left" w:pos="1021"/>
      </w:tabs>
      <w:spacing w:before="60" w:after="60"/>
      <w:ind w:left="1020" w:hanging="340"/>
    </w:pPr>
  </w:style>
  <w:style w:type="paragraph" w:styleId="List4">
    <w:name w:val="List 4"/>
    <w:basedOn w:val="BodyText"/>
    <w:rsid w:val="00B9323B"/>
    <w:pPr>
      <w:tabs>
        <w:tab w:val="left" w:pos="1361"/>
      </w:tabs>
      <w:spacing w:before="60" w:after="60"/>
      <w:ind w:left="1361" w:hanging="340"/>
    </w:pPr>
  </w:style>
  <w:style w:type="paragraph" w:styleId="List5">
    <w:name w:val="List 5"/>
    <w:basedOn w:val="BodyText"/>
    <w:rsid w:val="00B9323B"/>
    <w:pPr>
      <w:tabs>
        <w:tab w:val="left" w:pos="1701"/>
      </w:tabs>
      <w:spacing w:before="60" w:after="60"/>
      <w:ind w:left="1701" w:hanging="340"/>
    </w:pPr>
  </w:style>
  <w:style w:type="paragraph" w:styleId="ListBullet3">
    <w:name w:val="List Bullet 3"/>
    <w:basedOn w:val="List3"/>
    <w:rsid w:val="00B9323B"/>
    <w:pPr>
      <w:numPr>
        <w:numId w:val="15"/>
      </w:numPr>
      <w:tabs>
        <w:tab w:val="clear" w:pos="1021"/>
      </w:tabs>
      <w:ind w:left="1037" w:hanging="357"/>
    </w:pPr>
  </w:style>
  <w:style w:type="paragraph" w:styleId="ListBullet4">
    <w:name w:val="List Bullet 4"/>
    <w:basedOn w:val="List4"/>
    <w:rsid w:val="00B9323B"/>
    <w:pPr>
      <w:numPr>
        <w:numId w:val="3"/>
      </w:numPr>
    </w:pPr>
  </w:style>
  <w:style w:type="paragraph" w:styleId="ListBullet5">
    <w:name w:val="List Bullet 5"/>
    <w:basedOn w:val="List5"/>
    <w:rsid w:val="00B9323B"/>
    <w:pPr>
      <w:numPr>
        <w:numId w:val="4"/>
      </w:numPr>
    </w:pPr>
  </w:style>
  <w:style w:type="paragraph" w:styleId="ListContinue2">
    <w:name w:val="List Continue 2"/>
    <w:basedOn w:val="List2"/>
    <w:rsid w:val="00B9323B"/>
    <w:pPr>
      <w:ind w:firstLine="0"/>
    </w:pPr>
  </w:style>
  <w:style w:type="paragraph" w:styleId="ListContinue3">
    <w:name w:val="List Continue 3"/>
    <w:basedOn w:val="List3"/>
    <w:rsid w:val="00B9323B"/>
    <w:pPr>
      <w:ind w:left="1021" w:firstLine="0"/>
    </w:pPr>
  </w:style>
  <w:style w:type="paragraph" w:styleId="ListContinue4">
    <w:name w:val="List Continue 4"/>
    <w:basedOn w:val="List4"/>
    <w:rsid w:val="00B9323B"/>
    <w:pPr>
      <w:ind w:firstLine="0"/>
    </w:pPr>
  </w:style>
  <w:style w:type="paragraph" w:styleId="ListContinue5">
    <w:name w:val="List Continue 5"/>
    <w:basedOn w:val="List5"/>
    <w:rsid w:val="00B9323B"/>
    <w:pPr>
      <w:ind w:firstLine="0"/>
    </w:pPr>
  </w:style>
  <w:style w:type="paragraph" w:styleId="ListNumber3">
    <w:name w:val="List Number 3"/>
    <w:basedOn w:val="List3"/>
    <w:rsid w:val="00B9323B"/>
    <w:pPr>
      <w:numPr>
        <w:numId w:val="5"/>
      </w:numPr>
    </w:pPr>
  </w:style>
  <w:style w:type="paragraph" w:styleId="ListNumber4">
    <w:name w:val="List Number 4"/>
    <w:basedOn w:val="List4"/>
    <w:rsid w:val="00B9323B"/>
    <w:pPr>
      <w:numPr>
        <w:numId w:val="6"/>
      </w:numPr>
    </w:pPr>
  </w:style>
  <w:style w:type="paragraph" w:styleId="ListNumber5">
    <w:name w:val="List Number 5"/>
    <w:basedOn w:val="List5"/>
    <w:rsid w:val="00B9323B"/>
    <w:pPr>
      <w:numPr>
        <w:numId w:val="7"/>
      </w:numPr>
    </w:pPr>
  </w:style>
  <w:style w:type="paragraph" w:styleId="BlockText">
    <w:name w:val="Block Text"/>
    <w:basedOn w:val="Normal"/>
    <w:rsid w:val="00B9323B"/>
    <w:pPr>
      <w:spacing w:after="120"/>
      <w:ind w:left="1440" w:right="1440"/>
    </w:pPr>
  </w:style>
  <w:style w:type="character" w:customStyle="1" w:styleId="Subscript">
    <w:name w:val="Subscript"/>
    <w:basedOn w:val="DefaultParagraphFont"/>
    <w:rsid w:val="00B9323B"/>
    <w:rPr>
      <w:sz w:val="16"/>
      <w:vertAlign w:val="subscript"/>
    </w:rPr>
  </w:style>
  <w:style w:type="character" w:customStyle="1" w:styleId="Superscript">
    <w:name w:val="Superscript"/>
    <w:basedOn w:val="DefaultParagraphFont"/>
    <w:rsid w:val="00B9323B"/>
    <w:rPr>
      <w:sz w:val="16"/>
      <w:vertAlign w:val="superscript"/>
    </w:rPr>
  </w:style>
  <w:style w:type="character" w:customStyle="1" w:styleId="Symbols">
    <w:name w:val="Symbols"/>
    <w:basedOn w:val="DefaultParagraphFont"/>
    <w:rsid w:val="00B9323B"/>
    <w:rPr>
      <w:rFonts w:ascii="Symbol" w:hAnsi="Symbol"/>
    </w:rPr>
  </w:style>
  <w:style w:type="character" w:customStyle="1" w:styleId="MenuOptions">
    <w:name w:val="Menu Options"/>
    <w:basedOn w:val="DefaultParagraphFont"/>
    <w:rsid w:val="00B9323B"/>
    <w:rPr>
      <w:rFonts w:ascii="Arial Narrow" w:hAnsi="Arial Narrow"/>
      <w:smallCaps/>
    </w:rPr>
  </w:style>
  <w:style w:type="character" w:customStyle="1" w:styleId="Buttons">
    <w:name w:val="Buttons"/>
    <w:basedOn w:val="DefaultParagraphFont"/>
    <w:rsid w:val="00B9323B"/>
    <w:rPr>
      <w:b/>
    </w:rPr>
  </w:style>
  <w:style w:type="character" w:customStyle="1" w:styleId="Underlined">
    <w:name w:val="Underlined"/>
    <w:basedOn w:val="DefaultParagraphFont"/>
    <w:rsid w:val="00B9323B"/>
    <w:rPr>
      <w:u w:val="single"/>
    </w:rPr>
  </w:style>
  <w:style w:type="paragraph" w:customStyle="1" w:styleId="TableBodyTextRight">
    <w:name w:val="Table Body Text Right"/>
    <w:basedOn w:val="TableBodyText"/>
    <w:rsid w:val="00B9323B"/>
    <w:pPr>
      <w:widowControl w:val="0"/>
      <w:autoSpaceDE w:val="0"/>
      <w:autoSpaceDN w:val="0"/>
      <w:adjustRightInd w:val="0"/>
      <w:jc w:val="right"/>
    </w:pPr>
    <w:rPr>
      <w:rFonts w:cs="Arial"/>
      <w:szCs w:val="18"/>
    </w:rPr>
  </w:style>
  <w:style w:type="paragraph" w:customStyle="1" w:styleId="CopyrightText">
    <w:name w:val="Copyright Text"/>
    <w:basedOn w:val="BodyText"/>
    <w:rsid w:val="00B9323B"/>
    <w:rPr>
      <w:sz w:val="18"/>
    </w:rPr>
  </w:style>
  <w:style w:type="paragraph" w:customStyle="1" w:styleId="BodySmallRight">
    <w:name w:val="Body Small Right"/>
    <w:basedOn w:val="BodyTextRight"/>
    <w:rsid w:val="00B9323B"/>
    <w:rPr>
      <w:sz w:val="18"/>
      <w:szCs w:val="18"/>
    </w:rPr>
  </w:style>
  <w:style w:type="paragraph" w:customStyle="1" w:styleId="MarginEdition">
    <w:name w:val="Margin Edition"/>
    <w:basedOn w:val="MarginNote"/>
    <w:rsid w:val="00B9323B"/>
    <w:pPr>
      <w:spacing w:before="0" w:after="0"/>
    </w:pPr>
    <w:rPr>
      <w:rFonts w:ascii="Times New Roman" w:hAnsi="Times New Roman"/>
      <w:color w:val="999999"/>
    </w:rPr>
  </w:style>
  <w:style w:type="paragraph" w:customStyle="1" w:styleId="Spacer">
    <w:name w:val="Spacer"/>
    <w:basedOn w:val="Normal"/>
    <w:rsid w:val="00B9323B"/>
    <w:rPr>
      <w:sz w:val="2"/>
      <w:szCs w:val="2"/>
    </w:rPr>
  </w:style>
  <w:style w:type="character" w:customStyle="1" w:styleId="Small">
    <w:name w:val="Small"/>
    <w:basedOn w:val="DefaultParagraphFont"/>
    <w:rsid w:val="00B9323B"/>
    <w:rPr>
      <w:sz w:val="16"/>
    </w:rPr>
  </w:style>
  <w:style w:type="paragraph" w:customStyle="1" w:styleId="WideTable">
    <w:name w:val="Wide Table"/>
    <w:basedOn w:val="Normal"/>
    <w:rsid w:val="00B9323B"/>
    <w:pPr>
      <w:ind w:left="-1418"/>
    </w:pPr>
    <w:rPr>
      <w:sz w:val="2"/>
      <w:szCs w:val="2"/>
    </w:rPr>
  </w:style>
  <w:style w:type="character" w:styleId="PageNumber">
    <w:name w:val="page number"/>
    <w:basedOn w:val="DefaultParagraphFont"/>
    <w:rsid w:val="00B9323B"/>
  </w:style>
  <w:style w:type="paragraph" w:styleId="Quote">
    <w:name w:val="Quote"/>
    <w:basedOn w:val="Heading1"/>
    <w:link w:val="QuoteChar"/>
    <w:qFormat/>
    <w:rsid w:val="00B9323B"/>
    <w:rPr>
      <w:b w:val="0"/>
      <w:sz w:val="72"/>
      <w:szCs w:val="72"/>
      <w:lang w:val="en-NZ"/>
    </w:rPr>
  </w:style>
  <w:style w:type="character" w:customStyle="1" w:styleId="QuoteChar">
    <w:name w:val="Quote Char"/>
    <w:basedOn w:val="DefaultParagraphFont"/>
    <w:link w:val="Quote"/>
    <w:rsid w:val="00B93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23B"/>
    <w:pPr>
      <w:pageBreakBefore/>
    </w:pPr>
  </w:style>
  <w:style w:type="paragraph" w:customStyle="1" w:styleId="Border">
    <w:name w:val="Border"/>
    <w:basedOn w:val="Normal"/>
    <w:qFormat/>
    <w:rsid w:val="00B93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23B"/>
    <w:rPr>
      <w:b/>
      <w:bCs/>
      <w:i/>
      <w:iCs/>
      <w:color w:val="auto"/>
    </w:rPr>
  </w:style>
  <w:style w:type="paragraph" w:styleId="IntenseQuote">
    <w:name w:val="Intense Quote"/>
    <w:basedOn w:val="Normal"/>
    <w:next w:val="Normal"/>
    <w:link w:val="IntenseQuoteChar"/>
    <w:uiPriority w:val="30"/>
    <w:qFormat/>
    <w:rsid w:val="00B93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23B"/>
    <w:rPr>
      <w:smallCaps/>
      <w:color w:val="auto"/>
      <w:u w:val="single"/>
    </w:rPr>
  </w:style>
  <w:style w:type="character" w:styleId="IntenseReference">
    <w:name w:val="Intense Reference"/>
    <w:basedOn w:val="DefaultParagraphFont"/>
    <w:uiPriority w:val="32"/>
    <w:qFormat/>
    <w:rsid w:val="00B9323B"/>
    <w:rPr>
      <w:b/>
      <w:bCs/>
      <w:smallCaps/>
      <w:color w:val="auto"/>
      <w:spacing w:val="5"/>
      <w:u w:val="single"/>
    </w:rPr>
  </w:style>
  <w:style w:type="paragraph" w:customStyle="1" w:styleId="2ColumnHeading">
    <w:name w:val="2Column Heading"/>
    <w:basedOn w:val="BodyText"/>
    <w:qFormat/>
    <w:rsid w:val="00B9323B"/>
    <w:pPr>
      <w:spacing w:after="60"/>
      <w:ind w:left="-2268"/>
    </w:pPr>
    <w:rPr>
      <w:b/>
    </w:rPr>
  </w:style>
  <w:style w:type="paragraph" w:customStyle="1" w:styleId="Heading1TOC">
    <w:name w:val="Heading1 TOC"/>
    <w:basedOn w:val="Normal"/>
    <w:qFormat/>
    <w:rsid w:val="00B9323B"/>
    <w:pPr>
      <w:spacing w:before="240" w:after="120"/>
    </w:pPr>
    <w:rPr>
      <w:rFonts w:ascii="Times New Roman" w:hAnsi="Times New Roman"/>
      <w:b/>
      <w:sz w:val="32"/>
    </w:rPr>
  </w:style>
  <w:style w:type="paragraph" w:customStyle="1" w:styleId="Heading2TOC">
    <w:name w:val="Heading2 TOC"/>
    <w:basedOn w:val="Normal"/>
    <w:qFormat/>
    <w:rsid w:val="00B9323B"/>
    <w:pPr>
      <w:spacing w:before="240" w:after="60"/>
    </w:pPr>
    <w:rPr>
      <w:rFonts w:ascii="Times New Roman" w:hAnsi="Times New Roman"/>
      <w:b/>
      <w:sz w:val="28"/>
    </w:rPr>
  </w:style>
  <w:style w:type="character" w:customStyle="1" w:styleId="Underline">
    <w:name w:val="Underline"/>
    <w:basedOn w:val="DefaultParagraphFont"/>
    <w:qFormat/>
    <w:rsid w:val="00B9323B"/>
    <w:rPr>
      <w:u w:val="single"/>
    </w:rPr>
  </w:style>
  <w:style w:type="character" w:customStyle="1" w:styleId="BoldandItalics">
    <w:name w:val="Bold and Italics"/>
    <w:qFormat/>
    <w:rsid w:val="00B9323B"/>
    <w:rPr>
      <w:b/>
      <w:i/>
      <w:u w:val="none"/>
    </w:rPr>
  </w:style>
  <w:style w:type="paragraph" w:styleId="BalloonText">
    <w:name w:val="Balloon Text"/>
    <w:basedOn w:val="Normal"/>
    <w:link w:val="BalloonTextChar"/>
    <w:rsid w:val="00B9323B"/>
    <w:rPr>
      <w:rFonts w:ascii="Tahoma" w:hAnsi="Tahoma" w:cs="Tahoma"/>
      <w:sz w:val="16"/>
      <w:szCs w:val="16"/>
    </w:rPr>
  </w:style>
  <w:style w:type="character" w:customStyle="1" w:styleId="BalloonTextChar">
    <w:name w:val="Balloon Text Char"/>
    <w:basedOn w:val="DefaultParagraphFont"/>
    <w:link w:val="BalloonText"/>
    <w:rsid w:val="00B93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2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23B"/>
    <w:rPr>
      <w:b/>
      <w:color w:val="660033"/>
      <w:spacing w:val="0"/>
    </w:rPr>
  </w:style>
  <w:style w:type="paragraph" w:customStyle="1" w:styleId="Nameditemlist">
    <w:name w:val="Named item list"/>
    <w:basedOn w:val="BodyText"/>
    <w:qFormat/>
    <w:rsid w:val="00B932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2016</Words>
  <Characters>11947</Characters>
  <Application>Microsoft Office Word</Application>
  <DocSecurity>0</DocSecurity>
  <Lines>453</Lines>
  <Paragraphs>167</Paragraphs>
  <ScaleCrop>false</ScaleCrop>
  <Company>Author-it Software Corporation Ltd.</Company>
  <LinksUpToDate>false</LinksUpToDate>
  <CharactersWithSpaces>13816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UEENEEH077B Diagnose and rectify faults in recording and replay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2012-10-10T05:41:00Z</dcterms:created>
  <dcterms:modified xsi:type="dcterms:W3CDTF">2012-10-10T05:41:00Z</dcterms:modified>
</cp:coreProperties>
</file>