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08CF" w:rsidP="008108CF">
      <w:pPr>
        <w:pStyle w:val="Title"/>
      </w:pPr>
      <w:r>
        <w:fldChar w:fldCharType="begin"/>
      </w:r>
      <w:r>
        <w:instrText xml:space="preserve"> TITLE   \* MERGEFORMAT </w:instrText>
      </w:r>
      <w:r>
        <w:fldChar w:fldCharType="separate"/>
      </w:r>
      <w:r>
        <w:t>UEENEEH069B Solve problems in electronic circuits</w:t>
      </w:r>
      <w:r>
        <w:fldChar w:fldCharType="end"/>
      </w:r>
    </w:p>
    <w:p w:rsidR="008108CF" w:rsidP="008108CF">
      <w:pPr>
        <w:pStyle w:val="Version"/>
        <w:sectPr w:rsidSect="00A922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22C6" w:rsidP="00A922C6">
      <w:pPr>
        <w:pStyle w:val="SuperHeading"/>
      </w:pPr>
      <w:r w:rsidRPr="00A922C6">
        <w:t>UEENEEH069B Solve problems in electronic circuits</w:t>
      </w:r>
    </w:p>
    <w:p w:rsidR="00000000" w:rsidRPr="00A922C6" w:rsidP="00A922C6">
      <w:pPr>
        <w:pStyle w:val="Heading1"/>
      </w:pPr>
      <w:bookmarkStart w:id="1" w:name="O_274752"/>
      <w:bookmarkEnd w:id="1"/>
      <w:r w:rsidRPr="00A922C6">
        <w:t>Modification History</w:t>
      </w:r>
    </w:p>
    <w:p w:rsidR="00000000" w:rsidRPr="00A922C6" w:rsidP="00A922C6">
      <w:pPr>
        <w:pStyle w:val="BodyText"/>
      </w:pPr>
      <w:r w:rsidRPr="00A922C6">
        <w:t>Not Applicable</w:t>
      </w:r>
    </w:p>
    <w:p w:rsidR="00000000" w:rsidRPr="00A922C6" w:rsidP="00A922C6">
      <w:pPr>
        <w:pStyle w:val="AllowPageBreak"/>
      </w:pPr>
    </w:p>
    <w:p w:rsidR="00000000" w:rsidRPr="00A922C6" w:rsidP="00A922C6">
      <w:pPr>
        <w:pStyle w:val="Heading1"/>
      </w:pPr>
      <w:bookmarkStart w:id="2" w:name="O_227020"/>
      <w:bookmarkEnd w:id="2"/>
      <w:r w:rsidRPr="00A922C6">
        <w:t>Unit Descriptor</w:t>
      </w:r>
    </w:p>
    <w:tbl>
      <w:tblPr>
        <w:tblW w:w="0" w:type="auto"/>
        <w:tblLayout w:type="fixed"/>
        <w:tblCellMar>
          <w:left w:w="62" w:type="dxa"/>
          <w:right w:w="62" w:type="dxa"/>
        </w:tblCellMar>
        <w:tblLook w:val="0000"/>
      </w:tblPr>
      <w:tblGrid>
        <w:gridCol w:w="2700"/>
        <w:gridCol w:w="5760"/>
      </w:tblGrid>
      <w:tr w:rsidTr="008108C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22C6" w:rsidP="00A922C6">
            <w:pPr>
              <w:pStyle w:val="BodyText"/>
            </w:pPr>
            <w:r w:rsidRPr="00A922C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A922C6" w:rsidP="00A922C6">
            <w:pPr>
              <w:pStyle w:val="BodyText"/>
            </w:pPr>
            <w:r w:rsidRPr="00A922C6">
              <w:rPr>
                <w:rStyle w:val="SpecialBold"/>
              </w:rPr>
              <w:t>1</w:t>
            </w:r>
            <w:r w:rsidRPr="00A922C6">
              <w:t>)</w:t>
            </w:r>
          </w:p>
          <w:p w:rsidR="00000000" w:rsidP="00A922C6">
            <w:pPr>
              <w:pStyle w:val="BodyText"/>
              <w:rPr>
                <w:lang w:val="en-NZ"/>
              </w:rPr>
            </w:pPr>
            <w:r w:rsidRPr="00A922C6">
              <w:rPr>
                <w:rStyle w:val="SpecialBold"/>
              </w:rPr>
              <w:t>1</w:t>
            </w:r>
            <w:r w:rsidRPr="00A922C6">
              <w:t>.</w:t>
            </w:r>
            <w:r w:rsidRPr="00A922C6">
              <w:rPr>
                <w:rStyle w:val="SpecialBold"/>
              </w:rPr>
              <w:t>1</w:t>
            </w:r>
            <w:r w:rsidRPr="00A922C6">
              <w:t xml:space="preserve">) </w:t>
            </w:r>
            <w:r w:rsidRPr="00A922C6">
              <w:rPr>
                <w:rStyle w:val="SpecialBold"/>
              </w:rPr>
              <w:t>Descriptor</w:t>
            </w:r>
          </w:p>
        </w:tc>
      </w:tr>
      <w:tr w:rsidTr="008108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22C6" w:rsidP="00A922C6">
            <w:pPr>
              <w:pStyle w:val="BodyText"/>
            </w:pPr>
            <w:r w:rsidRPr="00A922C6">
              <w:t>This competency standard unit covers determining correct operation of single source parallel and series-parallel circuits and providing solutions as they apply to various electronic work functions. It encompasses working safely, problem solving procedures,</w:t>
            </w:r>
            <w:r w:rsidRPr="00A922C6">
              <w:t xml:space="preserve"> including the use of voltage, current and resistance measuring devices, providing solutions derived from measurements and calculations to predictable problems in multiple path circuit.</w:t>
            </w:r>
          </w:p>
        </w:tc>
      </w:tr>
    </w:tbl>
    <w:p w:rsidR="008108CF" w:rsidP="00A922C6">
      <w:pPr>
        <w:pStyle w:val="BodyText"/>
      </w:pPr>
    </w:p>
    <w:p w:rsidR="008108CF" w:rsidP="00A922C6">
      <w:pPr>
        <w:pStyle w:val="BodyText"/>
      </w:pPr>
    </w:p>
    <w:p w:rsidR="00000000" w:rsidRPr="00A922C6" w:rsidP="00A922C6">
      <w:pPr>
        <w:pStyle w:val="Heading1"/>
      </w:pPr>
      <w:bookmarkStart w:id="3" w:name="O_227025"/>
      <w:bookmarkEnd w:id="3"/>
      <w:r w:rsidRPr="00A922C6">
        <w:t>Application of the Unit</w:t>
      </w:r>
    </w:p>
    <w:tbl>
      <w:tblPr>
        <w:tblW w:w="0" w:type="auto"/>
        <w:tblLayout w:type="fixed"/>
        <w:tblCellMar>
          <w:left w:w="62" w:type="dxa"/>
          <w:right w:w="62" w:type="dxa"/>
        </w:tblCellMar>
        <w:tblLook w:val="0000"/>
      </w:tblPr>
      <w:tblGrid>
        <w:gridCol w:w="2700"/>
        <w:gridCol w:w="5760"/>
      </w:tblGrid>
      <w:tr w:rsidTr="008108C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22C6" w:rsidP="00A922C6">
            <w:pPr>
              <w:pStyle w:val="BodyText"/>
            </w:pPr>
            <w:r w:rsidRPr="00A922C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rPr>
                <w:rStyle w:val="SpecialBold"/>
              </w:rPr>
              <w:t>4</w:t>
            </w:r>
            <w:r w:rsidRPr="00A922C6">
              <w:t>)</w:t>
            </w:r>
          </w:p>
        </w:tc>
      </w:tr>
      <w:tr w:rsidTr="008108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22C6" w:rsidP="00A922C6">
            <w:pPr>
              <w:pStyle w:val="BodyText"/>
            </w:pPr>
            <w:r w:rsidRPr="00A922C6">
              <w:t>This competency standard unit is intended for competency development entry-level employment based programs incorporated in approved contracts of training or approved training programs.</w:t>
            </w:r>
          </w:p>
        </w:tc>
      </w:tr>
    </w:tbl>
    <w:p w:rsidR="008108CF" w:rsidP="00A922C6">
      <w:pPr>
        <w:pStyle w:val="BodyText"/>
      </w:pPr>
    </w:p>
    <w:p w:rsidR="008108CF" w:rsidP="00A922C6">
      <w:pPr>
        <w:pStyle w:val="BodyText"/>
      </w:pPr>
    </w:p>
    <w:p w:rsidR="00000000" w:rsidRPr="00A922C6" w:rsidP="00A922C6">
      <w:pPr>
        <w:pStyle w:val="Heading1"/>
      </w:pPr>
      <w:bookmarkStart w:id="4" w:name="O_227021"/>
      <w:bookmarkEnd w:id="4"/>
      <w:r w:rsidRPr="00A922C6">
        <w:t>Licensing/Regulatory Information</w:t>
      </w:r>
    </w:p>
    <w:tbl>
      <w:tblPr>
        <w:tblW w:w="0" w:type="auto"/>
        <w:tblLayout w:type="fixed"/>
        <w:tblCellMar>
          <w:left w:w="62" w:type="dxa"/>
          <w:right w:w="62" w:type="dxa"/>
        </w:tblCellMar>
        <w:tblLook w:val="0000"/>
      </w:tblPr>
      <w:tblGrid>
        <w:gridCol w:w="8460"/>
      </w:tblGrid>
      <w:tr w:rsidTr="008108C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rPr>
                <w:rStyle w:val="SpecialBold"/>
              </w:rPr>
              <w:t>1</w:t>
            </w:r>
            <w:r w:rsidRPr="00A922C6">
              <w:t>.</w:t>
            </w:r>
            <w:r w:rsidRPr="00A922C6">
              <w:rPr>
                <w:rStyle w:val="SpecialBold"/>
              </w:rPr>
              <w:t>2</w:t>
            </w:r>
            <w:r w:rsidRPr="00A922C6">
              <w:t xml:space="preserve">) </w:t>
            </w:r>
            <w:r w:rsidRPr="00A922C6">
              <w:rPr>
                <w:rStyle w:val="SpecialBold"/>
              </w:rPr>
              <w:t>License to practice</w:t>
            </w:r>
          </w:p>
        </w:tc>
      </w:tr>
      <w:tr w:rsidTr="008108C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922C6" w:rsidP="00A922C6">
            <w:pPr>
              <w:pStyle w:val="BodyText"/>
            </w:pPr>
            <w:r w:rsidRPr="00A922C6">
              <w:t>The skills and knowledge described in this unit requires a licence to practice in the workplace where plant and equipment is directly connected to installation wiring that operates at voltage above 50 V a.c. or 120 V d.c. However other</w:t>
            </w:r>
            <w:r w:rsidRPr="00A922C6">
              <w:t xml:space="preserve"> conditions may apply in some jurisdictions subject to regulations related to electrical work. Practice in the workplace and during training is also subject to regulations directly related to occupational health and safety and where applicable contracts of</w:t>
            </w:r>
            <w:r w:rsidRPr="00A922C6">
              <w:t xml:space="preserve"> training such as apprenticeships and the like.</w:t>
            </w:r>
          </w:p>
        </w:tc>
      </w:tr>
    </w:tbl>
    <w:p w:rsidR="008108CF" w:rsidP="00A922C6">
      <w:pPr>
        <w:pStyle w:val="BodyText"/>
      </w:pPr>
    </w:p>
    <w:p w:rsidR="008108CF" w:rsidP="00A922C6">
      <w:pPr>
        <w:pStyle w:val="BodyText"/>
      </w:pPr>
    </w:p>
    <w:p w:rsidR="00000000" w:rsidRPr="00A922C6" w:rsidP="00A922C6">
      <w:pPr>
        <w:pStyle w:val="Heading1"/>
      </w:pPr>
      <w:bookmarkStart w:id="5" w:name="O_227022"/>
      <w:bookmarkEnd w:id="5"/>
      <w:r w:rsidRPr="00A922C6">
        <w:t>Pre-Requisites</w:t>
      </w:r>
    </w:p>
    <w:tbl>
      <w:tblPr>
        <w:tblW w:w="0" w:type="auto"/>
        <w:tblLayout w:type="fixed"/>
        <w:tblCellMar>
          <w:left w:w="62" w:type="dxa"/>
          <w:right w:w="62" w:type="dxa"/>
        </w:tblCellMar>
        <w:tblLook w:val="0000"/>
      </w:tblPr>
      <w:tblGrid>
        <w:gridCol w:w="2700"/>
        <w:gridCol w:w="5760"/>
      </w:tblGrid>
      <w:tr w:rsidTr="008108C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22C6" w:rsidP="00A922C6">
            <w:pPr>
              <w:pStyle w:val="BodyText"/>
            </w:pPr>
            <w:r w:rsidRPr="00A922C6">
              <w:rPr>
                <w:rStyle w:val="SpecialBold"/>
              </w:rPr>
              <w:t>Prerequisite Unit</w:t>
            </w:r>
            <w:r w:rsidRPr="00A922C6">
              <w:t>(</w:t>
            </w:r>
            <w:r w:rsidRPr="00A922C6">
              <w:rPr>
                <w:rStyle w:val="SpecialBold"/>
              </w:rPr>
              <w:t>s</w:t>
            </w:r>
            <w:r w:rsidRPr="00A922C6">
              <w:t>)</w:t>
            </w:r>
          </w:p>
        </w:tc>
        <w:tc>
          <w:tcPr>
            <w:tcW w:w="576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rPr>
                <w:rStyle w:val="SpecialBold"/>
              </w:rPr>
              <w:t>2</w:t>
            </w:r>
            <w:r w:rsidRPr="00A922C6">
              <w:t>)</w:t>
            </w:r>
          </w:p>
        </w:tc>
      </w:tr>
      <w:tr w:rsidTr="008108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922C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rPr>
                <w:rStyle w:val="SpecialBold"/>
              </w:rPr>
              <w:t>2</w:t>
            </w:r>
            <w:r w:rsidRPr="00A922C6">
              <w:t>.</w:t>
            </w:r>
            <w:r w:rsidRPr="00A922C6">
              <w:rPr>
                <w:rStyle w:val="SpecialBold"/>
              </w:rPr>
              <w:t>1</w:t>
            </w:r>
            <w:r w:rsidRPr="00A922C6">
              <w:t xml:space="preserve">) </w:t>
            </w:r>
            <w:r w:rsidRPr="00A922C6">
              <w:rPr>
                <w:rStyle w:val="SpecialBold"/>
              </w:rPr>
              <w:t>Competencies</w:t>
            </w:r>
          </w:p>
        </w:tc>
      </w:tr>
      <w:tr w:rsidTr="008108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22C6" w:rsidP="00A922C6">
            <w:pPr>
              <w:pStyle w:val="BodyText"/>
            </w:pPr>
            <w:r w:rsidRPr="00A922C6">
              <w:t>There are no prerequisite competencies for this unit.</w:t>
            </w:r>
          </w:p>
        </w:tc>
      </w:tr>
    </w:tbl>
    <w:p w:rsidR="008108CF" w:rsidP="00A922C6">
      <w:pPr>
        <w:pStyle w:val="BodyText"/>
      </w:pPr>
    </w:p>
    <w:p w:rsidR="008108CF" w:rsidP="00A922C6">
      <w:pPr>
        <w:pStyle w:val="BodyText"/>
      </w:pPr>
    </w:p>
    <w:p w:rsidR="00000000" w:rsidRPr="00A922C6" w:rsidP="00A922C6">
      <w:pPr>
        <w:pStyle w:val="Heading1"/>
      </w:pPr>
      <w:bookmarkStart w:id="6" w:name="O_227024"/>
      <w:bookmarkEnd w:id="6"/>
      <w:r w:rsidRPr="00A922C6">
        <w:t>Employability Skills Information</w:t>
      </w:r>
    </w:p>
    <w:tbl>
      <w:tblPr>
        <w:tblW w:w="0" w:type="auto"/>
        <w:tblLayout w:type="fixed"/>
        <w:tblCellMar>
          <w:left w:w="62" w:type="dxa"/>
          <w:right w:w="62" w:type="dxa"/>
        </w:tblCellMar>
        <w:tblLook w:val="0000"/>
      </w:tblPr>
      <w:tblGrid>
        <w:gridCol w:w="2700"/>
        <w:gridCol w:w="5760"/>
      </w:tblGrid>
      <w:tr w:rsidTr="008108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922C6" w:rsidP="00A922C6">
            <w:pPr>
              <w:pStyle w:val="BodyText"/>
            </w:pPr>
            <w:r w:rsidRPr="00A922C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A922C6" w:rsidP="00A922C6">
            <w:pPr>
              <w:pStyle w:val="BodyText"/>
            </w:pPr>
            <w:r w:rsidRPr="00A922C6">
              <w:rPr>
                <w:rStyle w:val="SpecialBold"/>
              </w:rPr>
              <w:t>3</w:t>
            </w:r>
            <w:r w:rsidRPr="00A922C6">
              <w:t>)</w:t>
            </w:r>
          </w:p>
          <w:p w:rsidR="00000000" w:rsidRPr="00A922C6" w:rsidP="00A922C6">
            <w:pPr>
              <w:pStyle w:val="BodyText"/>
            </w:pPr>
            <w:r w:rsidRPr="00A922C6">
              <w:t>This unit contains Employability Skills</w:t>
            </w:r>
          </w:p>
          <w:p w:rsidR="00000000" w:rsidRPr="00A922C6" w:rsidP="00A922C6">
            <w:pPr>
              <w:pStyle w:val="BodyText"/>
            </w:pPr>
            <w:r w:rsidRPr="00A922C6">
              <w:t>The required outcomes described in this unit of competency contain applicable facets of Employability Skills. The Employability Skills Summary of the qualification in which this unit of competency is packaged wil</w:t>
            </w:r>
            <w:r w:rsidRPr="00A922C6">
              <w:t>l assist in identifying Employability Skill requirements.</w:t>
            </w:r>
          </w:p>
        </w:tc>
      </w:tr>
    </w:tbl>
    <w:p w:rsidR="008108CF" w:rsidP="00A922C6">
      <w:pPr>
        <w:pStyle w:val="BodyText"/>
      </w:pPr>
    </w:p>
    <w:p w:rsidR="008108CF" w:rsidP="00A922C6">
      <w:pPr>
        <w:pStyle w:val="BodyText"/>
      </w:pPr>
    </w:p>
    <w:p w:rsidR="00000000" w:rsidRPr="00A922C6" w:rsidP="00A922C6">
      <w:pPr>
        <w:pStyle w:val="Heading1"/>
      </w:pPr>
      <w:bookmarkStart w:id="7" w:name="O_292798"/>
      <w:bookmarkEnd w:id="7"/>
      <w:r w:rsidRPr="00A922C6">
        <w:t>Elements and Performance Criteria Pre-Content</w:t>
      </w:r>
    </w:p>
    <w:tbl>
      <w:tblPr>
        <w:tblW w:w="0" w:type="auto"/>
        <w:tblLayout w:type="fixed"/>
        <w:tblCellMar>
          <w:left w:w="62" w:type="dxa"/>
          <w:right w:w="62" w:type="dxa"/>
        </w:tblCellMar>
        <w:tblLook w:val="0000"/>
      </w:tblPr>
      <w:tblGrid>
        <w:gridCol w:w="2700"/>
        <w:gridCol w:w="5760"/>
      </w:tblGrid>
      <w:tr w:rsidTr="008108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rPr>
                <w:rStyle w:val="SpecialBold"/>
              </w:rPr>
              <w:t>6</w:t>
            </w:r>
            <w:r w:rsidRPr="00A922C6">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A922C6" w:rsidP="00A922C6">
            <w:pPr>
              <w:pStyle w:val="BodyText"/>
            </w:pPr>
            <w:r w:rsidRPr="00A922C6">
              <w:t>Performance criteria describe the required performance needed to demonstrate achievement of the element. Assessment of performance is to be consistent with the evidence guide.</w:t>
            </w:r>
          </w:p>
        </w:tc>
      </w:tr>
    </w:tbl>
    <w:p w:rsidR="00000000" w:rsidRPr="00A922C6" w:rsidP="00A922C6">
      <w:pPr>
        <w:pStyle w:val="BodyText"/>
      </w:pPr>
    </w:p>
    <w:p w:rsidR="00000000" w:rsidRPr="00A922C6" w:rsidP="00A922C6">
      <w:pPr>
        <w:pStyle w:val="AllowPageBreak"/>
      </w:pPr>
    </w:p>
    <w:p w:rsidR="00000000" w:rsidRPr="00A922C6" w:rsidP="00A922C6">
      <w:pPr>
        <w:pStyle w:val="Heading1"/>
      </w:pPr>
      <w:bookmarkStart w:id="8" w:name="O_239466"/>
      <w:bookmarkEnd w:id="8"/>
      <w:r w:rsidRPr="00A922C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108C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922C6" w:rsidP="00A922C6">
            <w:pPr>
              <w:pStyle w:val="BodyText"/>
            </w:pPr>
            <w:r w:rsidRPr="00A922C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rPr>
                <w:rStyle w:val="SpecialBold"/>
              </w:rPr>
              <w:t>PERFORMANCE CRITER</w:t>
            </w:r>
            <w:r w:rsidRPr="00A922C6">
              <w:rPr>
                <w:rStyle w:val="SpecialBold"/>
              </w:rPr>
              <w:t>IA</w:t>
            </w:r>
          </w:p>
        </w:tc>
      </w:tr>
      <w:tr w:rsidTr="008108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1</w:t>
            </w:r>
          </w:p>
        </w:tc>
        <w:tc>
          <w:tcPr>
            <w:tcW w:w="2296" w:type="dxa"/>
            <w:vMerge w:val="restart"/>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Prepare to work on electronic circuits.</w:t>
            </w:r>
          </w:p>
        </w:tc>
        <w:tc>
          <w:tcPr>
            <w:tcW w:w="90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1.1</w:t>
            </w:r>
          </w:p>
        </w:tc>
        <w:tc>
          <w:tcPr>
            <w:tcW w:w="486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OHS procedures for a given work area are obtained and understood.</w:t>
            </w:r>
          </w:p>
        </w:tc>
      </w:tr>
      <w:tr w:rsidTr="008108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1.2</w:t>
            </w:r>
          </w:p>
        </w:tc>
        <w:tc>
          <w:tcPr>
            <w:tcW w:w="486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OHS risk control work preparation measures and procedures are followed.</w:t>
            </w:r>
          </w:p>
        </w:tc>
      </w:tr>
      <w:tr w:rsidTr="008108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1.3</w:t>
            </w:r>
          </w:p>
        </w:tc>
        <w:tc>
          <w:tcPr>
            <w:tcW w:w="486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The nature of the circuit(s) problem is obtained from documentation or from work supervisor to establish the scope of work to be undertaken.</w:t>
            </w:r>
          </w:p>
        </w:tc>
      </w:tr>
      <w:tr w:rsidTr="008108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1.4</w:t>
            </w:r>
          </w:p>
        </w:tc>
        <w:tc>
          <w:tcPr>
            <w:tcW w:w="486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Advice is sought from the work supervisor to ensure the work is co-ordinated effectively with others.</w:t>
            </w:r>
          </w:p>
        </w:tc>
      </w:tr>
      <w:tr w:rsidTr="008108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1.5</w:t>
            </w:r>
          </w:p>
        </w:tc>
        <w:tc>
          <w:tcPr>
            <w:tcW w:w="486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Sources of materials that may be required for the work are established in accordance with established procedures.</w:t>
            </w:r>
          </w:p>
        </w:tc>
      </w:tr>
      <w:tr w:rsidTr="008108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1.6</w:t>
            </w:r>
          </w:p>
        </w:tc>
        <w:tc>
          <w:tcPr>
            <w:tcW w:w="486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Tools, equipment and testing devices needed to carry out the work are obtained and checked for correct operation and safety.</w:t>
            </w:r>
          </w:p>
        </w:tc>
      </w:tr>
      <w:tr w:rsidTr="008108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2</w:t>
            </w:r>
          </w:p>
        </w:tc>
        <w:tc>
          <w:tcPr>
            <w:tcW w:w="2296"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 xml:space="preserve">Solve electronic circuit problems. </w:t>
            </w:r>
          </w:p>
        </w:tc>
        <w:tc>
          <w:tcPr>
            <w:tcW w:w="90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2.1</w:t>
            </w:r>
          </w:p>
        </w:tc>
        <w:tc>
          <w:tcPr>
            <w:tcW w:w="486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OHS risk control work measures and procedures are followed.</w:t>
            </w:r>
          </w:p>
        </w:tc>
      </w:tr>
      <w:tr w:rsidTr="008108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2.2</w:t>
            </w:r>
          </w:p>
        </w:tc>
        <w:tc>
          <w:tcPr>
            <w:tcW w:w="486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The need to test or measure live is determined in strict accordance with OHS requirements and when necessary conducted within established safety proc</w:t>
            </w:r>
            <w:r w:rsidRPr="00A922C6">
              <w:t>edures.</w:t>
            </w:r>
          </w:p>
        </w:tc>
      </w:tr>
      <w:tr w:rsidTr="008108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2.3</w:t>
            </w:r>
          </w:p>
        </w:tc>
        <w:tc>
          <w:tcPr>
            <w:tcW w:w="486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Circuits are checked as being isolated where necessary in strict accordance OHS requirements and procedures.</w:t>
            </w:r>
          </w:p>
        </w:tc>
      </w:tr>
      <w:tr w:rsidTr="008108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2.4</w:t>
            </w:r>
          </w:p>
        </w:tc>
        <w:tc>
          <w:tcPr>
            <w:tcW w:w="486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Established methods are used to solving circuit problems from m</w:t>
            </w:r>
            <w:r w:rsidRPr="00A922C6">
              <w:t>easure and calculated values as they apply to electronic circuit.</w:t>
            </w:r>
          </w:p>
        </w:tc>
      </w:tr>
      <w:tr w:rsidTr="008108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2.5</w:t>
            </w:r>
          </w:p>
        </w:tc>
        <w:tc>
          <w:tcPr>
            <w:tcW w:w="486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Unexpected situations are dealt with safely and with the approval of an authorised person.</w:t>
            </w:r>
          </w:p>
        </w:tc>
      </w:tr>
      <w:tr w:rsidTr="008108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2.6</w:t>
            </w:r>
          </w:p>
        </w:tc>
        <w:tc>
          <w:tcPr>
            <w:tcW w:w="486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Problems are solved without unnecessary damage to apparatus, circuits, the surroundin</w:t>
            </w:r>
            <w:r w:rsidRPr="00A922C6">
              <w:t>g environment or services and using sustainable energy practices.</w:t>
            </w:r>
          </w:p>
        </w:tc>
      </w:tr>
      <w:tr w:rsidTr="008108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3</w:t>
            </w:r>
          </w:p>
        </w:tc>
        <w:tc>
          <w:tcPr>
            <w:tcW w:w="2296" w:type="dxa"/>
            <w:vMerge w:val="restart"/>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Complete work and document problem solving activities.</w:t>
            </w:r>
          </w:p>
        </w:tc>
        <w:tc>
          <w:tcPr>
            <w:tcW w:w="90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3.1</w:t>
            </w:r>
          </w:p>
        </w:tc>
        <w:tc>
          <w:tcPr>
            <w:tcW w:w="486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OHS work completion risk control measures and procedures are followed.</w:t>
            </w:r>
          </w:p>
        </w:tc>
      </w:tr>
      <w:tr w:rsidTr="008108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3.2</w:t>
            </w:r>
          </w:p>
        </w:tc>
        <w:tc>
          <w:tcPr>
            <w:tcW w:w="486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Work site is cleaned and made safe in accordance with established procedures.</w:t>
            </w:r>
          </w:p>
        </w:tc>
      </w:tr>
      <w:tr w:rsidTr="008108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3.3</w:t>
            </w:r>
          </w:p>
        </w:tc>
        <w:tc>
          <w:tcPr>
            <w:tcW w:w="486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Justification for solutions used to solve circuit problems is documented.</w:t>
            </w:r>
          </w:p>
        </w:tc>
      </w:tr>
      <w:tr w:rsidTr="008108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3.4</w:t>
            </w:r>
          </w:p>
        </w:tc>
        <w:tc>
          <w:tcPr>
            <w:tcW w:w="4860" w:type="dxa"/>
            <w:tcBorders>
              <w:top w:val="nil"/>
              <w:left w:val="nil"/>
              <w:bottom w:val="nil"/>
              <w:right w:val="nil"/>
            </w:tcBorders>
            <w:tcMar>
              <w:top w:w="0" w:type="dxa"/>
              <w:left w:w="62" w:type="dxa"/>
              <w:bottom w:w="0" w:type="dxa"/>
              <w:right w:w="62" w:type="dxa"/>
            </w:tcMar>
          </w:tcPr>
          <w:p w:rsidR="00000000" w:rsidRPr="00A922C6" w:rsidP="00A922C6">
            <w:pPr>
              <w:pStyle w:val="BodyText"/>
            </w:pPr>
            <w:r w:rsidRPr="00A922C6">
              <w:t xml:space="preserve">Work completion is documented and an appropriate person or persons notified in accordance </w:t>
            </w:r>
            <w:r w:rsidRPr="00A922C6">
              <w:t>with established procedures.</w:t>
            </w:r>
          </w:p>
        </w:tc>
      </w:tr>
    </w:tbl>
    <w:p w:rsidR="008108CF" w:rsidP="00A922C6">
      <w:pPr>
        <w:pStyle w:val="BodyText"/>
      </w:pPr>
    </w:p>
    <w:p w:rsidR="008108CF" w:rsidP="00A922C6">
      <w:pPr>
        <w:pStyle w:val="BodyText"/>
      </w:pPr>
    </w:p>
    <w:p w:rsidR="00000000" w:rsidRPr="00A922C6" w:rsidP="00A922C6">
      <w:pPr>
        <w:pStyle w:val="Heading1"/>
      </w:pPr>
      <w:bookmarkStart w:id="9" w:name="O_263257"/>
      <w:bookmarkEnd w:id="9"/>
      <w:r w:rsidRPr="00A922C6">
        <w:t>Required Skills and Knowledge</w:t>
      </w:r>
    </w:p>
    <w:tbl>
      <w:tblPr>
        <w:tblW w:w="0" w:type="auto"/>
        <w:tblLayout w:type="fixed"/>
        <w:tblCellMar>
          <w:left w:w="62" w:type="dxa"/>
          <w:right w:w="62" w:type="dxa"/>
        </w:tblCellMar>
        <w:tblLook w:val="0000"/>
      </w:tblPr>
      <w:tblGrid>
        <w:gridCol w:w="2700"/>
        <w:gridCol w:w="1080"/>
        <w:gridCol w:w="4680"/>
      </w:tblGrid>
      <w:tr w:rsidTr="008108CF">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rPr>
                <w:rStyle w:val="SpecialBold"/>
              </w:rPr>
              <w:t>REQUIRED SKILLS AND KNOWLEDGE</w:t>
            </w:r>
          </w:p>
        </w:tc>
      </w:tr>
      <w:tr w:rsidTr="008108C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rPr>
                <w:rStyle w:val="SpecialBold"/>
              </w:rPr>
              <w:t>7</w:t>
            </w:r>
            <w:r w:rsidRPr="00A922C6">
              <w:t>) This describes the essential skills and knowledge and their level, required for this unit.</w:t>
            </w:r>
          </w:p>
        </w:tc>
      </w:tr>
      <w:tr w:rsidTr="008108C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A922C6" w:rsidP="00A922C6">
            <w:pPr>
              <w:pStyle w:val="BodyText"/>
            </w:pPr>
            <w:r w:rsidRPr="00A922C6">
              <w:t>Evidence shall show that knowledge has been acquired of safe working practices and solving problems in electronic circuits.</w:t>
            </w:r>
          </w:p>
          <w:p w:rsidR="00000000" w:rsidRPr="00A922C6" w:rsidP="00A922C6">
            <w:pPr>
              <w:pStyle w:val="BodyText"/>
            </w:pPr>
            <w:r w:rsidRPr="00A922C6">
              <w:t>All knowledge and skills detailed in this unit should be contextualised to current industry practices and technologies.</w:t>
            </w:r>
          </w:p>
          <w:p w:rsidR="00000000" w:rsidP="00A922C6">
            <w:pPr>
              <w:pStyle w:val="BodyText"/>
              <w:rPr>
                <w:lang w:val="en-NZ"/>
              </w:rPr>
            </w:pPr>
            <w:r w:rsidRPr="00A922C6">
              <w:t>The extent o</w:t>
            </w:r>
            <w:r w:rsidRPr="00A922C6">
              <w:t>f the essential knowledge and associated skills (EKAS) required is given in Volume 2 - Part 2.2 EKAS.  It forms an integral part of this unit.</w:t>
            </w:r>
          </w:p>
        </w:tc>
      </w:tr>
      <w:tr w:rsidTr="008108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2.8.1.4</w:t>
            </w:r>
          </w:p>
        </w:tc>
        <w:tc>
          <w:tcPr>
            <w:tcW w:w="468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Circuits principles</w:t>
            </w:r>
          </w:p>
        </w:tc>
      </w:tr>
      <w:tr w:rsidTr="008108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2.11.5</w:t>
            </w:r>
          </w:p>
        </w:tc>
        <w:tc>
          <w:tcPr>
            <w:tcW w:w="468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Basic electrical testing and measuring devices and techniques</w:t>
            </w:r>
          </w:p>
        </w:tc>
      </w:tr>
      <w:tr w:rsidTr="008108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2.18.1</w:t>
            </w:r>
          </w:p>
        </w:tc>
        <w:tc>
          <w:tcPr>
            <w:tcW w:w="4680" w:type="dxa"/>
            <w:tcBorders>
              <w:top w:val="nil"/>
              <w:left w:val="nil"/>
              <w:bottom w:val="nil"/>
              <w:right w:val="nil"/>
            </w:tcBorders>
            <w:tcMar>
              <w:top w:w="0" w:type="dxa"/>
              <w:left w:w="62" w:type="dxa"/>
              <w:bottom w:w="0" w:type="dxa"/>
              <w:right w:w="62" w:type="dxa"/>
            </w:tcMar>
          </w:tcPr>
          <w:p w:rsidR="00000000" w:rsidRPr="00A922C6" w:rsidP="00A922C6">
            <w:pPr>
              <w:pStyle w:val="BodyText"/>
            </w:pPr>
            <w:r w:rsidRPr="00A922C6">
              <w:t>Occupational Health and Safety principles</w:t>
            </w:r>
          </w:p>
        </w:tc>
      </w:tr>
    </w:tbl>
    <w:p w:rsidR="008108CF" w:rsidP="00A922C6">
      <w:pPr>
        <w:pStyle w:val="BodyText"/>
      </w:pPr>
    </w:p>
    <w:p w:rsidR="008108CF" w:rsidP="00A922C6">
      <w:pPr>
        <w:pStyle w:val="BodyText"/>
      </w:pPr>
    </w:p>
    <w:p w:rsidR="00000000" w:rsidRPr="00A922C6" w:rsidP="00A922C6">
      <w:pPr>
        <w:pStyle w:val="Heading1"/>
      </w:pPr>
      <w:bookmarkStart w:id="10" w:name="O_247450"/>
      <w:bookmarkEnd w:id="10"/>
      <w:r w:rsidRPr="00A922C6">
        <w:t>Evidence Guide</w:t>
      </w:r>
    </w:p>
    <w:tbl>
      <w:tblPr>
        <w:tblW w:w="0" w:type="auto"/>
        <w:tblLayout w:type="fixed"/>
        <w:tblCellMar>
          <w:left w:w="62" w:type="dxa"/>
          <w:right w:w="62" w:type="dxa"/>
        </w:tblCellMar>
        <w:tblLook w:val="0000"/>
      </w:tblPr>
      <w:tblGrid>
        <w:gridCol w:w="2160"/>
        <w:gridCol w:w="720"/>
        <w:gridCol w:w="540"/>
        <w:gridCol w:w="5040"/>
      </w:tblGrid>
      <w:tr w:rsidTr="008108CF">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rPr>
                <w:rStyle w:val="SpecialBold"/>
              </w:rPr>
              <w:t>EVIDENCE GUIDE</w:t>
            </w:r>
          </w:p>
        </w:tc>
      </w:tr>
      <w:tr w:rsidTr="008108CF">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A922C6" w:rsidP="00A922C6">
            <w:pPr>
              <w:pStyle w:val="BodyText"/>
            </w:pPr>
            <w:r w:rsidRPr="00A922C6">
              <w:rPr>
                <w:rStyle w:val="SpecialBold"/>
              </w:rPr>
              <w:t>9</w:t>
            </w:r>
            <w:r w:rsidRPr="00A922C6">
              <w:t>) The evidence guide provides advice on assessment and must be read in conjunction with the Performance Criteria, Required Skills and Knowledge, the Range Stat</w:t>
            </w:r>
            <w:r w:rsidRPr="00A922C6">
              <w:t>ement and the Assessment Guidelines for this Training Package..</w:t>
            </w:r>
          </w:p>
          <w:p w:rsidR="00000000" w:rsidP="00A922C6">
            <w:pPr>
              <w:pStyle w:val="BodyText"/>
              <w:rPr>
                <w:lang w:val="en-NZ"/>
              </w:rPr>
            </w:pPr>
            <w:r w:rsidRPr="00A922C6">
              <w:t>The Evidence Guide forms an integral part of this Competency Standard Unit and shall be used in conjunction with all components parts of this unit and, performed in accordance with the Assessm</w:t>
            </w:r>
            <w:r w:rsidRPr="00A922C6">
              <w:t>ent Guidelines of this Training Package.</w:t>
            </w:r>
          </w:p>
        </w:tc>
      </w:tr>
      <w:tr w:rsidTr="008108C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922C6" w:rsidP="00A922C6">
            <w:pPr>
              <w:pStyle w:val="BodyText"/>
            </w:pPr>
            <w:r w:rsidRPr="00A922C6">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922C6" w:rsidP="00A922C6">
            <w:pPr>
              <w:pStyle w:val="BodyText"/>
            </w:pPr>
            <w:r w:rsidRPr="00A922C6">
              <w:rPr>
                <w:rStyle w:val="SpecialBold"/>
              </w:rPr>
              <w:t>9</w:t>
            </w:r>
            <w:r w:rsidRPr="00A922C6">
              <w:t>.</w:t>
            </w:r>
            <w:r w:rsidRPr="00A922C6">
              <w:rPr>
                <w:rStyle w:val="SpecialBold"/>
              </w:rPr>
              <w:t>1</w:t>
            </w:r>
            <w:r w:rsidRPr="00A922C6">
              <w:t xml:space="preserve">) </w:t>
            </w:r>
          </w:p>
          <w:p w:rsidR="00000000" w:rsidRPr="00A922C6" w:rsidP="00A922C6">
            <w:pPr>
              <w:pStyle w:val="BodyText"/>
            </w:pPr>
            <w:r w:rsidRPr="00A922C6">
              <w:t>Longitudinal competency development approaches to assessment, such as Profiling, require data to be reliably gathered in a form that can be consistently interpreted over time. This approach is best utilised in Apprenticeship programs and reduces assessment</w:t>
            </w:r>
            <w:r w:rsidRPr="00A922C6">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A922C6">
              <w:t>tency in a realistically simulated work environment. It is recognised that, in some circumstances, assessment in part or full can occur outside the workplace. However, it must be in accord with Industry and, Regulatory policy in this regard.</w:t>
            </w:r>
          </w:p>
          <w:p w:rsidR="00000000" w:rsidRPr="00A922C6" w:rsidP="00A922C6">
            <w:pPr>
              <w:pStyle w:val="BodyText"/>
            </w:pPr>
            <w:r w:rsidRPr="00A922C6">
              <w:t>Methods chosen</w:t>
            </w:r>
            <w:r w:rsidRPr="00A922C6">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A922C6">
              <w:t>equired and the critical nature of the competencies being assessed.</w:t>
            </w:r>
          </w:p>
          <w:p w:rsidR="00000000" w:rsidRPr="00A922C6" w:rsidP="00A922C6">
            <w:pPr>
              <w:pStyle w:val="BodyText"/>
            </w:pPr>
            <w:r w:rsidRPr="00A922C6">
              <w:t>The critical safety nature of working with electricity, electrical equipment, gas or any other hazardous substance/material carries risk in deeming a person competent. Hence, sources of ev</w:t>
            </w:r>
            <w:r w:rsidRPr="00A922C6">
              <w:t>idence need to be 'rich' in nature so as to minimise error in judgment.</w:t>
            </w:r>
          </w:p>
          <w:p w:rsidR="00000000" w:rsidP="00A922C6">
            <w:pPr>
              <w:pStyle w:val="BodyText"/>
              <w:rPr>
                <w:lang w:val="en-NZ"/>
              </w:rPr>
            </w:pPr>
            <w:r w:rsidRPr="00A922C6">
              <w:t>Activities associated with normal every day work have a bearing on the decision as to how much and how detailed the data gathered will contribute to its 'richness'. Some skills are mor</w:t>
            </w:r>
            <w:r w:rsidRPr="00A922C6">
              <w:t>e critical to safety and operational requirements while the same skills may be more or less frequently practiced. These points are raised for the assessors to consider when choosing an assessment method and developing assessment instruments. Sample assessm</w:t>
            </w:r>
            <w:r w:rsidRPr="00A922C6">
              <w:t>ent instruments are included for Assessors in the Assessment Guidelines of this Training Package.</w:t>
            </w:r>
          </w:p>
        </w:tc>
      </w:tr>
      <w:tr w:rsidTr="008108C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922C6" w:rsidP="00A922C6">
            <w:pPr>
              <w:pStyle w:val="BodyText"/>
            </w:pPr>
            <w:r w:rsidRPr="00A922C6">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A922C6" w:rsidP="00A922C6">
            <w:pPr>
              <w:pStyle w:val="BodyText"/>
            </w:pPr>
            <w:r w:rsidRPr="00A922C6">
              <w:rPr>
                <w:rStyle w:val="SpecialBold"/>
              </w:rPr>
              <w:t>9</w:t>
            </w:r>
            <w:r w:rsidRPr="00A922C6">
              <w:t>.</w:t>
            </w:r>
            <w:r w:rsidRPr="00A922C6">
              <w:rPr>
                <w:rStyle w:val="SpecialBold"/>
              </w:rPr>
              <w:t>2</w:t>
            </w:r>
            <w:r w:rsidRPr="00A922C6">
              <w:t xml:space="preserve">) </w:t>
            </w:r>
          </w:p>
          <w:p w:rsidR="00000000" w:rsidP="00A922C6">
            <w:pPr>
              <w:pStyle w:val="BodyText"/>
              <w:rPr>
                <w:lang w:val="en-NZ"/>
              </w:rPr>
            </w:pPr>
            <w:r w:rsidRPr="00A922C6">
              <w:t>Before the critical aspects of evidence are considered all prerequisites</w:t>
            </w:r>
            <w:r w:rsidRPr="00A922C6">
              <w:t xml:space="preserve"> shall be met.</w:t>
            </w:r>
          </w:p>
        </w:tc>
      </w:tr>
      <w:tr w:rsidTr="008108C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922C6" w:rsidP="00A922C6">
            <w:pPr>
              <w:pStyle w:val="BodyText"/>
            </w:pPr>
            <w:r w:rsidRPr="00A922C6">
              <w:t xml:space="preserve">Evidence for competence in this unit shall be considered holistically.  Each element and associated performance criteria shall be demonstrated </w:t>
            </w:r>
            <w:r w:rsidRPr="00A922C6">
              <w:t>on at least two occasions in accordance with the "Assessment Guidelines - UEE07".  Evidence shall also comprise:</w:t>
            </w:r>
          </w:p>
          <w:p w:rsidR="00000000" w:rsidP="00A922C6">
            <w:pPr>
              <w:pStyle w:val="BodyText"/>
              <w:rPr>
                <w:lang w:val="en-NZ"/>
              </w:rPr>
            </w:pPr>
            <w:r w:rsidRPr="00A922C6">
              <w:t>A representative body of work performance demonstrated within the timeframes typically expected of the discipline, work function and industrial</w:t>
            </w:r>
            <w:r w:rsidRPr="00A922C6">
              <w:t xml:space="preserve"> environment. In particular this shall incorporate evidence that shows a candidate is able to:</w:t>
            </w:r>
          </w:p>
        </w:tc>
      </w:tr>
      <w:tr w:rsidTr="008108C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922C6" w:rsidP="00A922C6">
            <w:pPr>
              <w:pStyle w:val="ListBullet2"/>
            </w:pPr>
            <w:r w:rsidRPr="00A922C6">
              <w:t>Implement Occupational Health and Safety workplace procedures and practices including the use of risk control measures as specified in the performance crite</w:t>
            </w:r>
            <w:r w:rsidRPr="00A922C6">
              <w:t>ria and range; and</w:t>
            </w:r>
          </w:p>
          <w:p w:rsidR="00000000" w:rsidRPr="00A922C6" w:rsidP="00A922C6">
            <w:pPr>
              <w:pStyle w:val="ListBullet2"/>
            </w:pPr>
            <w:r w:rsidRPr="00A922C6">
              <w:t>Apply sustainable energy principles and practices as specified in the performance criteria and range; and</w:t>
            </w:r>
          </w:p>
          <w:p w:rsidR="00000000" w:rsidRPr="00A922C6" w:rsidP="00A922C6">
            <w:pPr>
              <w:pStyle w:val="ListBullet2"/>
            </w:pPr>
            <w:r w:rsidRPr="00A922C6">
              <w:t>Demonstrate an understanding of the essential knowledge and associated skills as described in this unit.  It may be required by some jurisdictions that RTOs provide a percentile graded result for the purpose of regulatory or licensing requirements. and</w:t>
            </w:r>
          </w:p>
          <w:p w:rsidR="00000000" w:rsidRPr="00A922C6" w:rsidP="00A922C6">
            <w:pPr>
              <w:pStyle w:val="ListBullet2"/>
            </w:pPr>
            <w:r w:rsidRPr="00A922C6">
              <w:t>Dem</w:t>
            </w:r>
            <w:r w:rsidRPr="00A922C6">
              <w:t>onstrate an appropriate level of skills enabling employment; and</w:t>
            </w:r>
          </w:p>
          <w:p w:rsidR="00000000" w:rsidP="00A922C6">
            <w:pPr>
              <w:pStyle w:val="ListBullet2"/>
              <w:rPr>
                <w:lang w:val="en-NZ"/>
              </w:rPr>
            </w:pPr>
            <w:r w:rsidRPr="00A922C6">
              <w:t>Conduct work observing the relevant Anti Discrimination legislation, regulations, polices and workplace procedures; and</w:t>
            </w:r>
          </w:p>
        </w:tc>
      </w:tr>
      <w:tr w:rsidTr="008108C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Demonstrated consistent performance across a representative range o</w:t>
            </w:r>
            <w:r w:rsidRPr="00A922C6">
              <w:t>f contexts from the prescribed items below:</w:t>
            </w:r>
          </w:p>
        </w:tc>
      </w:tr>
      <w:tr w:rsidTr="008108C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922C6">
            <w:pPr>
              <w:pStyle w:val="ListBullet2"/>
              <w:rPr>
                <w:lang w:val="en-NZ"/>
              </w:rPr>
            </w:pPr>
            <w:r w:rsidRPr="00A922C6">
              <w:t>Solving problems in electronic circuits as described in 8) and including:</w:t>
            </w:r>
          </w:p>
        </w:tc>
      </w:tr>
      <w:tr w:rsidTr="008108C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A</w:t>
            </w:r>
          </w:p>
        </w:tc>
        <w:tc>
          <w:tcPr>
            <w:tcW w:w="504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Determining the operating parameters of an existing circuit.</w:t>
            </w:r>
          </w:p>
        </w:tc>
      </w:tr>
      <w:tr w:rsidTr="008108C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B</w:t>
            </w:r>
          </w:p>
        </w:tc>
        <w:tc>
          <w:tcPr>
            <w:tcW w:w="504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Alternating an existing circuit to comply with specified operating parameters.</w:t>
            </w:r>
          </w:p>
        </w:tc>
      </w:tr>
      <w:tr w:rsidTr="008108C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C</w:t>
            </w:r>
          </w:p>
        </w:tc>
        <w:tc>
          <w:tcPr>
            <w:tcW w:w="504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Developing circuits to comply with a specified function and operating parameters.</w:t>
            </w:r>
          </w:p>
        </w:tc>
      </w:tr>
      <w:tr w:rsidTr="008108C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D</w:t>
            </w:r>
          </w:p>
        </w:tc>
        <w:tc>
          <w:tcPr>
            <w:tcW w:w="504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Dealing with unplanned events by drawing on essential knowledge and skills to provide</w:t>
            </w:r>
            <w:r w:rsidRPr="00A922C6">
              <w:t xml:space="preserve"> appropriate solutions incorporated in the holistic assessment with the above listed items.</w:t>
            </w:r>
          </w:p>
        </w:tc>
      </w:tr>
      <w:tr w:rsidTr="008108C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922C6" w:rsidP="00A922C6">
            <w:pPr>
              <w:pStyle w:val="BodyText"/>
            </w:pPr>
            <w:r w:rsidRPr="00A922C6">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922C6" w:rsidP="00A922C6">
            <w:pPr>
              <w:pStyle w:val="BodyText"/>
            </w:pPr>
            <w:r w:rsidRPr="00A922C6">
              <w:rPr>
                <w:rStyle w:val="SpecialBold"/>
              </w:rPr>
              <w:t>9</w:t>
            </w:r>
            <w:r w:rsidRPr="00A922C6">
              <w:t>.</w:t>
            </w:r>
            <w:r w:rsidRPr="00A922C6">
              <w:rPr>
                <w:rStyle w:val="SpecialBold"/>
              </w:rPr>
              <w:t>3</w:t>
            </w:r>
            <w:r w:rsidRPr="00A922C6">
              <w:t xml:space="preserve">) </w:t>
            </w:r>
          </w:p>
          <w:p w:rsidR="00000000" w:rsidRPr="00A922C6" w:rsidP="00A922C6">
            <w:pPr>
              <w:pStyle w:val="BodyText"/>
            </w:pPr>
            <w:r w:rsidRPr="00A922C6">
              <w:t>This unit should be assessed as it relates to normal work practice using procedures, information and resourc</w:t>
            </w:r>
            <w:r w:rsidRPr="00A922C6">
              <w:t>es typical of a workplace. This should include:</w:t>
            </w:r>
          </w:p>
          <w:p w:rsidR="00000000" w:rsidRPr="00A922C6" w:rsidP="00A922C6">
            <w:pPr>
              <w:pStyle w:val="BodyText"/>
            </w:pPr>
            <w:r w:rsidRPr="00A922C6">
              <w:t>OHS policy and work procedures and instructions.</w:t>
            </w:r>
          </w:p>
          <w:p w:rsidR="00000000" w:rsidRPr="00A922C6" w:rsidP="00A922C6">
            <w:pPr>
              <w:pStyle w:val="ListBullet2"/>
            </w:pPr>
            <w:r w:rsidRPr="00A922C6">
              <w:t>Suitable work environment, facilities, equipment and materials to undertake actual work as prescribed by this competency standard unit.</w:t>
            </w:r>
          </w:p>
          <w:p w:rsidR="00000000" w:rsidRPr="00A922C6" w:rsidP="00A922C6">
            <w:pPr>
              <w:pStyle w:val="BodyText"/>
            </w:pPr>
            <w:r w:rsidRPr="00A922C6">
              <w:t>Resources required to assess this unit are listed above in Context of assessment', which should also be used in the formal learning/assessment environment.</w:t>
            </w:r>
          </w:p>
          <w:p w:rsidR="00000000" w:rsidRPr="00A922C6" w:rsidP="00A922C6">
            <w:pPr>
              <w:pStyle w:val="BodyText"/>
            </w:pPr>
            <w:r w:rsidRPr="00A922C6">
              <w:t>Note:</w:t>
            </w:r>
          </w:p>
          <w:p w:rsidR="00000000" w:rsidP="00A922C6">
            <w:pPr>
              <w:pStyle w:val="BodyText"/>
              <w:rPr>
                <w:lang w:val="en-NZ"/>
              </w:rPr>
            </w:pPr>
            <w:r w:rsidRPr="00A922C6">
              <w:t>Where simulation is considered a suitable strategy for assessment it must ensure that the cond</w:t>
            </w:r>
            <w:r w:rsidRPr="00A922C6">
              <w:t>itions for assessment are authentic and as far as possible reproduce and replicate the workplace and is consistent with the approved industry simulation policy.</w:t>
            </w:r>
          </w:p>
        </w:tc>
      </w:tr>
      <w:tr w:rsidTr="008108C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 xml:space="preserve">The resources used for assessment should reflect current industry practices in relation to </w:t>
            </w:r>
            <w:r w:rsidRPr="00A922C6">
              <w:t>in solving problems in electronic circuits.</w:t>
            </w:r>
          </w:p>
        </w:tc>
      </w:tr>
      <w:tr w:rsidTr="008108C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922C6" w:rsidP="00A922C6">
            <w:pPr>
              <w:pStyle w:val="BodyText"/>
            </w:pPr>
            <w:r w:rsidRPr="00A922C6">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922C6" w:rsidP="00A922C6">
            <w:pPr>
              <w:pStyle w:val="BodyText"/>
            </w:pPr>
            <w:r w:rsidRPr="00A922C6">
              <w:rPr>
                <w:rStyle w:val="SpecialBold"/>
              </w:rPr>
              <w:t>9</w:t>
            </w:r>
            <w:r w:rsidRPr="00A922C6">
              <w:t>.</w:t>
            </w:r>
            <w:r w:rsidRPr="00A922C6">
              <w:rPr>
                <w:rStyle w:val="SpecialBold"/>
              </w:rPr>
              <w:t>4</w:t>
            </w:r>
            <w:r w:rsidRPr="00A922C6">
              <w:t xml:space="preserve">) </w:t>
            </w:r>
          </w:p>
          <w:p w:rsidR="00000000" w:rsidRPr="00A922C6" w:rsidP="00A922C6">
            <w:pPr>
              <w:pStyle w:val="BodyText"/>
            </w:pPr>
            <w:r w:rsidRPr="00A922C6">
              <w:t>This competency standard unit shall be assessed by methods given in Volume 1, Part 3 "Assessment Guidelines".</w:t>
            </w:r>
          </w:p>
          <w:p w:rsidR="00000000" w:rsidP="00A922C6">
            <w:pPr>
              <w:pStyle w:val="BodyText"/>
              <w:rPr>
                <w:lang w:val="en-NZ"/>
              </w:rPr>
            </w:pPr>
            <w:r w:rsidRPr="00A922C6">
              <w:t>Note:</w:t>
            </w:r>
            <w:r w:rsidRPr="00A922C6">
              <w:br/>
            </w:r>
            <w:r w:rsidRPr="00A922C6">
              <w:t>Competent performance with inherent safe working practices is expected in the Industry to which this competency standard unit applies. This requires that the specified essential knowledge and associated skills are assessed in a structured environment which</w:t>
            </w:r>
            <w:r w:rsidRPr="00A922C6">
              <w:t xml:space="preserve"> is primarily intended for learning/assessment and incorporates all necessary equipment and facilities for learners to develop and demonstrate the essential knowledge and skills described in this unit.</w:t>
            </w:r>
          </w:p>
        </w:tc>
      </w:tr>
      <w:tr w:rsidTr="008108C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922C6" w:rsidP="00A922C6">
            <w:pPr>
              <w:pStyle w:val="BodyText"/>
            </w:pPr>
            <w:r w:rsidRPr="00A922C6">
              <w:rPr>
                <w:rStyle w:val="SpecialBold"/>
              </w:rPr>
              <w:t>Concurrent assessment and relationship with other u</w:t>
            </w:r>
            <w:r w:rsidRPr="00A922C6">
              <w:rPr>
                <w:rStyle w:val="SpecialBold"/>
              </w:rPr>
              <w:t>nits</w:t>
            </w:r>
          </w:p>
        </w:tc>
        <w:tc>
          <w:tcPr>
            <w:tcW w:w="6300" w:type="dxa"/>
            <w:gridSpan w:val="3"/>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rPr>
                <w:rStyle w:val="SpecialBold"/>
              </w:rPr>
              <w:t>9</w:t>
            </w:r>
            <w:r w:rsidRPr="00A922C6">
              <w:t>.</w:t>
            </w:r>
            <w:r w:rsidRPr="00A922C6">
              <w:rPr>
                <w:rStyle w:val="SpecialBold"/>
              </w:rPr>
              <w:t>5</w:t>
            </w:r>
            <w:r w:rsidRPr="00A922C6">
              <w:t>)</w:t>
            </w:r>
          </w:p>
        </w:tc>
      </w:tr>
      <w:tr w:rsidTr="008108C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922C6" w:rsidP="00A922C6">
            <w:pPr>
              <w:pStyle w:val="BodyText"/>
            </w:pPr>
            <w:r w:rsidRPr="00A922C6">
              <w:t>There are no concurrent assessment recommendations for this unit.</w:t>
            </w:r>
          </w:p>
          <w:p w:rsidR="00000000" w:rsidRPr="00A922C6" w:rsidP="00A922C6">
            <w:pPr>
              <w:pStyle w:val="BodyText"/>
            </w:pPr>
            <w:r w:rsidRPr="00A922C6">
              <w:t>The critical aspects of occupational health and safety covered in unit UEENEEE001B and other discipline specific occupational health and safety units shall be incorporated in r</w:t>
            </w:r>
            <w:r w:rsidRPr="00A922C6">
              <w:t>elation to this unit.</w:t>
            </w:r>
          </w:p>
        </w:tc>
      </w:tr>
    </w:tbl>
    <w:p w:rsidR="008108CF" w:rsidP="00A922C6">
      <w:pPr>
        <w:pStyle w:val="BodyText"/>
      </w:pPr>
    </w:p>
    <w:p w:rsidR="008108CF" w:rsidP="00A922C6">
      <w:pPr>
        <w:pStyle w:val="BodyText"/>
      </w:pPr>
    </w:p>
    <w:p w:rsidR="00000000" w:rsidRPr="00A922C6" w:rsidP="00A922C6">
      <w:pPr>
        <w:pStyle w:val="Heading1"/>
      </w:pPr>
      <w:bookmarkStart w:id="11" w:name="O_255433"/>
      <w:bookmarkEnd w:id="11"/>
      <w:r w:rsidRPr="00A922C6">
        <w:t>Range Statement</w:t>
      </w:r>
    </w:p>
    <w:tbl>
      <w:tblPr>
        <w:tblW w:w="0" w:type="auto"/>
        <w:tblLayout w:type="fixed"/>
        <w:tblCellMar>
          <w:left w:w="62" w:type="dxa"/>
          <w:right w:w="62" w:type="dxa"/>
        </w:tblCellMar>
        <w:tblLook w:val="0000"/>
      </w:tblPr>
      <w:tblGrid>
        <w:gridCol w:w="2127"/>
        <w:gridCol w:w="6333"/>
      </w:tblGrid>
      <w:tr w:rsidTr="008108CF">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rPr>
                <w:rStyle w:val="SpecialBold"/>
              </w:rPr>
              <w:t>RANGE STATEMENT</w:t>
            </w:r>
          </w:p>
        </w:tc>
      </w:tr>
      <w:tr w:rsidTr="008108C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rPr>
                <w:rStyle w:val="SpecialBold"/>
              </w:rPr>
              <w:t>8</w:t>
            </w:r>
            <w:r w:rsidRPr="00A922C6">
              <w:t xml:space="preserve">) This relates to the unit of competency as a whole providing the range of contexts and conditions </w:t>
            </w:r>
            <w:r w:rsidRPr="00A922C6">
              <w:t>to which the performance criteria apply. It allows for different work environments and situations that will affect performance.</w:t>
            </w:r>
          </w:p>
        </w:tc>
      </w:tr>
      <w:tr w:rsidTr="008108C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This competency standard unit shall be demonstrated in relation to:</w:t>
            </w:r>
          </w:p>
        </w:tc>
      </w:tr>
      <w:tr w:rsidTr="008108CF">
        <w:tblPrEx>
          <w:tblW w:w="0" w:type="auto"/>
          <w:tblLayout w:type="fixed"/>
          <w:tblCellMar>
            <w:left w:w="62" w:type="dxa"/>
            <w:right w:w="62" w:type="dxa"/>
          </w:tblCellMar>
          <w:tblLook w:val="0000"/>
        </w:tblPrEx>
        <w:tc>
          <w:tcPr>
            <w:tcW w:w="21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33"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Single source parallel and series-parallel electronic circuits as they apply to operational circuit functions in relation to at least two of the following types of circuit problems and on at least two occasions:</w:t>
            </w:r>
          </w:p>
        </w:tc>
      </w:tr>
      <w:tr w:rsidTr="008108CF">
        <w:tblPrEx>
          <w:tblW w:w="0" w:type="auto"/>
          <w:tblLayout w:type="fixed"/>
          <w:tblCellMar>
            <w:left w:w="62" w:type="dxa"/>
            <w:right w:w="62" w:type="dxa"/>
          </w:tblCellMar>
          <w:tblLook w:val="0000"/>
        </w:tblPrEx>
        <w:tc>
          <w:tcPr>
            <w:tcW w:w="2127"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p>
        </w:tc>
        <w:tc>
          <w:tcPr>
            <w:tcW w:w="6333" w:type="dxa"/>
            <w:tcBorders>
              <w:top w:val="nil"/>
              <w:left w:val="nil"/>
              <w:bottom w:val="nil"/>
              <w:right w:val="nil"/>
            </w:tcBorders>
            <w:tcMar>
              <w:top w:w="0" w:type="dxa"/>
              <w:left w:w="62" w:type="dxa"/>
              <w:bottom w:w="0" w:type="dxa"/>
              <w:right w:w="62" w:type="dxa"/>
            </w:tcMar>
          </w:tcPr>
          <w:p w:rsidR="00000000" w:rsidRPr="00A922C6" w:rsidP="00A922C6">
            <w:pPr>
              <w:pStyle w:val="ListBullet"/>
            </w:pPr>
            <w:r w:rsidRPr="00A922C6">
              <w:t>Determining the operating parameters of a</w:t>
            </w:r>
            <w:r w:rsidRPr="00A922C6">
              <w:t xml:space="preserve">n existing circuit </w:t>
            </w:r>
          </w:p>
          <w:p w:rsidR="00000000" w:rsidRPr="00A922C6" w:rsidP="00A922C6">
            <w:pPr>
              <w:pStyle w:val="ListBullet"/>
            </w:pPr>
            <w:r w:rsidRPr="00A922C6">
              <w:t>Alternating an existing circuit to comply with specified operating parameters</w:t>
            </w:r>
          </w:p>
          <w:p w:rsidR="00000000" w:rsidP="00A922C6">
            <w:pPr>
              <w:pStyle w:val="ListBullet"/>
              <w:rPr>
                <w:lang w:val="en-NZ"/>
              </w:rPr>
            </w:pPr>
            <w:r w:rsidRPr="00A922C6">
              <w:t>Developing circuits to comply with a specified function and operating parameters</w:t>
            </w:r>
          </w:p>
        </w:tc>
      </w:tr>
      <w:tr w:rsidTr="008108C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922C6" w:rsidP="00A922C6">
            <w:pPr>
              <w:pStyle w:val="BodyText"/>
            </w:pPr>
            <w:r w:rsidRPr="00A922C6">
              <w:t>Generic terms are used throughout this V</w:t>
            </w:r>
            <w:r w:rsidRPr="00A922C6">
              <w:t>ocational Standard shall be regarded as part of the Range of Variables in which competency is demonstrated. The definition of these and other terms that apply are given in Volume 2, Part 2.1.</w:t>
            </w:r>
          </w:p>
        </w:tc>
      </w:tr>
    </w:tbl>
    <w:p w:rsidR="008108CF" w:rsidP="00A922C6">
      <w:pPr>
        <w:pStyle w:val="BodyText"/>
      </w:pPr>
    </w:p>
    <w:p w:rsidR="008108CF" w:rsidP="00A922C6">
      <w:pPr>
        <w:pStyle w:val="BodyText"/>
      </w:pPr>
    </w:p>
    <w:p w:rsidR="00000000" w:rsidRPr="00A922C6" w:rsidP="00A922C6">
      <w:pPr>
        <w:pStyle w:val="Heading1"/>
      </w:pPr>
      <w:bookmarkStart w:id="12" w:name="O_296446"/>
      <w:bookmarkEnd w:id="12"/>
      <w:r w:rsidRPr="00A922C6">
        <w:t>Unit Sector(s)</w:t>
      </w:r>
    </w:p>
    <w:p w:rsidR="00000000" w:rsidRPr="00A922C6" w:rsidP="00A922C6">
      <w:pPr>
        <w:pStyle w:val="BodyText"/>
      </w:pPr>
      <w:r w:rsidRPr="00A922C6">
        <w:t>Not Applicable</w:t>
      </w:r>
    </w:p>
    <w:p w:rsidR="00000000" w:rsidRPr="00A922C6" w:rsidP="00A922C6">
      <w:pPr>
        <w:pStyle w:val="AllowPageBreak"/>
      </w:pPr>
    </w:p>
    <w:p w:rsidR="00000000" w:rsidRPr="00A922C6" w:rsidP="00A922C6">
      <w:pPr>
        <w:pStyle w:val="Heading1"/>
      </w:pPr>
      <w:bookmarkStart w:id="13" w:name="O_227023"/>
      <w:bookmarkEnd w:id="13"/>
      <w:r w:rsidRPr="00A922C6">
        <w:t>Custom Content Section</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8108CF">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A922C6" w:rsidP="00A922C6">
            <w:pPr>
              <w:pStyle w:val="BodyText"/>
            </w:pPr>
            <w:r w:rsidRPr="00A922C6">
              <w:rPr>
                <w:rStyle w:val="SpecialBold"/>
              </w:rPr>
              <w:t>2</w:t>
            </w:r>
            <w:r w:rsidRPr="00A922C6">
              <w:t>.</w:t>
            </w:r>
            <w:r w:rsidRPr="00A922C6">
              <w:rPr>
                <w:rStyle w:val="SpecialBold"/>
              </w:rPr>
              <w:t>2</w:t>
            </w:r>
            <w:r w:rsidRPr="00A922C6">
              <w:t xml:space="preserve">) </w:t>
            </w:r>
            <w:r w:rsidRPr="00A922C6">
              <w:rPr>
                <w:rStyle w:val="SpecialBold"/>
              </w:rPr>
              <w:t>Literacy and numeracy skills</w:t>
            </w:r>
          </w:p>
          <w:p w:rsidR="00000000" w:rsidP="00A922C6">
            <w:pPr>
              <w:pStyle w:val="BodyText"/>
              <w:rPr>
                <w:lang w:val="en-NZ"/>
              </w:rPr>
            </w:pPr>
            <w:r w:rsidRPr="00A922C6">
              <w:t>Participants are best equipped to achieve this unit if they have reading, writing and numeracy skills indicated by the following scales. Description of each scale is given in Volume 2, Part 3</w:t>
            </w:r>
            <w:r w:rsidRPr="00A922C6">
              <w:t xml:space="preserve"> "Literacy and Numeracy"</w:t>
            </w:r>
          </w:p>
        </w:tc>
      </w:tr>
      <w:tr w:rsidTr="008108CF">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Reading</w:t>
            </w:r>
          </w:p>
        </w:tc>
        <w:tc>
          <w:tcPr>
            <w:tcW w:w="1182"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5</w:t>
            </w:r>
          </w:p>
        </w:tc>
        <w:tc>
          <w:tcPr>
            <w:tcW w:w="1739"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Writing</w:t>
            </w:r>
          </w:p>
        </w:tc>
        <w:tc>
          <w:tcPr>
            <w:tcW w:w="1182"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5</w:t>
            </w:r>
          </w:p>
        </w:tc>
        <w:tc>
          <w:tcPr>
            <w:tcW w:w="1721"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t>Numeracy</w:t>
            </w:r>
          </w:p>
        </w:tc>
        <w:tc>
          <w:tcPr>
            <w:tcW w:w="1182" w:type="dxa"/>
            <w:tcBorders>
              <w:top w:val="nil"/>
              <w:left w:val="nil"/>
              <w:bottom w:val="nil"/>
              <w:right w:val="nil"/>
            </w:tcBorders>
            <w:tcMar>
              <w:top w:w="0" w:type="dxa"/>
              <w:left w:w="62" w:type="dxa"/>
              <w:bottom w:w="0" w:type="dxa"/>
              <w:right w:w="62" w:type="dxa"/>
            </w:tcMar>
          </w:tcPr>
          <w:p w:rsidR="00000000" w:rsidRPr="00A922C6" w:rsidP="00A922C6">
            <w:pPr>
              <w:pStyle w:val="BodyText"/>
            </w:pPr>
            <w:r w:rsidRPr="00A922C6">
              <w:t>5</w:t>
            </w:r>
          </w:p>
        </w:tc>
      </w:tr>
    </w:tbl>
    <w:p w:rsidR="008108CF" w:rsidP="00A922C6">
      <w:pPr>
        <w:pStyle w:val="BodyText"/>
      </w:pPr>
    </w:p>
    <w:p w:rsidR="008108CF" w:rsidP="00A922C6">
      <w:pPr>
        <w:pStyle w:val="BodyText"/>
      </w:pPr>
    </w:p>
    <w:p w:rsidR="00000000" w:rsidRPr="00A922C6" w:rsidP="00A922C6">
      <w:pPr>
        <w:pStyle w:val="Heading1"/>
      </w:pPr>
      <w:bookmarkStart w:id="14" w:name="O_227026"/>
      <w:bookmarkEnd w:id="14"/>
      <w:r w:rsidRPr="00A922C6">
        <w:t>Competency Field</w:t>
      </w:r>
    </w:p>
    <w:tbl>
      <w:tblPr>
        <w:tblW w:w="0" w:type="auto"/>
        <w:tblLayout w:type="fixed"/>
        <w:tblCellMar>
          <w:left w:w="62" w:type="dxa"/>
          <w:right w:w="62" w:type="dxa"/>
        </w:tblCellMar>
        <w:tblLook w:val="0000"/>
      </w:tblPr>
      <w:tblGrid>
        <w:gridCol w:w="2700"/>
        <w:gridCol w:w="5760"/>
      </w:tblGrid>
      <w:tr w:rsidTr="008108C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22C6" w:rsidP="00A922C6">
            <w:pPr>
              <w:pStyle w:val="BodyText"/>
            </w:pPr>
            <w:r w:rsidRPr="00A922C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922C6">
            <w:pPr>
              <w:pStyle w:val="BodyText"/>
              <w:rPr>
                <w:lang w:val="en-NZ"/>
              </w:rPr>
            </w:pPr>
            <w:r w:rsidRPr="00A922C6">
              <w:rPr>
                <w:rStyle w:val="SpecialBold"/>
              </w:rPr>
              <w:t>5</w:t>
            </w:r>
            <w:r w:rsidRPr="00A922C6">
              <w:t>)</w:t>
            </w:r>
          </w:p>
        </w:tc>
      </w:tr>
      <w:tr w:rsidTr="008108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22C6" w:rsidP="00A922C6">
            <w:pPr>
              <w:pStyle w:val="BodyText"/>
            </w:pPr>
            <w:r w:rsidRPr="00A922C6">
              <w:t>Electrotechnology</w:t>
            </w:r>
          </w:p>
        </w:tc>
      </w:tr>
    </w:tbl>
    <w:p w:rsidR="008108CF" w:rsidP="00A922C6">
      <w:pPr>
        <w:pStyle w:val="BodyText"/>
      </w:pPr>
    </w:p>
    <w:p w:rsidR="008108CF" w:rsidP="00A922C6">
      <w:pPr>
        <w:pStyle w:val="BodyText"/>
      </w:pPr>
    </w:p>
    <w:p w:rsidR="00000000" w:rsidRPr="00A922C6" w:rsidP="00A922C6"/>
    <w:sectPr w:rsidSect="00A922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2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08CF" w:rsidP="008108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2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8CF" w:rsidP="00A922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108CF" w:rsidP="00A922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108CF" w:rsidP="00A922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2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08CF" w:rsidP="008108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2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8CF" w:rsidP="00A922C6">
    <w:pPr>
      <w:pStyle w:val="Header"/>
      <w:framePr w:wrap="around"/>
    </w:pPr>
    <w:r>
      <w:fldChar w:fldCharType="begin"/>
    </w:r>
    <w:r>
      <w:instrText xml:space="preserve"> TITLE   \* MERGEFORMAT </w:instrText>
    </w:r>
    <w:r>
      <w:fldChar w:fldCharType="separate"/>
    </w:r>
    <w:r>
      <w:t>UEENEEH069B Solve problems in electronic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108CF" w:rsidP="00A922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ACF0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1E09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68FC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2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22C6"/>
    <w:pPr>
      <w:spacing w:before="360" w:after="60"/>
      <w:outlineLvl w:val="0"/>
    </w:pPr>
    <w:rPr>
      <w:sz w:val="32"/>
    </w:rPr>
  </w:style>
  <w:style w:type="paragraph" w:styleId="Heading2">
    <w:name w:val="heading 2"/>
    <w:basedOn w:val="HeadingBase"/>
    <w:next w:val="BodyText"/>
    <w:link w:val="Heading2Char"/>
    <w:qFormat/>
    <w:rsid w:val="00A922C6"/>
    <w:pPr>
      <w:keepLines/>
      <w:spacing w:before="240" w:after="120"/>
      <w:outlineLvl w:val="1"/>
    </w:pPr>
    <w:rPr>
      <w:sz w:val="28"/>
      <w:szCs w:val="40"/>
    </w:rPr>
  </w:style>
  <w:style w:type="paragraph" w:styleId="Heading3">
    <w:name w:val="heading 3"/>
    <w:basedOn w:val="HeadingBase"/>
    <w:next w:val="BodyText"/>
    <w:link w:val="Heading3Char"/>
    <w:qFormat/>
    <w:rsid w:val="00A922C6"/>
    <w:pPr>
      <w:spacing w:before="180" w:after="120"/>
      <w:outlineLvl w:val="2"/>
    </w:pPr>
    <w:rPr>
      <w:spacing w:val="-10"/>
      <w:kern w:val="32"/>
    </w:rPr>
  </w:style>
  <w:style w:type="paragraph" w:styleId="Heading4">
    <w:name w:val="heading 4"/>
    <w:basedOn w:val="HeadingBase"/>
    <w:next w:val="BodyText"/>
    <w:link w:val="Heading4Char"/>
    <w:qFormat/>
    <w:rsid w:val="00A922C6"/>
    <w:pPr>
      <w:spacing w:before="160" w:after="120"/>
      <w:outlineLvl w:val="3"/>
    </w:pPr>
    <w:rPr>
      <w:sz w:val="22"/>
    </w:rPr>
  </w:style>
  <w:style w:type="paragraph" w:styleId="Heading5">
    <w:name w:val="heading 5"/>
    <w:basedOn w:val="HeadingBase"/>
    <w:next w:val="Normal"/>
    <w:link w:val="Heading5Char"/>
    <w:qFormat/>
    <w:rsid w:val="00A922C6"/>
    <w:pPr>
      <w:spacing w:before="80"/>
      <w:outlineLvl w:val="4"/>
    </w:pPr>
    <w:rPr>
      <w:color w:val="918585"/>
      <w:sz w:val="20"/>
    </w:rPr>
  </w:style>
  <w:style w:type="paragraph" w:styleId="Heading6">
    <w:name w:val="heading 6"/>
    <w:basedOn w:val="HeadingBase"/>
    <w:next w:val="Normal"/>
    <w:link w:val="Heading6Char"/>
    <w:qFormat/>
    <w:rsid w:val="00A922C6"/>
    <w:pPr>
      <w:spacing w:before="60"/>
      <w:outlineLvl w:val="5"/>
    </w:pPr>
    <w:rPr>
      <w:color w:val="918585"/>
      <w:sz w:val="20"/>
    </w:rPr>
  </w:style>
  <w:style w:type="paragraph" w:styleId="Heading7">
    <w:name w:val="heading 7"/>
    <w:basedOn w:val="Normal"/>
    <w:next w:val="Normal"/>
    <w:link w:val="Heading7Char"/>
    <w:qFormat/>
    <w:rsid w:val="00A922C6"/>
    <w:pPr>
      <w:ind w:left="720"/>
      <w:outlineLvl w:val="6"/>
    </w:pPr>
    <w:rPr>
      <w:i/>
    </w:rPr>
  </w:style>
  <w:style w:type="paragraph" w:styleId="Heading8">
    <w:name w:val="heading 8"/>
    <w:basedOn w:val="Normal"/>
    <w:next w:val="Normal"/>
    <w:link w:val="Heading8Char"/>
    <w:qFormat/>
    <w:rsid w:val="00A922C6"/>
    <w:pPr>
      <w:ind w:left="720"/>
      <w:outlineLvl w:val="7"/>
    </w:pPr>
    <w:rPr>
      <w:i/>
    </w:rPr>
  </w:style>
  <w:style w:type="paragraph" w:styleId="Heading9">
    <w:name w:val="heading 9"/>
    <w:basedOn w:val="Normal"/>
    <w:next w:val="Normal"/>
    <w:link w:val="Heading9Char"/>
    <w:qFormat/>
    <w:rsid w:val="00A922C6"/>
    <w:pPr>
      <w:ind w:left="720"/>
      <w:outlineLvl w:val="8"/>
    </w:pPr>
    <w:rPr>
      <w:i/>
    </w:rPr>
  </w:style>
  <w:style w:type="character" w:default="1" w:styleId="DefaultParagraphFont">
    <w:name w:val="Default Paragraph Font"/>
    <w:uiPriority w:val="1"/>
    <w:unhideWhenUsed/>
    <w:rsid w:val="00A922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22C6"/>
  </w:style>
  <w:style w:type="character" w:customStyle="1" w:styleId="Heading1Char">
    <w:name w:val="Heading 1 Char"/>
    <w:basedOn w:val="DefaultParagraphFont"/>
    <w:link w:val="Heading1"/>
    <w:rsid w:val="00A922C6"/>
    <w:rPr>
      <w:rFonts w:ascii="Times New Roman" w:eastAsia="Times New Roman" w:hAnsi="Times New Roman" w:cs="Times New Roman"/>
      <w:b/>
      <w:sz w:val="32"/>
      <w:szCs w:val="20"/>
      <w:lang w:eastAsia="en-US"/>
    </w:rPr>
  </w:style>
  <w:style w:type="paragraph" w:styleId="BodyText">
    <w:name w:val="Body Text"/>
    <w:basedOn w:val="Normal"/>
    <w:link w:val="BodyTextChar"/>
    <w:rsid w:val="00A922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22C6"/>
    <w:rPr>
      <w:rFonts w:ascii="Times New Roman" w:eastAsia="Times New Roman" w:hAnsi="Times New Roman" w:cs="Times New Roman"/>
      <w:sz w:val="24"/>
      <w:lang w:val="en-US" w:eastAsia="en-US"/>
    </w:rPr>
  </w:style>
  <w:style w:type="paragraph" w:styleId="Footer">
    <w:name w:val="footer"/>
    <w:basedOn w:val="Normal"/>
    <w:link w:val="FooterChar"/>
    <w:rsid w:val="00A922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22C6"/>
    <w:rPr>
      <w:rFonts w:ascii="Times New Roman" w:eastAsia="Times New Roman" w:hAnsi="Times New Roman" w:cs="Times New Roman"/>
      <w:sz w:val="16"/>
      <w:lang w:val="en-US" w:eastAsia="en-US"/>
    </w:rPr>
  </w:style>
  <w:style w:type="paragraph" w:styleId="ListBullet">
    <w:name w:val="List Bullet"/>
    <w:basedOn w:val="List"/>
    <w:rsid w:val="00A922C6"/>
    <w:pPr>
      <w:numPr>
        <w:numId w:val="13"/>
      </w:numPr>
      <w:tabs>
        <w:tab w:val="clear" w:pos="340"/>
      </w:tabs>
      <w:spacing w:before="40" w:after="40"/>
    </w:pPr>
  </w:style>
  <w:style w:type="character" w:customStyle="1" w:styleId="SpecialBold">
    <w:name w:val="Special Bold"/>
    <w:basedOn w:val="DefaultParagraphFont"/>
    <w:rsid w:val="00A922C6"/>
    <w:rPr>
      <w:b/>
      <w:spacing w:val="0"/>
    </w:rPr>
  </w:style>
  <w:style w:type="paragraph" w:styleId="ListBullet2">
    <w:name w:val="List Bullet 2"/>
    <w:basedOn w:val="List2"/>
    <w:rsid w:val="00A922C6"/>
    <w:pPr>
      <w:numPr>
        <w:numId w:val="14"/>
      </w:numPr>
      <w:tabs>
        <w:tab w:val="clear" w:pos="680"/>
      </w:tabs>
    </w:pPr>
  </w:style>
  <w:style w:type="paragraph" w:styleId="Header">
    <w:name w:val="header"/>
    <w:basedOn w:val="Normal"/>
    <w:link w:val="HeaderChar"/>
    <w:rsid w:val="00A922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22C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922C6"/>
    <w:pPr>
      <w:spacing w:before="240" w:after="120"/>
      <w:outlineLvl w:val="0"/>
    </w:pPr>
    <w:rPr>
      <w:rFonts w:ascii="Times New Roman" w:hAnsi="Times New Roman"/>
      <w:b/>
      <w:sz w:val="28"/>
    </w:rPr>
  </w:style>
  <w:style w:type="paragraph" w:customStyle="1" w:styleId="AllowPageBreak">
    <w:name w:val="AllowPageBreak"/>
    <w:rsid w:val="00A922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22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22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22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22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22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22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22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22C6"/>
    <w:rPr>
      <w:rFonts w:ascii="Courier New" w:eastAsia="Times New Roman" w:hAnsi="Courier New" w:cs="Times New Roman"/>
      <w:i/>
      <w:szCs w:val="20"/>
      <w:lang w:val="en-US" w:eastAsia="en-US"/>
    </w:rPr>
  </w:style>
  <w:style w:type="paragraph" w:customStyle="1" w:styleId="HeadingBase">
    <w:name w:val="Heading Base"/>
    <w:rsid w:val="00A922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22C6"/>
    <w:pPr>
      <w:tabs>
        <w:tab w:val="right" w:leader="dot" w:pos="9072"/>
      </w:tabs>
      <w:ind w:left="567"/>
    </w:pPr>
    <w:rPr>
      <w:szCs w:val="22"/>
    </w:rPr>
  </w:style>
  <w:style w:type="paragraph" w:customStyle="1" w:styleId="TOCBase">
    <w:name w:val="TOC Base"/>
    <w:rsid w:val="00A922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22C6"/>
    <w:pPr>
      <w:tabs>
        <w:tab w:val="right" w:leader="dot" w:pos="9072"/>
      </w:tabs>
      <w:spacing w:before="40" w:after="40"/>
      <w:ind w:left="284"/>
    </w:pPr>
    <w:rPr>
      <w:rFonts w:ascii="Times New Roman" w:hAnsi="Times New Roman"/>
    </w:rPr>
  </w:style>
  <w:style w:type="paragraph" w:styleId="TOC1">
    <w:name w:val="toc 1"/>
    <w:basedOn w:val="TOCBase"/>
    <w:next w:val="Normal"/>
    <w:rsid w:val="00A922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22C6"/>
    <w:pPr>
      <w:spacing w:before="5040"/>
      <w:jc w:val="center"/>
    </w:pPr>
    <w:rPr>
      <w:sz w:val="48"/>
      <w:szCs w:val="72"/>
      <w:lang w:val="en-US"/>
    </w:rPr>
  </w:style>
  <w:style w:type="character" w:customStyle="1" w:styleId="TitleChar">
    <w:name w:val="Title Char"/>
    <w:basedOn w:val="DefaultParagraphFont"/>
    <w:link w:val="Title"/>
    <w:rsid w:val="00A922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22C6"/>
    <w:pPr>
      <w:tabs>
        <w:tab w:val="left" w:pos="3600"/>
        <w:tab w:val="left" w:pos="3958"/>
      </w:tabs>
    </w:pPr>
  </w:style>
  <w:style w:type="paragraph" w:styleId="List">
    <w:name w:val="List"/>
    <w:basedOn w:val="BodyText"/>
    <w:next w:val="BodyText"/>
    <w:rsid w:val="00A922C6"/>
    <w:pPr>
      <w:tabs>
        <w:tab w:val="left" w:pos="340"/>
      </w:tabs>
      <w:spacing w:before="60" w:after="60"/>
      <w:ind w:left="340" w:hanging="340"/>
    </w:pPr>
  </w:style>
  <w:style w:type="paragraph" w:customStyle="1" w:styleId="Note">
    <w:name w:val="Note"/>
    <w:basedOn w:val="BodyText"/>
    <w:rsid w:val="00A922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22C6"/>
    <w:pPr>
      <w:framePr w:wrap="auto" w:hAnchor="text" w:y="6049"/>
    </w:pPr>
    <w:rPr>
      <w:color w:val="000000"/>
      <w:sz w:val="40"/>
    </w:rPr>
  </w:style>
  <w:style w:type="paragraph" w:customStyle="1" w:styleId="TOCTitle">
    <w:name w:val="TOCTitle"/>
    <w:basedOn w:val="Heading1"/>
    <w:rsid w:val="00A922C6"/>
    <w:pPr>
      <w:spacing w:after="240"/>
      <w:jc w:val="center"/>
      <w:outlineLvl w:val="9"/>
    </w:pPr>
    <w:rPr>
      <w:caps/>
    </w:rPr>
  </w:style>
  <w:style w:type="paragraph" w:customStyle="1" w:styleId="Version">
    <w:name w:val="Version"/>
    <w:rsid w:val="00A922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22C6"/>
    <w:pPr>
      <w:keepNext w:val="0"/>
      <w:tabs>
        <w:tab w:val="right" w:pos="4176"/>
      </w:tabs>
      <w:ind w:left="198" w:hanging="198"/>
    </w:pPr>
    <w:rPr>
      <w:rFonts w:ascii="Garamond" w:hAnsi="Garamond"/>
    </w:rPr>
  </w:style>
  <w:style w:type="paragraph" w:styleId="IndexHeading">
    <w:name w:val="index heading"/>
    <w:basedOn w:val="Normal"/>
    <w:next w:val="Index1"/>
    <w:semiHidden/>
    <w:rsid w:val="00A922C6"/>
    <w:pPr>
      <w:spacing w:before="120" w:after="120"/>
    </w:pPr>
    <w:rPr>
      <w:rFonts w:ascii="Arial" w:hAnsi="Arial"/>
      <w:b/>
      <w:color w:val="918585"/>
      <w:sz w:val="24"/>
    </w:rPr>
  </w:style>
  <w:style w:type="paragraph" w:customStyle="1" w:styleId="Chapter">
    <w:name w:val="Chapter"/>
    <w:basedOn w:val="Normal"/>
    <w:rsid w:val="00A922C6"/>
    <w:pPr>
      <w:spacing w:before="240"/>
    </w:pPr>
    <w:rPr>
      <w:rFonts w:ascii="Times New Roman" w:hAnsi="Times New Roman"/>
      <w:smallCaps/>
      <w:spacing w:val="80"/>
      <w:sz w:val="28"/>
    </w:rPr>
  </w:style>
  <w:style w:type="paragraph" w:customStyle="1" w:styleId="InChapter">
    <w:name w:val="InChapter"/>
    <w:basedOn w:val="Heading3"/>
    <w:rsid w:val="00A922C6"/>
    <w:pPr>
      <w:spacing w:after="240"/>
      <w:outlineLvl w:val="9"/>
    </w:pPr>
    <w:rPr>
      <w:noProof/>
    </w:rPr>
  </w:style>
  <w:style w:type="paragraph" w:styleId="Index2">
    <w:name w:val="index 2"/>
    <w:basedOn w:val="Normal"/>
    <w:next w:val="Normal"/>
    <w:semiHidden/>
    <w:rsid w:val="00A922C6"/>
    <w:pPr>
      <w:tabs>
        <w:tab w:val="right" w:pos="4176"/>
      </w:tabs>
      <w:ind w:left="568" w:hanging="284"/>
    </w:pPr>
    <w:rPr>
      <w:rFonts w:ascii="Garamond" w:hAnsi="Garamond"/>
    </w:rPr>
  </w:style>
  <w:style w:type="paragraph" w:customStyle="1" w:styleId="Byline">
    <w:name w:val="Byline"/>
    <w:rsid w:val="00A922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22C6"/>
    <w:pPr>
      <w:tabs>
        <w:tab w:val="clear" w:pos="3600"/>
        <w:tab w:val="clear" w:pos="3958"/>
      </w:tabs>
      <w:jc w:val="right"/>
    </w:pPr>
  </w:style>
  <w:style w:type="character" w:styleId="Emphasis">
    <w:name w:val="Emphasis"/>
    <w:basedOn w:val="DefaultParagraphFont"/>
    <w:qFormat/>
    <w:rsid w:val="00A922C6"/>
    <w:rPr>
      <w:i/>
    </w:rPr>
  </w:style>
  <w:style w:type="paragraph" w:styleId="Caption">
    <w:name w:val="caption"/>
    <w:basedOn w:val="BodyText"/>
    <w:next w:val="Normal"/>
    <w:qFormat/>
    <w:rsid w:val="00A922C6"/>
    <w:pPr>
      <w:framePr w:w="2268" w:hSpace="181" w:vSpace="181" w:wrap="around" w:vAnchor="text" w:hAnchor="page" w:x="1135" w:y="285" w:anchorLock="1"/>
    </w:pPr>
    <w:rPr>
      <w:i/>
    </w:rPr>
  </w:style>
  <w:style w:type="paragraph" w:customStyle="1" w:styleId="MiniTOCTitle">
    <w:name w:val="MiniTOCTitle"/>
    <w:basedOn w:val="Heading4"/>
    <w:rsid w:val="00A922C6"/>
    <w:pPr>
      <w:spacing w:before="240"/>
      <w:outlineLvl w:val="9"/>
    </w:pPr>
    <w:rPr>
      <w:noProof/>
      <w:sz w:val="24"/>
    </w:rPr>
  </w:style>
  <w:style w:type="paragraph" w:customStyle="1" w:styleId="MiniTOCItem">
    <w:name w:val="MiniTOCItem"/>
    <w:basedOn w:val="ListBullet"/>
    <w:rsid w:val="00A922C6"/>
    <w:pPr>
      <w:numPr>
        <w:numId w:val="0"/>
      </w:numPr>
      <w:tabs>
        <w:tab w:val="right" w:leader="dot" w:pos="6521"/>
      </w:tabs>
      <w:spacing w:before="0" w:after="0"/>
    </w:pPr>
  </w:style>
  <w:style w:type="paragraph" w:customStyle="1" w:styleId="TOFTitle">
    <w:name w:val="TOFTitle"/>
    <w:basedOn w:val="TOCTitle"/>
    <w:rsid w:val="00A922C6"/>
  </w:style>
  <w:style w:type="paragraph" w:styleId="TableofFigures">
    <w:name w:val="table of figures"/>
    <w:basedOn w:val="Normal"/>
    <w:next w:val="Normal"/>
    <w:semiHidden/>
    <w:rsid w:val="00A922C6"/>
    <w:pPr>
      <w:tabs>
        <w:tab w:val="right" w:leader="dot" w:pos="9072"/>
      </w:tabs>
      <w:ind w:left="970" w:hanging="403"/>
    </w:pPr>
    <w:rPr>
      <w:rFonts w:ascii="Times New Roman" w:hAnsi="Times New Roman"/>
      <w:b/>
    </w:rPr>
  </w:style>
  <w:style w:type="paragraph" w:styleId="ListNumber">
    <w:name w:val="List Number"/>
    <w:basedOn w:val="List"/>
    <w:rsid w:val="00A922C6"/>
    <w:pPr>
      <w:numPr>
        <w:numId w:val="11"/>
      </w:numPr>
    </w:pPr>
  </w:style>
  <w:style w:type="character" w:customStyle="1" w:styleId="WingdingSymbols">
    <w:name w:val="Wingding Symbols"/>
    <w:rsid w:val="00A922C6"/>
    <w:rPr>
      <w:rFonts w:ascii="Wingdings" w:hAnsi="Wingdings"/>
    </w:rPr>
  </w:style>
  <w:style w:type="paragraph" w:customStyle="1" w:styleId="TableHeading">
    <w:name w:val="Table Heading"/>
    <w:basedOn w:val="HeadingBase"/>
    <w:rsid w:val="00A922C6"/>
    <w:pPr>
      <w:keepLines/>
      <w:pBdr>
        <w:bottom w:val="single" w:sz="6" w:space="1" w:color="918585"/>
      </w:pBdr>
      <w:spacing w:before="240"/>
    </w:pPr>
  </w:style>
  <w:style w:type="character" w:customStyle="1" w:styleId="HotSpot">
    <w:name w:val="HotSpot"/>
    <w:rsid w:val="00A922C6"/>
    <w:rPr>
      <w:color w:val="0033CC"/>
      <w:u w:val="none"/>
    </w:rPr>
  </w:style>
  <w:style w:type="paragraph" w:customStyle="1" w:styleId="BodyTextRight">
    <w:name w:val="Body Text Right"/>
    <w:basedOn w:val="BodyText"/>
    <w:rsid w:val="00A922C6"/>
    <w:pPr>
      <w:spacing w:before="0" w:after="0"/>
      <w:jc w:val="right"/>
    </w:pPr>
  </w:style>
  <w:style w:type="paragraph" w:styleId="Index3">
    <w:name w:val="index 3"/>
    <w:basedOn w:val="ListNumber2"/>
    <w:next w:val="Normal"/>
    <w:semiHidden/>
    <w:rsid w:val="00A922C6"/>
    <w:pPr>
      <w:numPr>
        <w:numId w:val="0"/>
      </w:numPr>
      <w:tabs>
        <w:tab w:val="right" w:leader="dot" w:pos="4176"/>
      </w:tabs>
    </w:pPr>
  </w:style>
  <w:style w:type="paragraph" w:styleId="ListNumber2">
    <w:name w:val="List Number 2"/>
    <w:basedOn w:val="List2"/>
    <w:rsid w:val="00A922C6"/>
    <w:pPr>
      <w:numPr>
        <w:numId w:val="10"/>
      </w:numPr>
      <w:tabs>
        <w:tab w:val="clear" w:pos="1060"/>
      </w:tabs>
    </w:pPr>
  </w:style>
  <w:style w:type="paragraph" w:customStyle="1" w:styleId="MarginNote">
    <w:name w:val="Margin Note"/>
    <w:basedOn w:val="BodyText"/>
    <w:rsid w:val="00A922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22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22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22C6"/>
    <w:rPr>
      <w:sz w:val="32"/>
    </w:rPr>
  </w:style>
  <w:style w:type="paragraph" w:customStyle="1" w:styleId="HeadingProcedure">
    <w:name w:val="Heading Procedure"/>
    <w:basedOn w:val="HeadingBase"/>
    <w:next w:val="Normal"/>
    <w:rsid w:val="00A922C6"/>
    <w:pPr>
      <w:tabs>
        <w:tab w:val="left" w:pos="0"/>
      </w:tabs>
      <w:spacing w:before="120" w:after="60"/>
    </w:pPr>
    <w:rPr>
      <w:i/>
      <w:color w:val="918585"/>
      <w:sz w:val="22"/>
    </w:rPr>
  </w:style>
  <w:style w:type="paragraph" w:customStyle="1" w:styleId="TableBodyText">
    <w:name w:val="Table Body Text"/>
    <w:basedOn w:val="BodyText"/>
    <w:rsid w:val="00A922C6"/>
    <w:pPr>
      <w:spacing w:before="60" w:after="60"/>
    </w:pPr>
  </w:style>
  <w:style w:type="paragraph" w:styleId="ListContinue">
    <w:name w:val="List Continue"/>
    <w:basedOn w:val="List"/>
    <w:rsid w:val="00A922C6"/>
    <w:pPr>
      <w:ind w:firstLine="0"/>
    </w:pPr>
  </w:style>
  <w:style w:type="paragraph" w:customStyle="1" w:styleId="ListNote">
    <w:name w:val="List Note"/>
    <w:basedOn w:val="List"/>
    <w:rsid w:val="00A922C6"/>
    <w:pPr>
      <w:pBdr>
        <w:top w:val="single" w:sz="6" w:space="2" w:color="918585"/>
        <w:bottom w:val="single" w:sz="6" w:space="2" w:color="918585"/>
      </w:pBdr>
      <w:tabs>
        <w:tab w:val="left" w:pos="1021"/>
      </w:tabs>
      <w:ind w:firstLine="0"/>
    </w:pPr>
  </w:style>
  <w:style w:type="paragraph" w:customStyle="1" w:styleId="Warning">
    <w:name w:val="Warning"/>
    <w:basedOn w:val="BodyText"/>
    <w:rsid w:val="00A922C6"/>
    <w:pPr>
      <w:shd w:val="clear" w:color="auto" w:fill="D9D9D9"/>
      <w:tabs>
        <w:tab w:val="left" w:pos="992"/>
      </w:tabs>
      <w:ind w:left="119" w:right="119"/>
    </w:pPr>
    <w:rPr>
      <w:sz w:val="20"/>
    </w:rPr>
  </w:style>
  <w:style w:type="paragraph" w:customStyle="1" w:styleId="MarginIcons">
    <w:name w:val="Margin Icons"/>
    <w:basedOn w:val="BodyText"/>
    <w:rsid w:val="00A922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22C6"/>
    <w:rPr>
      <w:rFonts w:ascii="Courier New" w:hAnsi="Courier New"/>
    </w:rPr>
  </w:style>
  <w:style w:type="paragraph" w:customStyle="1" w:styleId="NoteBullet">
    <w:name w:val="Note Bullet"/>
    <w:basedOn w:val="Note"/>
    <w:rsid w:val="00A922C6"/>
    <w:pPr>
      <w:tabs>
        <w:tab w:val="clear" w:pos="680"/>
      </w:tabs>
      <w:spacing w:before="60" w:after="60"/>
    </w:pPr>
  </w:style>
  <w:style w:type="paragraph" w:customStyle="1" w:styleId="SubHeading2">
    <w:name w:val="SubHeading2"/>
    <w:basedOn w:val="HeadingBase"/>
    <w:rsid w:val="00A922C6"/>
    <w:pPr>
      <w:spacing w:before="240" w:after="60"/>
    </w:pPr>
    <w:rPr>
      <w:sz w:val="20"/>
    </w:rPr>
  </w:style>
  <w:style w:type="paragraph" w:customStyle="1" w:styleId="SubHeading1">
    <w:name w:val="SubHeading1"/>
    <w:basedOn w:val="HeadingBase"/>
    <w:rsid w:val="00A922C6"/>
    <w:pPr>
      <w:spacing w:before="240" w:after="60"/>
    </w:pPr>
    <w:rPr>
      <w:color w:val="918585"/>
      <w:sz w:val="22"/>
    </w:rPr>
  </w:style>
  <w:style w:type="paragraph" w:customStyle="1" w:styleId="SideHeading">
    <w:name w:val="Side Heading"/>
    <w:basedOn w:val="HeadingBase"/>
    <w:rsid w:val="00A922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22C6"/>
    <w:pPr>
      <w:numPr>
        <w:numId w:val="12"/>
      </w:numPr>
    </w:pPr>
  </w:style>
  <w:style w:type="paragraph" w:styleId="PlainText">
    <w:name w:val="Plain Text"/>
    <w:basedOn w:val="Normal"/>
    <w:link w:val="PlainTextChar"/>
    <w:rsid w:val="00A922C6"/>
    <w:rPr>
      <w:sz w:val="20"/>
    </w:rPr>
  </w:style>
  <w:style w:type="character" w:customStyle="1" w:styleId="PlainTextChar">
    <w:name w:val="Plain Text Char"/>
    <w:basedOn w:val="DefaultParagraphFont"/>
    <w:link w:val="PlainText"/>
    <w:rsid w:val="00A922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922C6"/>
    <w:rPr>
      <w:b/>
      <w:smallCaps/>
    </w:rPr>
  </w:style>
  <w:style w:type="paragraph" w:customStyle="1" w:styleId="TableListNumber">
    <w:name w:val="Table List Number"/>
    <w:basedOn w:val="ListNumber"/>
    <w:rsid w:val="00A922C6"/>
    <w:pPr>
      <w:numPr>
        <w:numId w:val="0"/>
      </w:numPr>
    </w:pPr>
  </w:style>
  <w:style w:type="paragraph" w:styleId="TOC4">
    <w:name w:val="toc 4"/>
    <w:basedOn w:val="TOCBase"/>
    <w:next w:val="Normal"/>
    <w:semiHidden/>
    <w:rsid w:val="00A922C6"/>
    <w:pPr>
      <w:tabs>
        <w:tab w:val="right" w:leader="dot" w:pos="9071"/>
      </w:tabs>
      <w:ind w:left="1701"/>
    </w:pPr>
  </w:style>
  <w:style w:type="paragraph" w:customStyle="1" w:styleId="ListAlpha">
    <w:name w:val="List Alpha"/>
    <w:basedOn w:val="List"/>
    <w:rsid w:val="00A922C6"/>
    <w:pPr>
      <w:numPr>
        <w:numId w:val="9"/>
      </w:numPr>
    </w:pPr>
  </w:style>
  <w:style w:type="paragraph" w:customStyle="1" w:styleId="ListAlpha2">
    <w:name w:val="List Alpha 2"/>
    <w:basedOn w:val="List2"/>
    <w:rsid w:val="00A922C6"/>
    <w:pPr>
      <w:numPr>
        <w:numId w:val="8"/>
      </w:numPr>
    </w:pPr>
  </w:style>
  <w:style w:type="paragraph" w:styleId="List2">
    <w:name w:val="List 2"/>
    <w:basedOn w:val="BodyText"/>
    <w:rsid w:val="00A922C6"/>
    <w:pPr>
      <w:tabs>
        <w:tab w:val="left" w:pos="680"/>
      </w:tabs>
      <w:spacing w:before="60" w:after="60"/>
      <w:ind w:left="680" w:hanging="340"/>
    </w:pPr>
  </w:style>
  <w:style w:type="paragraph" w:styleId="List3">
    <w:name w:val="List 3"/>
    <w:basedOn w:val="BodyText"/>
    <w:rsid w:val="00A922C6"/>
    <w:pPr>
      <w:tabs>
        <w:tab w:val="left" w:pos="1021"/>
      </w:tabs>
      <w:spacing w:before="60" w:after="60"/>
      <w:ind w:left="1020" w:hanging="340"/>
    </w:pPr>
  </w:style>
  <w:style w:type="paragraph" w:styleId="List4">
    <w:name w:val="List 4"/>
    <w:basedOn w:val="BodyText"/>
    <w:rsid w:val="00A922C6"/>
    <w:pPr>
      <w:tabs>
        <w:tab w:val="left" w:pos="1361"/>
      </w:tabs>
      <w:spacing w:before="60" w:after="60"/>
      <w:ind w:left="1361" w:hanging="340"/>
    </w:pPr>
  </w:style>
  <w:style w:type="paragraph" w:styleId="List5">
    <w:name w:val="List 5"/>
    <w:basedOn w:val="BodyText"/>
    <w:rsid w:val="00A922C6"/>
    <w:pPr>
      <w:tabs>
        <w:tab w:val="left" w:pos="1701"/>
      </w:tabs>
      <w:spacing w:before="60" w:after="60"/>
      <w:ind w:left="1701" w:hanging="340"/>
    </w:pPr>
  </w:style>
  <w:style w:type="paragraph" w:styleId="ListBullet3">
    <w:name w:val="List Bullet 3"/>
    <w:basedOn w:val="List3"/>
    <w:rsid w:val="00A922C6"/>
    <w:pPr>
      <w:numPr>
        <w:numId w:val="15"/>
      </w:numPr>
      <w:tabs>
        <w:tab w:val="clear" w:pos="1021"/>
      </w:tabs>
      <w:ind w:left="1037" w:hanging="357"/>
    </w:pPr>
  </w:style>
  <w:style w:type="paragraph" w:styleId="ListBullet4">
    <w:name w:val="List Bullet 4"/>
    <w:basedOn w:val="List4"/>
    <w:rsid w:val="00A922C6"/>
    <w:pPr>
      <w:numPr>
        <w:numId w:val="3"/>
      </w:numPr>
    </w:pPr>
  </w:style>
  <w:style w:type="paragraph" w:styleId="ListBullet5">
    <w:name w:val="List Bullet 5"/>
    <w:basedOn w:val="List5"/>
    <w:rsid w:val="00A922C6"/>
    <w:pPr>
      <w:numPr>
        <w:numId w:val="4"/>
      </w:numPr>
    </w:pPr>
  </w:style>
  <w:style w:type="paragraph" w:styleId="ListContinue2">
    <w:name w:val="List Continue 2"/>
    <w:basedOn w:val="List2"/>
    <w:rsid w:val="00A922C6"/>
    <w:pPr>
      <w:ind w:firstLine="0"/>
    </w:pPr>
  </w:style>
  <w:style w:type="paragraph" w:styleId="ListContinue3">
    <w:name w:val="List Continue 3"/>
    <w:basedOn w:val="List3"/>
    <w:rsid w:val="00A922C6"/>
    <w:pPr>
      <w:ind w:left="1021" w:firstLine="0"/>
    </w:pPr>
  </w:style>
  <w:style w:type="paragraph" w:styleId="ListContinue4">
    <w:name w:val="List Continue 4"/>
    <w:basedOn w:val="List4"/>
    <w:rsid w:val="00A922C6"/>
    <w:pPr>
      <w:ind w:firstLine="0"/>
    </w:pPr>
  </w:style>
  <w:style w:type="paragraph" w:styleId="ListContinue5">
    <w:name w:val="List Continue 5"/>
    <w:basedOn w:val="List5"/>
    <w:rsid w:val="00A922C6"/>
    <w:pPr>
      <w:ind w:firstLine="0"/>
    </w:pPr>
  </w:style>
  <w:style w:type="paragraph" w:styleId="ListNumber3">
    <w:name w:val="List Number 3"/>
    <w:basedOn w:val="List3"/>
    <w:rsid w:val="00A922C6"/>
    <w:pPr>
      <w:numPr>
        <w:numId w:val="5"/>
      </w:numPr>
    </w:pPr>
  </w:style>
  <w:style w:type="paragraph" w:styleId="ListNumber4">
    <w:name w:val="List Number 4"/>
    <w:basedOn w:val="List4"/>
    <w:rsid w:val="00A922C6"/>
    <w:pPr>
      <w:numPr>
        <w:numId w:val="6"/>
      </w:numPr>
    </w:pPr>
  </w:style>
  <w:style w:type="paragraph" w:styleId="ListNumber5">
    <w:name w:val="List Number 5"/>
    <w:basedOn w:val="List5"/>
    <w:rsid w:val="00A922C6"/>
    <w:pPr>
      <w:numPr>
        <w:numId w:val="7"/>
      </w:numPr>
    </w:pPr>
  </w:style>
  <w:style w:type="paragraph" w:styleId="BlockText">
    <w:name w:val="Block Text"/>
    <w:basedOn w:val="Normal"/>
    <w:rsid w:val="00A922C6"/>
    <w:pPr>
      <w:spacing w:after="120"/>
      <w:ind w:left="1440" w:right="1440"/>
    </w:pPr>
  </w:style>
  <w:style w:type="character" w:customStyle="1" w:styleId="Subscript">
    <w:name w:val="Subscript"/>
    <w:basedOn w:val="DefaultParagraphFont"/>
    <w:rsid w:val="00A922C6"/>
    <w:rPr>
      <w:sz w:val="16"/>
      <w:vertAlign w:val="subscript"/>
    </w:rPr>
  </w:style>
  <w:style w:type="character" w:customStyle="1" w:styleId="Superscript">
    <w:name w:val="Superscript"/>
    <w:basedOn w:val="DefaultParagraphFont"/>
    <w:rsid w:val="00A922C6"/>
    <w:rPr>
      <w:sz w:val="16"/>
      <w:vertAlign w:val="superscript"/>
    </w:rPr>
  </w:style>
  <w:style w:type="character" w:customStyle="1" w:styleId="Symbols">
    <w:name w:val="Symbols"/>
    <w:basedOn w:val="DefaultParagraphFont"/>
    <w:rsid w:val="00A922C6"/>
    <w:rPr>
      <w:rFonts w:ascii="Symbol" w:hAnsi="Symbol"/>
    </w:rPr>
  </w:style>
  <w:style w:type="character" w:customStyle="1" w:styleId="MenuOptions">
    <w:name w:val="Menu Options"/>
    <w:basedOn w:val="DefaultParagraphFont"/>
    <w:rsid w:val="00A922C6"/>
    <w:rPr>
      <w:rFonts w:ascii="Arial Narrow" w:hAnsi="Arial Narrow"/>
      <w:smallCaps/>
    </w:rPr>
  </w:style>
  <w:style w:type="character" w:customStyle="1" w:styleId="Buttons">
    <w:name w:val="Buttons"/>
    <w:basedOn w:val="DefaultParagraphFont"/>
    <w:rsid w:val="00A922C6"/>
    <w:rPr>
      <w:b/>
    </w:rPr>
  </w:style>
  <w:style w:type="character" w:customStyle="1" w:styleId="Underlined">
    <w:name w:val="Underlined"/>
    <w:basedOn w:val="DefaultParagraphFont"/>
    <w:rsid w:val="00A922C6"/>
    <w:rPr>
      <w:u w:val="single"/>
    </w:rPr>
  </w:style>
  <w:style w:type="paragraph" w:customStyle="1" w:styleId="TableBodyTextRight">
    <w:name w:val="Table Body Text Right"/>
    <w:basedOn w:val="TableBodyText"/>
    <w:rsid w:val="00A922C6"/>
    <w:pPr>
      <w:widowControl w:val="0"/>
      <w:autoSpaceDE w:val="0"/>
      <w:autoSpaceDN w:val="0"/>
      <w:adjustRightInd w:val="0"/>
      <w:jc w:val="right"/>
    </w:pPr>
    <w:rPr>
      <w:rFonts w:cs="Arial"/>
      <w:szCs w:val="18"/>
    </w:rPr>
  </w:style>
  <w:style w:type="paragraph" w:customStyle="1" w:styleId="CopyrightText">
    <w:name w:val="Copyright Text"/>
    <w:basedOn w:val="BodyText"/>
    <w:rsid w:val="00A922C6"/>
    <w:rPr>
      <w:sz w:val="18"/>
    </w:rPr>
  </w:style>
  <w:style w:type="paragraph" w:customStyle="1" w:styleId="BodySmallRight">
    <w:name w:val="Body Small Right"/>
    <w:basedOn w:val="BodyTextRight"/>
    <w:rsid w:val="00A922C6"/>
    <w:rPr>
      <w:sz w:val="18"/>
      <w:szCs w:val="18"/>
    </w:rPr>
  </w:style>
  <w:style w:type="paragraph" w:customStyle="1" w:styleId="MarginEdition">
    <w:name w:val="Margin Edition"/>
    <w:basedOn w:val="MarginNote"/>
    <w:rsid w:val="00A922C6"/>
    <w:pPr>
      <w:spacing w:before="0" w:after="0"/>
    </w:pPr>
    <w:rPr>
      <w:rFonts w:ascii="Times New Roman" w:hAnsi="Times New Roman"/>
      <w:color w:val="999999"/>
    </w:rPr>
  </w:style>
  <w:style w:type="paragraph" w:customStyle="1" w:styleId="Spacer">
    <w:name w:val="Spacer"/>
    <w:basedOn w:val="Normal"/>
    <w:rsid w:val="00A922C6"/>
    <w:rPr>
      <w:sz w:val="2"/>
      <w:szCs w:val="2"/>
    </w:rPr>
  </w:style>
  <w:style w:type="character" w:customStyle="1" w:styleId="Small">
    <w:name w:val="Small"/>
    <w:basedOn w:val="DefaultParagraphFont"/>
    <w:rsid w:val="00A922C6"/>
    <w:rPr>
      <w:sz w:val="16"/>
    </w:rPr>
  </w:style>
  <w:style w:type="paragraph" w:customStyle="1" w:styleId="WideTable">
    <w:name w:val="Wide Table"/>
    <w:basedOn w:val="Normal"/>
    <w:rsid w:val="00A922C6"/>
    <w:pPr>
      <w:ind w:left="-1418"/>
    </w:pPr>
    <w:rPr>
      <w:sz w:val="2"/>
      <w:szCs w:val="2"/>
    </w:rPr>
  </w:style>
  <w:style w:type="character" w:styleId="PageNumber">
    <w:name w:val="page number"/>
    <w:basedOn w:val="DefaultParagraphFont"/>
    <w:rsid w:val="00A922C6"/>
  </w:style>
  <w:style w:type="paragraph" w:styleId="Quote">
    <w:name w:val="Quote"/>
    <w:basedOn w:val="Heading1"/>
    <w:link w:val="QuoteChar"/>
    <w:qFormat/>
    <w:rsid w:val="00A922C6"/>
    <w:rPr>
      <w:b w:val="0"/>
      <w:sz w:val="72"/>
      <w:szCs w:val="72"/>
      <w:lang w:val="en-NZ"/>
    </w:rPr>
  </w:style>
  <w:style w:type="character" w:customStyle="1" w:styleId="QuoteChar">
    <w:name w:val="Quote Char"/>
    <w:basedOn w:val="DefaultParagraphFont"/>
    <w:link w:val="Quote"/>
    <w:rsid w:val="00A922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22C6"/>
    <w:pPr>
      <w:pageBreakBefore/>
    </w:pPr>
  </w:style>
  <w:style w:type="paragraph" w:customStyle="1" w:styleId="Border">
    <w:name w:val="Border"/>
    <w:basedOn w:val="Normal"/>
    <w:qFormat/>
    <w:rsid w:val="00A922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22C6"/>
    <w:rPr>
      <w:b/>
      <w:bCs/>
      <w:i/>
      <w:iCs/>
      <w:color w:val="auto"/>
    </w:rPr>
  </w:style>
  <w:style w:type="paragraph" w:styleId="IntenseQuote">
    <w:name w:val="Intense Quote"/>
    <w:basedOn w:val="Normal"/>
    <w:next w:val="Normal"/>
    <w:link w:val="IntenseQuoteChar"/>
    <w:uiPriority w:val="30"/>
    <w:qFormat/>
    <w:rsid w:val="00A922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22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922C6"/>
    <w:rPr>
      <w:smallCaps/>
      <w:color w:val="auto"/>
      <w:u w:val="single"/>
    </w:rPr>
  </w:style>
  <w:style w:type="character" w:styleId="IntenseReference">
    <w:name w:val="Intense Reference"/>
    <w:basedOn w:val="DefaultParagraphFont"/>
    <w:uiPriority w:val="32"/>
    <w:qFormat/>
    <w:rsid w:val="00A922C6"/>
    <w:rPr>
      <w:b/>
      <w:bCs/>
      <w:smallCaps/>
      <w:color w:val="auto"/>
      <w:spacing w:val="5"/>
      <w:u w:val="single"/>
    </w:rPr>
  </w:style>
  <w:style w:type="paragraph" w:customStyle="1" w:styleId="2ColumnHeading">
    <w:name w:val="2Column Heading"/>
    <w:basedOn w:val="BodyText"/>
    <w:qFormat/>
    <w:rsid w:val="00A922C6"/>
    <w:pPr>
      <w:spacing w:after="60"/>
      <w:ind w:left="-2268"/>
    </w:pPr>
    <w:rPr>
      <w:b/>
    </w:rPr>
  </w:style>
  <w:style w:type="paragraph" w:customStyle="1" w:styleId="Heading1TOC">
    <w:name w:val="Heading1 TOC"/>
    <w:basedOn w:val="Normal"/>
    <w:qFormat/>
    <w:rsid w:val="00A922C6"/>
    <w:pPr>
      <w:spacing w:before="240" w:after="120"/>
    </w:pPr>
    <w:rPr>
      <w:rFonts w:ascii="Times New Roman" w:hAnsi="Times New Roman"/>
      <w:b/>
      <w:sz w:val="32"/>
    </w:rPr>
  </w:style>
  <w:style w:type="paragraph" w:customStyle="1" w:styleId="Heading2TOC">
    <w:name w:val="Heading2 TOC"/>
    <w:basedOn w:val="Normal"/>
    <w:qFormat/>
    <w:rsid w:val="00A922C6"/>
    <w:pPr>
      <w:spacing w:before="240" w:after="60"/>
    </w:pPr>
    <w:rPr>
      <w:rFonts w:ascii="Times New Roman" w:hAnsi="Times New Roman"/>
      <w:b/>
      <w:sz w:val="28"/>
    </w:rPr>
  </w:style>
  <w:style w:type="character" w:customStyle="1" w:styleId="Underline">
    <w:name w:val="Underline"/>
    <w:basedOn w:val="DefaultParagraphFont"/>
    <w:qFormat/>
    <w:rsid w:val="00A922C6"/>
    <w:rPr>
      <w:u w:val="single"/>
    </w:rPr>
  </w:style>
  <w:style w:type="character" w:customStyle="1" w:styleId="BoldandItalics">
    <w:name w:val="Bold and Italics"/>
    <w:qFormat/>
    <w:rsid w:val="00A922C6"/>
    <w:rPr>
      <w:b/>
      <w:i/>
      <w:u w:val="none"/>
    </w:rPr>
  </w:style>
  <w:style w:type="paragraph" w:styleId="BalloonText">
    <w:name w:val="Balloon Text"/>
    <w:basedOn w:val="Normal"/>
    <w:link w:val="BalloonTextChar"/>
    <w:rsid w:val="00A922C6"/>
    <w:rPr>
      <w:rFonts w:ascii="Tahoma" w:hAnsi="Tahoma" w:cs="Tahoma"/>
      <w:sz w:val="16"/>
      <w:szCs w:val="16"/>
    </w:rPr>
  </w:style>
  <w:style w:type="character" w:customStyle="1" w:styleId="BalloonTextChar">
    <w:name w:val="Balloon Text Char"/>
    <w:basedOn w:val="DefaultParagraphFont"/>
    <w:link w:val="BalloonText"/>
    <w:rsid w:val="00A922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22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22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1817</Words>
  <Characters>10685</Characters>
  <Application>Microsoft Office Word</Application>
  <DocSecurity>0</DocSecurity>
  <Lines>400</Lines>
  <Paragraphs>154</Paragraphs>
  <ScaleCrop>false</ScaleCrop>
  <Company>Author-it Software Corporation Ltd.</Company>
  <LinksUpToDate>false</LinksUpToDate>
  <CharactersWithSpaces>12367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UEENEEH069B Solve problems in electronic circuits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2012-05-26T11:15:00Z</dcterms:created>
  <dcterms:modified xsi:type="dcterms:W3CDTF">2012-05-26T11:15:00Z</dcterms:modified>
</cp:coreProperties>
</file>