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38B2" w:rsidP="00B238B2">
      <w:pPr>
        <w:pStyle w:val="Title"/>
      </w:pPr>
      <w:r>
        <w:fldChar w:fldCharType="begin"/>
      </w:r>
      <w:r>
        <w:instrText xml:space="preserve"> TITLE   \* MERGEFORMAT </w:instrText>
      </w:r>
      <w:r>
        <w:fldChar w:fldCharType="separate"/>
      </w:r>
      <w:r>
        <w:t>UEENEEH065B Find and repair faults in fire protection systems</w:t>
      </w:r>
      <w:r>
        <w:fldChar w:fldCharType="end"/>
      </w:r>
    </w:p>
    <w:p w:rsidR="00B238B2" w:rsidP="00B238B2">
      <w:pPr>
        <w:pStyle w:val="Version"/>
        <w:sectPr w:rsidSect="001B5B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5BED" w:rsidP="001B5BED">
      <w:pPr>
        <w:pStyle w:val="SuperHeading"/>
      </w:pPr>
      <w:r w:rsidRPr="001B5BED">
        <w:t>UEENEEH065B Find and repair faults in fire protection systems</w:t>
      </w:r>
    </w:p>
    <w:p w:rsidR="00000000" w:rsidRPr="001B5BED" w:rsidP="001B5BED">
      <w:pPr>
        <w:pStyle w:val="Heading1"/>
      </w:pPr>
      <w:bookmarkStart w:id="1" w:name="O_274748"/>
      <w:bookmarkEnd w:id="1"/>
      <w:r w:rsidRPr="001B5BED">
        <w:t>Modification History</w:t>
      </w:r>
    </w:p>
    <w:p w:rsidR="00000000" w:rsidRPr="001B5BED" w:rsidP="001B5BED">
      <w:pPr>
        <w:pStyle w:val="BodyText"/>
      </w:pPr>
      <w:r w:rsidRPr="001B5BED">
        <w:t>Not Applicable</w:t>
      </w:r>
    </w:p>
    <w:p w:rsidR="00000000" w:rsidRPr="001B5BED" w:rsidP="001B5BED">
      <w:pPr>
        <w:pStyle w:val="AllowPageBreak"/>
      </w:pPr>
    </w:p>
    <w:p w:rsidR="00000000" w:rsidRPr="001B5BED" w:rsidP="001B5BED">
      <w:pPr>
        <w:pStyle w:val="Heading1"/>
      </w:pPr>
      <w:bookmarkStart w:id="2" w:name="O_226992"/>
      <w:bookmarkEnd w:id="2"/>
      <w:r w:rsidRPr="001B5BED">
        <w:t>Unit Descriptor</w:t>
      </w:r>
    </w:p>
    <w:tbl>
      <w:tblPr>
        <w:tblW w:w="0" w:type="auto"/>
        <w:tblLayout w:type="fixed"/>
        <w:tblCellMar>
          <w:left w:w="62" w:type="dxa"/>
          <w:right w:w="62" w:type="dxa"/>
        </w:tblCellMar>
        <w:tblLook w:val="0000"/>
      </w:tblPr>
      <w:tblGrid>
        <w:gridCol w:w="2700"/>
        <w:gridCol w:w="5760"/>
      </w:tblGrid>
      <w:tr w:rsidTr="00B238B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B5BED" w:rsidP="001B5BED">
            <w:pPr>
              <w:pStyle w:val="BodyText"/>
            </w:pPr>
            <w:r w:rsidRPr="001B5BE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1B5BED" w:rsidP="001B5BED">
            <w:pPr>
              <w:pStyle w:val="BodyText"/>
            </w:pPr>
            <w:r w:rsidRPr="001B5BED">
              <w:rPr>
                <w:rStyle w:val="SpecialBold"/>
              </w:rPr>
              <w:t>1</w:t>
            </w:r>
            <w:r w:rsidRPr="001B5BED">
              <w:t>)</w:t>
            </w:r>
          </w:p>
          <w:p w:rsidR="00000000" w:rsidP="001B5BED">
            <w:pPr>
              <w:pStyle w:val="BodyText"/>
              <w:rPr>
                <w:lang w:val="en-NZ"/>
              </w:rPr>
            </w:pPr>
            <w:r w:rsidRPr="001B5BED">
              <w:rPr>
                <w:rStyle w:val="SpecialBold"/>
              </w:rPr>
              <w:t>1</w:t>
            </w:r>
            <w:r w:rsidRPr="001B5BED">
              <w:t>.</w:t>
            </w:r>
            <w:r w:rsidRPr="001B5BED">
              <w:rPr>
                <w:rStyle w:val="SpecialBold"/>
              </w:rPr>
              <w:t>1</w:t>
            </w:r>
            <w:r w:rsidRPr="001B5BED">
              <w:t xml:space="preserve">) </w:t>
            </w:r>
            <w:r w:rsidRPr="001B5BED">
              <w:rPr>
                <w:rStyle w:val="SpecialBold"/>
              </w:rPr>
              <w:t>Descriptor</w:t>
            </w:r>
          </w:p>
        </w:tc>
      </w:tr>
      <w:tr w:rsidTr="00B238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B5BED" w:rsidP="001B5BED">
            <w:pPr>
              <w:pStyle w:val="BodyText"/>
            </w:pPr>
            <w:r w:rsidRPr="001B5BED">
              <w:t>This unit covers fault finding and repair of fire protection systems that include multiple connected detection, warning and fire control devices and remote monitoring to the sub-assembly level. The unit encompasses safe working practices, interpreting circ</w:t>
            </w:r>
            <w:r w:rsidRPr="001B5BED">
              <w:t>uit diagrams, applying logical fault finding procedures, conducting repairs, safety and functional testing and completing the necessary service documentation.</w:t>
            </w:r>
          </w:p>
        </w:tc>
      </w:tr>
    </w:tbl>
    <w:p w:rsidR="00B238B2" w:rsidP="001B5BED">
      <w:pPr>
        <w:pStyle w:val="BodyText"/>
      </w:pPr>
    </w:p>
    <w:p w:rsidR="00B238B2" w:rsidP="001B5BED">
      <w:pPr>
        <w:pStyle w:val="BodyText"/>
      </w:pPr>
    </w:p>
    <w:p w:rsidR="00000000" w:rsidRPr="001B5BED" w:rsidP="001B5BED">
      <w:pPr>
        <w:pStyle w:val="Heading1"/>
      </w:pPr>
      <w:bookmarkStart w:id="3" w:name="O_226997"/>
      <w:bookmarkEnd w:id="3"/>
      <w:r w:rsidRPr="001B5BED">
        <w:t>Application of the Unit</w:t>
      </w:r>
    </w:p>
    <w:tbl>
      <w:tblPr>
        <w:tblW w:w="0" w:type="auto"/>
        <w:tblLayout w:type="fixed"/>
        <w:tblCellMar>
          <w:left w:w="62" w:type="dxa"/>
          <w:right w:w="62" w:type="dxa"/>
        </w:tblCellMar>
        <w:tblLook w:val="0000"/>
      </w:tblPr>
      <w:tblGrid>
        <w:gridCol w:w="2700"/>
        <w:gridCol w:w="5760"/>
      </w:tblGrid>
      <w:tr w:rsidTr="00B238B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B5BED" w:rsidP="001B5BED">
            <w:pPr>
              <w:pStyle w:val="BodyText"/>
            </w:pPr>
            <w:r w:rsidRPr="001B5BED">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1B5BED">
            <w:pPr>
              <w:pStyle w:val="BodyText"/>
              <w:rPr>
                <w:lang w:val="en-NZ"/>
              </w:rPr>
            </w:pPr>
            <w:r w:rsidRPr="001B5BED">
              <w:rPr>
                <w:rStyle w:val="SpecialBold"/>
              </w:rPr>
              <w:t>4</w:t>
            </w:r>
            <w:r w:rsidRPr="001B5BED">
              <w:t>)</w:t>
            </w:r>
          </w:p>
        </w:tc>
      </w:tr>
      <w:tr w:rsidTr="00B238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B5BED" w:rsidP="001B5BED">
            <w:pPr>
              <w:pStyle w:val="BodyText"/>
            </w:pPr>
            <w:r w:rsidRPr="001B5BED">
              <w:t>This unit is intended for competency development entry-level employment based programs incorporated in approved contracts of training or approved training programs. It may also used to augment formally acquired competencies.</w:t>
            </w:r>
          </w:p>
        </w:tc>
      </w:tr>
    </w:tbl>
    <w:p w:rsidR="00B238B2" w:rsidP="001B5BED">
      <w:pPr>
        <w:pStyle w:val="BodyText"/>
      </w:pPr>
    </w:p>
    <w:p w:rsidR="00B238B2" w:rsidP="001B5BED">
      <w:pPr>
        <w:pStyle w:val="BodyText"/>
      </w:pPr>
    </w:p>
    <w:p w:rsidR="00000000" w:rsidRPr="001B5BED" w:rsidP="001B5BED">
      <w:pPr>
        <w:pStyle w:val="Heading1"/>
      </w:pPr>
      <w:bookmarkStart w:id="4" w:name="O_226993"/>
      <w:bookmarkEnd w:id="4"/>
      <w:r w:rsidRPr="001B5BED">
        <w:t>Licensing/Regulatory Information</w:t>
      </w:r>
    </w:p>
    <w:tbl>
      <w:tblPr>
        <w:tblW w:w="0" w:type="auto"/>
        <w:tblLayout w:type="fixed"/>
        <w:tblCellMar>
          <w:left w:w="62" w:type="dxa"/>
          <w:right w:w="62" w:type="dxa"/>
        </w:tblCellMar>
        <w:tblLook w:val="0000"/>
      </w:tblPr>
      <w:tblGrid>
        <w:gridCol w:w="8460"/>
      </w:tblGrid>
      <w:tr w:rsidTr="00B238B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B5BED">
            <w:pPr>
              <w:pStyle w:val="BodyText"/>
              <w:rPr>
                <w:lang w:val="en-NZ"/>
              </w:rPr>
            </w:pPr>
            <w:r w:rsidRPr="001B5BED">
              <w:rPr>
                <w:rStyle w:val="SpecialBold"/>
              </w:rPr>
              <w:t>1</w:t>
            </w:r>
            <w:r w:rsidRPr="001B5BED">
              <w:t>.</w:t>
            </w:r>
            <w:r w:rsidRPr="001B5BED">
              <w:rPr>
                <w:rStyle w:val="SpecialBold"/>
              </w:rPr>
              <w:t>2</w:t>
            </w:r>
            <w:r w:rsidRPr="001B5BED">
              <w:t xml:space="preserve">) </w:t>
            </w:r>
            <w:r w:rsidRPr="001B5BED">
              <w:rPr>
                <w:rStyle w:val="SpecialBold"/>
              </w:rPr>
              <w:t>License to practice</w:t>
            </w:r>
          </w:p>
        </w:tc>
      </w:tr>
      <w:tr w:rsidTr="00B238B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B5BED" w:rsidP="001B5BED">
            <w:pPr>
              <w:pStyle w:val="BodyText"/>
            </w:pPr>
            <w:r w:rsidRPr="001B5BED">
              <w:t>The skills and knowledge described in this unit require a license to practice in the workplace subject to regulations for undertaking of electrical work. Practice in workplace and during training i</w:t>
            </w:r>
            <w:r w:rsidRPr="001B5BED">
              <w:t>s also subject to regulations directly related to occupational health and safety and where applicable contracts of training such as apprenticeships.</w:t>
            </w:r>
          </w:p>
        </w:tc>
      </w:tr>
    </w:tbl>
    <w:p w:rsidR="00B238B2" w:rsidP="001B5BED">
      <w:pPr>
        <w:pStyle w:val="BodyText"/>
      </w:pPr>
    </w:p>
    <w:p w:rsidR="00B238B2" w:rsidP="001B5BED">
      <w:pPr>
        <w:pStyle w:val="BodyText"/>
      </w:pPr>
    </w:p>
    <w:p w:rsidR="00000000" w:rsidRPr="001B5BED" w:rsidP="001B5BED">
      <w:pPr>
        <w:pStyle w:val="Heading1"/>
      </w:pPr>
      <w:bookmarkStart w:id="5" w:name="O_226994"/>
      <w:bookmarkEnd w:id="5"/>
      <w:r w:rsidRPr="001B5BED">
        <w:t>Pre-Requisites</w:t>
      </w:r>
    </w:p>
    <w:tbl>
      <w:tblPr>
        <w:tblW w:w="0" w:type="auto"/>
        <w:tblLayout w:type="fixed"/>
        <w:tblCellMar>
          <w:left w:w="62" w:type="dxa"/>
          <w:right w:w="62" w:type="dxa"/>
        </w:tblCellMar>
        <w:tblLook w:val="0000"/>
      </w:tblPr>
      <w:tblGrid>
        <w:gridCol w:w="2700"/>
        <w:gridCol w:w="5760"/>
      </w:tblGrid>
      <w:tr w:rsidTr="00B238B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B5BED" w:rsidP="001B5BED">
            <w:pPr>
              <w:pStyle w:val="BodyText"/>
            </w:pPr>
            <w:r w:rsidRPr="001B5BED">
              <w:rPr>
                <w:rStyle w:val="SpecialBold"/>
              </w:rPr>
              <w:t>Prerequisite Unit</w:t>
            </w:r>
            <w:r w:rsidRPr="001B5BED">
              <w:t>(</w:t>
            </w:r>
            <w:r w:rsidRPr="001B5BED">
              <w:rPr>
                <w:rStyle w:val="SpecialBold"/>
              </w:rPr>
              <w:t>s</w:t>
            </w:r>
            <w:r w:rsidRPr="001B5BED">
              <w:t>)</w:t>
            </w:r>
          </w:p>
        </w:tc>
        <w:tc>
          <w:tcPr>
            <w:tcW w:w="5760" w:type="dxa"/>
            <w:tcBorders>
              <w:top w:val="nil"/>
              <w:left w:val="nil"/>
              <w:bottom w:val="nil"/>
              <w:right w:val="nil"/>
            </w:tcBorders>
            <w:tcMar>
              <w:top w:w="0" w:type="dxa"/>
              <w:left w:w="62" w:type="dxa"/>
              <w:bottom w:w="0" w:type="dxa"/>
              <w:right w:w="62" w:type="dxa"/>
            </w:tcMar>
          </w:tcPr>
          <w:p w:rsidR="00000000" w:rsidP="001B5BED">
            <w:pPr>
              <w:pStyle w:val="BodyText"/>
              <w:rPr>
                <w:lang w:val="en-NZ"/>
              </w:rPr>
            </w:pPr>
            <w:r w:rsidRPr="001B5BED">
              <w:rPr>
                <w:rStyle w:val="SpecialBold"/>
              </w:rPr>
              <w:t>2</w:t>
            </w:r>
            <w:r w:rsidRPr="001B5BED">
              <w:t>)</w:t>
            </w:r>
          </w:p>
        </w:tc>
      </w:tr>
      <w:tr w:rsidTr="00B238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B5BED">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B5BED">
            <w:pPr>
              <w:pStyle w:val="BodyText"/>
              <w:rPr>
                <w:lang w:val="en-NZ"/>
              </w:rPr>
            </w:pPr>
            <w:r w:rsidRPr="001B5BED">
              <w:rPr>
                <w:rStyle w:val="SpecialBold"/>
              </w:rPr>
              <w:t>2</w:t>
            </w:r>
            <w:r w:rsidRPr="001B5BED">
              <w:t>.</w:t>
            </w:r>
            <w:r w:rsidRPr="001B5BED">
              <w:rPr>
                <w:rStyle w:val="SpecialBold"/>
              </w:rPr>
              <w:t>1</w:t>
            </w:r>
            <w:r w:rsidRPr="001B5BED">
              <w:t xml:space="preserve">) </w:t>
            </w:r>
            <w:r w:rsidRPr="001B5BED">
              <w:rPr>
                <w:rStyle w:val="SpecialBold"/>
              </w:rPr>
              <w:t>Competencies</w:t>
            </w:r>
          </w:p>
        </w:tc>
      </w:tr>
      <w:tr w:rsidTr="00B238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B5BED" w:rsidP="001B5BED">
            <w:pPr>
              <w:pStyle w:val="BodyText"/>
            </w:pPr>
            <w:r w:rsidRPr="001B5BED">
              <w:t>Granting competency in this unit shall be made only after competency in the following unit(s) has/have been confirmed.</w:t>
            </w:r>
          </w:p>
          <w:p w:rsidR="00000000" w:rsidRPr="001B5BED" w:rsidP="001B5BED">
            <w:pPr>
              <w:pStyle w:val="BodyText"/>
            </w:pPr>
            <w:r w:rsidRPr="001B5BED">
              <w:t>UEENEEH064B Commission commercial fire protection systems</w:t>
            </w:r>
          </w:p>
          <w:p w:rsidR="00000000" w:rsidRPr="001B5BED" w:rsidP="001B5BED">
            <w:pPr>
              <w:pStyle w:val="BodyText"/>
            </w:pPr>
            <w:r w:rsidRPr="001B5BED">
              <w:t>For the full prerequisite chain details for this unit please refer to Table 2 i</w:t>
            </w:r>
            <w:r w:rsidRPr="001B5BED">
              <w:t>n Volume 1, Part 2</w:t>
            </w:r>
          </w:p>
        </w:tc>
      </w:tr>
    </w:tbl>
    <w:p w:rsidR="00B238B2" w:rsidP="001B5BED">
      <w:pPr>
        <w:pStyle w:val="BodyText"/>
      </w:pPr>
    </w:p>
    <w:p w:rsidR="00B238B2" w:rsidP="001B5BED">
      <w:pPr>
        <w:pStyle w:val="BodyText"/>
      </w:pPr>
    </w:p>
    <w:p w:rsidR="00000000" w:rsidRPr="001B5BED" w:rsidP="001B5BED">
      <w:pPr>
        <w:pStyle w:val="Heading1"/>
      </w:pPr>
      <w:bookmarkStart w:id="6" w:name="O_226996"/>
      <w:bookmarkEnd w:id="6"/>
      <w:r w:rsidRPr="001B5BED">
        <w:t>Employability Skills Information</w:t>
      </w:r>
    </w:p>
    <w:tbl>
      <w:tblPr>
        <w:tblW w:w="0" w:type="auto"/>
        <w:tblLayout w:type="fixed"/>
        <w:tblCellMar>
          <w:left w:w="62" w:type="dxa"/>
          <w:right w:w="62" w:type="dxa"/>
        </w:tblCellMar>
        <w:tblLook w:val="0000"/>
      </w:tblPr>
      <w:tblGrid>
        <w:gridCol w:w="2700"/>
        <w:gridCol w:w="5760"/>
      </w:tblGrid>
      <w:tr w:rsidTr="00B238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B5BED" w:rsidP="001B5BED">
            <w:pPr>
              <w:pStyle w:val="BodyText"/>
            </w:pPr>
            <w:r w:rsidRPr="001B5BE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1B5BED" w:rsidP="001B5BED">
            <w:pPr>
              <w:pStyle w:val="BodyText"/>
            </w:pPr>
            <w:r w:rsidRPr="001B5BED">
              <w:rPr>
                <w:rStyle w:val="SpecialBold"/>
              </w:rPr>
              <w:t>3</w:t>
            </w:r>
            <w:r w:rsidRPr="001B5BED">
              <w:t>)</w:t>
            </w:r>
          </w:p>
          <w:p w:rsidR="00000000" w:rsidRPr="001B5BED" w:rsidP="001B5BED">
            <w:pPr>
              <w:pStyle w:val="BodyText"/>
            </w:pPr>
            <w:r w:rsidRPr="001B5BED">
              <w:t>This unit contains Employability Skills</w:t>
            </w:r>
          </w:p>
          <w:p w:rsidR="00000000" w:rsidRPr="001B5BED" w:rsidP="001B5BED">
            <w:pPr>
              <w:pStyle w:val="BodyText"/>
            </w:pPr>
            <w:r w:rsidRPr="001B5BED">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1B5BED">
              <w:t>requirements.</w:t>
            </w:r>
          </w:p>
        </w:tc>
      </w:tr>
    </w:tbl>
    <w:p w:rsidR="00B238B2" w:rsidP="001B5BED">
      <w:pPr>
        <w:pStyle w:val="BodyText"/>
      </w:pPr>
    </w:p>
    <w:p w:rsidR="00B238B2" w:rsidP="001B5BED">
      <w:pPr>
        <w:pStyle w:val="BodyText"/>
      </w:pPr>
    </w:p>
    <w:p w:rsidR="00000000" w:rsidRPr="001B5BED" w:rsidP="001B5BED">
      <w:pPr>
        <w:pStyle w:val="Heading1"/>
      </w:pPr>
      <w:bookmarkStart w:id="7" w:name="O_292794"/>
      <w:bookmarkEnd w:id="7"/>
      <w:r w:rsidRPr="001B5BED">
        <w:t>Elements and Performance Criteria Pre-Content</w:t>
      </w:r>
    </w:p>
    <w:tbl>
      <w:tblPr>
        <w:tblW w:w="0" w:type="auto"/>
        <w:tblLayout w:type="fixed"/>
        <w:tblCellMar>
          <w:left w:w="62" w:type="dxa"/>
          <w:right w:w="62" w:type="dxa"/>
        </w:tblCellMar>
        <w:tblLook w:val="0000"/>
      </w:tblPr>
      <w:tblGrid>
        <w:gridCol w:w="2700"/>
        <w:gridCol w:w="5760"/>
      </w:tblGrid>
      <w:tr w:rsidTr="00B238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B5BED">
            <w:pPr>
              <w:pStyle w:val="BodyText"/>
              <w:rPr>
                <w:lang w:val="en-NZ"/>
              </w:rPr>
            </w:pPr>
            <w:r w:rsidRPr="001B5BED">
              <w:rPr>
                <w:rStyle w:val="SpecialBold"/>
              </w:rPr>
              <w:t>6</w:t>
            </w:r>
            <w:r w:rsidRPr="001B5BED">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1B5BED" w:rsidP="001B5BED">
            <w:pPr>
              <w:pStyle w:val="BodyText"/>
            </w:pPr>
            <w:r w:rsidRPr="001B5BED">
              <w:t>Performance criteria describe the required performance needed to demonstrate achievement of the Element. Ass</w:t>
            </w:r>
            <w:r w:rsidRPr="001B5BED">
              <w:t>essment of performance is to be consistent with the evidence guide.</w:t>
            </w:r>
          </w:p>
        </w:tc>
      </w:tr>
    </w:tbl>
    <w:p w:rsidR="00000000" w:rsidRPr="001B5BED" w:rsidP="001B5BED">
      <w:pPr>
        <w:pStyle w:val="BodyText"/>
      </w:pPr>
    </w:p>
    <w:p w:rsidR="00000000" w:rsidRPr="001B5BED" w:rsidP="001B5BED">
      <w:pPr>
        <w:pStyle w:val="AllowPageBreak"/>
      </w:pPr>
    </w:p>
    <w:p w:rsidR="00000000" w:rsidRPr="001B5BED" w:rsidP="001B5BED">
      <w:pPr>
        <w:pStyle w:val="Heading1"/>
      </w:pPr>
      <w:bookmarkStart w:id="8" w:name="O_239462"/>
      <w:bookmarkEnd w:id="8"/>
      <w:r w:rsidRPr="001B5BE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B238B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B5BED" w:rsidP="001B5BED">
            <w:pPr>
              <w:pStyle w:val="BodyText"/>
            </w:pPr>
            <w:r w:rsidRPr="001B5BE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B5BED">
            <w:pPr>
              <w:pStyle w:val="BodyText"/>
              <w:rPr>
                <w:lang w:val="en-NZ"/>
              </w:rPr>
            </w:pPr>
            <w:r w:rsidRPr="001B5BED">
              <w:rPr>
                <w:rStyle w:val="SpecialBold"/>
              </w:rPr>
              <w:t>PERFORMANCE CRITERIA</w:t>
            </w:r>
          </w:p>
        </w:tc>
      </w:tr>
      <w:tr w:rsidTr="00B238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B5BED">
            <w:pPr>
              <w:pStyle w:val="BodyText"/>
              <w:rPr>
                <w:lang w:val="en-NZ"/>
              </w:rPr>
            </w:pPr>
            <w:r w:rsidRPr="001B5BED">
              <w:t>1</w:t>
            </w:r>
          </w:p>
        </w:tc>
        <w:tc>
          <w:tcPr>
            <w:tcW w:w="2296" w:type="dxa"/>
            <w:vMerge w:val="restart"/>
            <w:tcBorders>
              <w:top w:val="nil"/>
              <w:left w:val="nil"/>
              <w:bottom w:val="nil"/>
              <w:right w:val="nil"/>
            </w:tcBorders>
            <w:tcMar>
              <w:top w:w="0" w:type="dxa"/>
              <w:left w:w="62" w:type="dxa"/>
              <w:bottom w:w="0" w:type="dxa"/>
              <w:right w:w="62" w:type="dxa"/>
            </w:tcMar>
          </w:tcPr>
          <w:p w:rsidR="00000000" w:rsidP="001B5BED">
            <w:pPr>
              <w:pStyle w:val="BodyText"/>
              <w:rPr>
                <w:lang w:val="en-NZ"/>
              </w:rPr>
            </w:pPr>
            <w:r w:rsidRPr="001B5BED">
              <w:t>Prepare to find and rectify faults.</w:t>
            </w:r>
          </w:p>
        </w:tc>
        <w:tc>
          <w:tcPr>
            <w:tcW w:w="900" w:type="dxa"/>
            <w:tcBorders>
              <w:top w:val="nil"/>
              <w:left w:val="nil"/>
              <w:bottom w:val="nil"/>
              <w:right w:val="nil"/>
            </w:tcBorders>
            <w:tcMar>
              <w:top w:w="0" w:type="dxa"/>
              <w:left w:w="62" w:type="dxa"/>
              <w:bottom w:w="0" w:type="dxa"/>
              <w:right w:w="62" w:type="dxa"/>
            </w:tcMar>
          </w:tcPr>
          <w:p w:rsidR="00000000" w:rsidP="001B5BED">
            <w:pPr>
              <w:pStyle w:val="BodyText"/>
              <w:rPr>
                <w:lang w:val="en-NZ"/>
              </w:rPr>
            </w:pPr>
            <w:r w:rsidRPr="001B5BED">
              <w:t>1.1</w:t>
            </w:r>
          </w:p>
        </w:tc>
        <w:tc>
          <w:tcPr>
            <w:tcW w:w="4860" w:type="dxa"/>
            <w:tcBorders>
              <w:top w:val="nil"/>
              <w:left w:val="nil"/>
              <w:bottom w:val="nil"/>
              <w:right w:val="nil"/>
            </w:tcBorders>
            <w:tcMar>
              <w:top w:w="0" w:type="dxa"/>
              <w:left w:w="62" w:type="dxa"/>
              <w:bottom w:w="0" w:type="dxa"/>
              <w:right w:w="62" w:type="dxa"/>
            </w:tcMar>
          </w:tcPr>
          <w:p w:rsidR="00000000" w:rsidP="001B5BED">
            <w:pPr>
              <w:pStyle w:val="BodyText"/>
              <w:rPr>
                <w:lang w:val="en-NZ"/>
              </w:rPr>
            </w:pPr>
            <w:r w:rsidRPr="001B5BED">
              <w:t xml:space="preserve">OHS procedures for a given work area are identified, obtained and understood.  </w:t>
            </w:r>
          </w:p>
        </w:tc>
      </w:tr>
      <w:tr w:rsidTr="00B238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5BED">
            <w:pPr>
              <w:pStyle w:val="BodyText"/>
              <w:rPr>
                <w:lang w:val="en-NZ"/>
              </w:rPr>
            </w:pPr>
            <w:r w:rsidRPr="001B5BED">
              <w:t>1.2</w:t>
            </w:r>
          </w:p>
        </w:tc>
        <w:tc>
          <w:tcPr>
            <w:tcW w:w="4860" w:type="dxa"/>
            <w:tcBorders>
              <w:top w:val="nil"/>
              <w:left w:val="nil"/>
              <w:bottom w:val="nil"/>
              <w:right w:val="nil"/>
            </w:tcBorders>
            <w:tcMar>
              <w:top w:w="0" w:type="dxa"/>
              <w:left w:w="62" w:type="dxa"/>
              <w:bottom w:w="0" w:type="dxa"/>
              <w:right w:w="62" w:type="dxa"/>
            </w:tcMar>
          </w:tcPr>
          <w:p w:rsidR="00000000" w:rsidP="001B5BED">
            <w:pPr>
              <w:pStyle w:val="BodyText"/>
              <w:rPr>
                <w:lang w:val="en-NZ"/>
              </w:rPr>
            </w:pPr>
            <w:r w:rsidRPr="001B5BED">
              <w:t>OHS risk control measures and procedures are followed in preparation for the work.</w:t>
            </w:r>
          </w:p>
        </w:tc>
      </w:tr>
      <w:tr w:rsidTr="00B238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5BED">
            <w:pPr>
              <w:pStyle w:val="BodyText"/>
              <w:rPr>
                <w:lang w:val="en-NZ"/>
              </w:rPr>
            </w:pPr>
            <w:r w:rsidRPr="001B5BED">
              <w:t>1.3</w:t>
            </w:r>
          </w:p>
        </w:tc>
        <w:tc>
          <w:tcPr>
            <w:tcW w:w="4860" w:type="dxa"/>
            <w:tcBorders>
              <w:top w:val="nil"/>
              <w:left w:val="nil"/>
              <w:bottom w:val="nil"/>
              <w:right w:val="nil"/>
            </w:tcBorders>
            <w:tcMar>
              <w:top w:w="0" w:type="dxa"/>
              <w:left w:w="62" w:type="dxa"/>
              <w:bottom w:w="0" w:type="dxa"/>
              <w:right w:w="62" w:type="dxa"/>
            </w:tcMar>
          </w:tcPr>
          <w:p w:rsidR="00000000" w:rsidP="001B5BED">
            <w:pPr>
              <w:pStyle w:val="BodyText"/>
              <w:rPr>
                <w:lang w:val="en-NZ"/>
              </w:rPr>
            </w:pPr>
            <w:r w:rsidRPr="001B5BED">
              <w:t>The likely extent of work to be undertaken is envisaged from fault/breakdown reports and/or discussions with appropriate person(s).</w:t>
            </w:r>
          </w:p>
        </w:tc>
      </w:tr>
      <w:tr w:rsidTr="00B238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5BED">
            <w:pPr>
              <w:pStyle w:val="BodyText"/>
              <w:rPr>
                <w:lang w:val="en-NZ"/>
              </w:rPr>
            </w:pPr>
            <w:r w:rsidRPr="001B5BED">
              <w:t>1.4</w:t>
            </w:r>
          </w:p>
        </w:tc>
        <w:tc>
          <w:tcPr>
            <w:tcW w:w="4860" w:type="dxa"/>
            <w:tcBorders>
              <w:top w:val="nil"/>
              <w:left w:val="nil"/>
              <w:bottom w:val="nil"/>
              <w:right w:val="nil"/>
            </w:tcBorders>
            <w:tcMar>
              <w:top w:w="0" w:type="dxa"/>
              <w:left w:w="62" w:type="dxa"/>
              <w:bottom w:w="0" w:type="dxa"/>
              <w:right w:w="62" w:type="dxa"/>
            </w:tcMar>
          </w:tcPr>
          <w:p w:rsidR="00000000" w:rsidP="001B5BED">
            <w:pPr>
              <w:pStyle w:val="BodyText"/>
              <w:rPr>
                <w:lang w:val="en-NZ"/>
              </w:rPr>
            </w:pPr>
            <w:r w:rsidRPr="001B5BED">
              <w:t xml:space="preserve">Advice is sought from the work supervisor to ensure the work is co-ordinated effectively with others. </w:t>
            </w:r>
          </w:p>
        </w:tc>
      </w:tr>
      <w:tr w:rsidTr="00B238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5BED">
            <w:pPr>
              <w:pStyle w:val="BodyText"/>
              <w:rPr>
                <w:lang w:val="en-NZ"/>
              </w:rPr>
            </w:pPr>
            <w:r w:rsidRPr="001B5BED">
              <w:t>1.5</w:t>
            </w:r>
          </w:p>
        </w:tc>
        <w:tc>
          <w:tcPr>
            <w:tcW w:w="4860" w:type="dxa"/>
            <w:tcBorders>
              <w:top w:val="nil"/>
              <w:left w:val="nil"/>
              <w:bottom w:val="nil"/>
              <w:right w:val="nil"/>
            </w:tcBorders>
            <w:tcMar>
              <w:top w:w="0" w:type="dxa"/>
              <w:left w:w="62" w:type="dxa"/>
              <w:bottom w:w="0" w:type="dxa"/>
              <w:right w:w="62" w:type="dxa"/>
            </w:tcMar>
          </w:tcPr>
          <w:p w:rsidR="00000000" w:rsidP="001B5BED">
            <w:pPr>
              <w:pStyle w:val="BodyText"/>
              <w:rPr>
                <w:lang w:val="en-NZ"/>
              </w:rPr>
            </w:pPr>
            <w:r w:rsidRPr="001B5BED">
              <w:t>Sources</w:t>
            </w:r>
            <w:r w:rsidRPr="001B5BED">
              <w:t xml:space="preserve"> of materials that may be required for the work are established in accordance with established procedures.</w:t>
            </w:r>
          </w:p>
        </w:tc>
      </w:tr>
      <w:tr w:rsidTr="00B238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5BED">
            <w:pPr>
              <w:pStyle w:val="BodyText"/>
              <w:rPr>
                <w:lang w:val="en-NZ"/>
              </w:rPr>
            </w:pPr>
            <w:r w:rsidRPr="001B5BED">
              <w:t>1.6</w:t>
            </w:r>
          </w:p>
        </w:tc>
        <w:tc>
          <w:tcPr>
            <w:tcW w:w="4860" w:type="dxa"/>
            <w:tcBorders>
              <w:top w:val="nil"/>
              <w:left w:val="nil"/>
              <w:bottom w:val="nil"/>
              <w:right w:val="nil"/>
            </w:tcBorders>
            <w:tcMar>
              <w:top w:w="0" w:type="dxa"/>
              <w:left w:w="62" w:type="dxa"/>
              <w:bottom w:w="0" w:type="dxa"/>
              <w:right w:w="62" w:type="dxa"/>
            </w:tcMar>
          </w:tcPr>
          <w:p w:rsidR="00000000" w:rsidP="001B5BED">
            <w:pPr>
              <w:pStyle w:val="BodyText"/>
              <w:rPr>
                <w:lang w:val="en-NZ"/>
              </w:rPr>
            </w:pPr>
            <w:r w:rsidRPr="001B5BED">
              <w:t xml:space="preserve">Tools, equipment and testing devices needed to locate faults are obtained in accordance with established procedures and checked for correct </w:t>
            </w:r>
            <w:r w:rsidRPr="001B5BED">
              <w:t>operation and safety.</w:t>
            </w:r>
          </w:p>
        </w:tc>
      </w:tr>
      <w:tr w:rsidTr="00B238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B5BED">
            <w:pPr>
              <w:pStyle w:val="BodyText"/>
              <w:rPr>
                <w:lang w:val="en-NZ"/>
              </w:rPr>
            </w:pPr>
            <w:r w:rsidRPr="001B5BED">
              <w:t>2</w:t>
            </w:r>
          </w:p>
        </w:tc>
        <w:tc>
          <w:tcPr>
            <w:tcW w:w="2296" w:type="dxa"/>
            <w:vMerge w:val="restart"/>
            <w:tcBorders>
              <w:top w:val="nil"/>
              <w:left w:val="nil"/>
              <w:bottom w:val="nil"/>
              <w:right w:val="nil"/>
            </w:tcBorders>
            <w:tcMar>
              <w:top w:w="0" w:type="dxa"/>
              <w:left w:w="62" w:type="dxa"/>
              <w:bottom w:w="0" w:type="dxa"/>
              <w:right w:w="62" w:type="dxa"/>
            </w:tcMar>
          </w:tcPr>
          <w:p w:rsidR="00000000" w:rsidP="001B5BED">
            <w:pPr>
              <w:pStyle w:val="BodyText"/>
              <w:rPr>
                <w:lang w:val="en-NZ"/>
              </w:rPr>
            </w:pPr>
            <w:r w:rsidRPr="001B5BED">
              <w:t>Find and repair faults.</w:t>
            </w:r>
          </w:p>
        </w:tc>
        <w:tc>
          <w:tcPr>
            <w:tcW w:w="900" w:type="dxa"/>
            <w:tcBorders>
              <w:top w:val="nil"/>
              <w:left w:val="nil"/>
              <w:bottom w:val="nil"/>
              <w:right w:val="nil"/>
            </w:tcBorders>
            <w:tcMar>
              <w:top w:w="0" w:type="dxa"/>
              <w:left w:w="62" w:type="dxa"/>
              <w:bottom w:w="0" w:type="dxa"/>
              <w:right w:w="62" w:type="dxa"/>
            </w:tcMar>
          </w:tcPr>
          <w:p w:rsidR="00000000" w:rsidP="001B5BED">
            <w:pPr>
              <w:pStyle w:val="BodyText"/>
              <w:rPr>
                <w:lang w:val="en-NZ"/>
              </w:rPr>
            </w:pPr>
            <w:r w:rsidRPr="001B5BED">
              <w:t>2.1</w:t>
            </w:r>
          </w:p>
        </w:tc>
        <w:tc>
          <w:tcPr>
            <w:tcW w:w="4860" w:type="dxa"/>
            <w:tcBorders>
              <w:top w:val="nil"/>
              <w:left w:val="nil"/>
              <w:bottom w:val="nil"/>
              <w:right w:val="nil"/>
            </w:tcBorders>
            <w:tcMar>
              <w:top w:w="0" w:type="dxa"/>
              <w:left w:w="62" w:type="dxa"/>
              <w:bottom w:w="0" w:type="dxa"/>
              <w:right w:w="62" w:type="dxa"/>
            </w:tcMar>
          </w:tcPr>
          <w:p w:rsidR="00000000" w:rsidP="001B5BED">
            <w:pPr>
              <w:pStyle w:val="BodyText"/>
              <w:rPr>
                <w:lang w:val="en-NZ"/>
              </w:rPr>
            </w:pPr>
            <w:r w:rsidRPr="001B5BED">
              <w:t>OHS risk control measures and procedures for carrying out the work are followed.</w:t>
            </w:r>
          </w:p>
        </w:tc>
      </w:tr>
      <w:tr w:rsidTr="00B238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5BED">
            <w:pPr>
              <w:pStyle w:val="BodyText"/>
              <w:rPr>
                <w:lang w:val="en-NZ"/>
              </w:rPr>
            </w:pPr>
            <w:r w:rsidRPr="001B5BED">
              <w:t>2.2</w:t>
            </w:r>
          </w:p>
        </w:tc>
        <w:tc>
          <w:tcPr>
            <w:tcW w:w="4860" w:type="dxa"/>
            <w:tcBorders>
              <w:top w:val="nil"/>
              <w:left w:val="nil"/>
              <w:bottom w:val="nil"/>
              <w:right w:val="nil"/>
            </w:tcBorders>
            <w:tcMar>
              <w:top w:w="0" w:type="dxa"/>
              <w:left w:w="62" w:type="dxa"/>
              <w:bottom w:w="0" w:type="dxa"/>
              <w:right w:w="62" w:type="dxa"/>
            </w:tcMar>
          </w:tcPr>
          <w:p w:rsidR="00000000" w:rsidP="001B5BED">
            <w:pPr>
              <w:pStyle w:val="BodyText"/>
              <w:rPr>
                <w:lang w:val="en-NZ"/>
              </w:rPr>
            </w:pPr>
            <w:r w:rsidRPr="001B5BED">
              <w:t>The need to test or measure live is determined in strict accordance with OHS requirements and when necessary conduc</w:t>
            </w:r>
            <w:r w:rsidRPr="001B5BED">
              <w:t>ted within established safety procedures.</w:t>
            </w:r>
          </w:p>
        </w:tc>
      </w:tr>
      <w:tr w:rsidTr="00B238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5BED">
            <w:pPr>
              <w:pStyle w:val="BodyText"/>
              <w:rPr>
                <w:lang w:val="en-NZ"/>
              </w:rPr>
            </w:pPr>
            <w:r w:rsidRPr="001B5BED">
              <w:t>2.3</w:t>
            </w:r>
          </w:p>
        </w:tc>
        <w:tc>
          <w:tcPr>
            <w:tcW w:w="4860" w:type="dxa"/>
            <w:tcBorders>
              <w:top w:val="nil"/>
              <w:left w:val="nil"/>
              <w:bottom w:val="nil"/>
              <w:right w:val="nil"/>
            </w:tcBorders>
            <w:tcMar>
              <w:top w:w="0" w:type="dxa"/>
              <w:left w:w="62" w:type="dxa"/>
              <w:bottom w:w="0" w:type="dxa"/>
              <w:right w:w="62" w:type="dxa"/>
            </w:tcMar>
          </w:tcPr>
          <w:p w:rsidR="00000000" w:rsidP="001B5BED">
            <w:pPr>
              <w:pStyle w:val="BodyText"/>
              <w:rPr>
                <w:lang w:val="en-NZ"/>
              </w:rPr>
            </w:pPr>
            <w:r w:rsidRPr="001B5BED">
              <w:t>Circuits/machines/plant/system interfaces are checked as being isolated where necessary in strict accordance OHS requirements and procedures.</w:t>
            </w:r>
          </w:p>
        </w:tc>
      </w:tr>
      <w:tr w:rsidTr="00B238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5BED">
            <w:pPr>
              <w:pStyle w:val="BodyText"/>
              <w:rPr>
                <w:lang w:val="en-NZ"/>
              </w:rPr>
            </w:pPr>
            <w:r w:rsidRPr="001B5BED">
              <w:t>2.4</w:t>
            </w:r>
          </w:p>
        </w:tc>
        <w:tc>
          <w:tcPr>
            <w:tcW w:w="4860" w:type="dxa"/>
            <w:tcBorders>
              <w:top w:val="nil"/>
              <w:left w:val="nil"/>
              <w:bottom w:val="nil"/>
              <w:right w:val="nil"/>
            </w:tcBorders>
            <w:tcMar>
              <w:top w:w="0" w:type="dxa"/>
              <w:left w:w="62" w:type="dxa"/>
              <w:bottom w:w="0" w:type="dxa"/>
              <w:right w:w="62" w:type="dxa"/>
            </w:tcMar>
          </w:tcPr>
          <w:p w:rsidR="00000000" w:rsidP="001B5BED">
            <w:pPr>
              <w:pStyle w:val="BodyText"/>
              <w:rPr>
                <w:lang w:val="en-NZ"/>
              </w:rPr>
            </w:pPr>
            <w:r w:rsidRPr="001B5BED">
              <w:t>Safety hazards res</w:t>
            </w:r>
            <w:r w:rsidRPr="001B5BED">
              <w:t>ulting from the fault or breakdown are documented and risk control measures devised and implemented in consultation with appropriate personnel.</w:t>
            </w:r>
          </w:p>
        </w:tc>
      </w:tr>
      <w:tr w:rsidTr="00B238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5BED">
            <w:pPr>
              <w:pStyle w:val="BodyText"/>
              <w:rPr>
                <w:lang w:val="en-NZ"/>
              </w:rPr>
            </w:pPr>
            <w:r w:rsidRPr="001B5BED">
              <w:t>2.5</w:t>
            </w:r>
          </w:p>
        </w:tc>
        <w:tc>
          <w:tcPr>
            <w:tcW w:w="4860" w:type="dxa"/>
            <w:tcBorders>
              <w:top w:val="nil"/>
              <w:left w:val="nil"/>
              <w:bottom w:val="nil"/>
              <w:right w:val="nil"/>
            </w:tcBorders>
            <w:tcMar>
              <w:top w:w="0" w:type="dxa"/>
              <w:left w:w="62" w:type="dxa"/>
              <w:bottom w:w="0" w:type="dxa"/>
              <w:right w:w="62" w:type="dxa"/>
            </w:tcMar>
          </w:tcPr>
          <w:p w:rsidR="00000000" w:rsidP="001B5BED">
            <w:pPr>
              <w:pStyle w:val="BodyText"/>
              <w:rPr>
                <w:lang w:val="en-NZ"/>
              </w:rPr>
            </w:pPr>
            <w:r w:rsidRPr="001B5BED">
              <w:t>Fault finding is approached methodically drawing on knowledge of fire protection systems and components u</w:t>
            </w:r>
            <w:r w:rsidRPr="001B5BED">
              <w:t>sing measured values of system parameters.</w:t>
            </w:r>
          </w:p>
        </w:tc>
      </w:tr>
      <w:tr w:rsidTr="00B238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5BED">
            <w:pPr>
              <w:pStyle w:val="BodyText"/>
              <w:rPr>
                <w:lang w:val="en-NZ"/>
              </w:rPr>
            </w:pPr>
            <w:r w:rsidRPr="001B5BED">
              <w:t>2.6</w:t>
            </w:r>
          </w:p>
        </w:tc>
        <w:tc>
          <w:tcPr>
            <w:tcW w:w="4860" w:type="dxa"/>
            <w:tcBorders>
              <w:top w:val="nil"/>
              <w:left w:val="nil"/>
              <w:bottom w:val="nil"/>
              <w:right w:val="nil"/>
            </w:tcBorders>
            <w:tcMar>
              <w:top w:w="0" w:type="dxa"/>
              <w:left w:w="62" w:type="dxa"/>
              <w:bottom w:w="0" w:type="dxa"/>
              <w:right w:w="62" w:type="dxa"/>
            </w:tcMar>
          </w:tcPr>
          <w:p w:rsidR="00000000" w:rsidP="001B5BED">
            <w:pPr>
              <w:pStyle w:val="BodyText"/>
              <w:rPr>
                <w:lang w:val="en-NZ"/>
              </w:rPr>
            </w:pPr>
            <w:r w:rsidRPr="001B5BED">
              <w:t>System components are dismantled where necessary and parts stored to protect them against loss or damage.</w:t>
            </w:r>
          </w:p>
        </w:tc>
      </w:tr>
      <w:tr w:rsidTr="00B238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5BED">
            <w:pPr>
              <w:pStyle w:val="BodyText"/>
              <w:rPr>
                <w:lang w:val="en-NZ"/>
              </w:rPr>
            </w:pPr>
            <w:r w:rsidRPr="001B5BED">
              <w:t>2.7</w:t>
            </w:r>
          </w:p>
        </w:tc>
        <w:tc>
          <w:tcPr>
            <w:tcW w:w="4860" w:type="dxa"/>
            <w:tcBorders>
              <w:top w:val="nil"/>
              <w:left w:val="nil"/>
              <w:bottom w:val="nil"/>
              <w:right w:val="nil"/>
            </w:tcBorders>
            <w:tcMar>
              <w:top w:w="0" w:type="dxa"/>
              <w:left w:w="62" w:type="dxa"/>
              <w:bottom w:w="0" w:type="dxa"/>
              <w:right w:w="62" w:type="dxa"/>
            </w:tcMar>
          </w:tcPr>
          <w:p w:rsidR="00000000" w:rsidP="001B5BED">
            <w:pPr>
              <w:pStyle w:val="BodyText"/>
              <w:rPr>
                <w:lang w:val="en-NZ"/>
              </w:rPr>
            </w:pPr>
            <w:r w:rsidRPr="001B5BED">
              <w:t>Faulty system/components are rechecked and their fault status and confirmed.</w:t>
            </w:r>
          </w:p>
        </w:tc>
      </w:tr>
      <w:tr w:rsidTr="00B238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5BED">
            <w:pPr>
              <w:pStyle w:val="BodyText"/>
              <w:rPr>
                <w:lang w:val="en-NZ"/>
              </w:rPr>
            </w:pPr>
            <w:r w:rsidRPr="001B5BED">
              <w:t>2.8</w:t>
            </w:r>
          </w:p>
        </w:tc>
        <w:tc>
          <w:tcPr>
            <w:tcW w:w="4860" w:type="dxa"/>
            <w:tcBorders>
              <w:top w:val="nil"/>
              <w:left w:val="nil"/>
              <w:bottom w:val="nil"/>
              <w:right w:val="nil"/>
            </w:tcBorders>
            <w:tcMar>
              <w:top w:w="0" w:type="dxa"/>
              <w:left w:w="62" w:type="dxa"/>
              <w:bottom w:w="0" w:type="dxa"/>
              <w:right w:w="62" w:type="dxa"/>
            </w:tcMar>
          </w:tcPr>
          <w:p w:rsidR="00000000" w:rsidP="001B5BED">
            <w:pPr>
              <w:pStyle w:val="BodyText"/>
              <w:rPr>
                <w:lang w:val="en-NZ"/>
              </w:rPr>
            </w:pPr>
            <w:r w:rsidRPr="001B5BED">
              <w:t>Materials/replacement parts required to rectify faults are sourced and obtained in accordance with established procedures.</w:t>
            </w:r>
          </w:p>
        </w:tc>
      </w:tr>
      <w:tr w:rsidTr="00B238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5BED">
            <w:pPr>
              <w:pStyle w:val="BodyText"/>
              <w:rPr>
                <w:lang w:val="en-NZ"/>
              </w:rPr>
            </w:pPr>
            <w:r w:rsidRPr="001B5BED">
              <w:t>2.9</w:t>
            </w:r>
          </w:p>
        </w:tc>
        <w:tc>
          <w:tcPr>
            <w:tcW w:w="4860" w:type="dxa"/>
            <w:tcBorders>
              <w:top w:val="nil"/>
              <w:left w:val="nil"/>
              <w:bottom w:val="nil"/>
              <w:right w:val="nil"/>
            </w:tcBorders>
            <w:tcMar>
              <w:top w:w="0" w:type="dxa"/>
              <w:left w:w="62" w:type="dxa"/>
              <w:bottom w:w="0" w:type="dxa"/>
              <w:right w:w="62" w:type="dxa"/>
            </w:tcMar>
          </w:tcPr>
          <w:p w:rsidR="00000000" w:rsidP="001B5BED">
            <w:pPr>
              <w:pStyle w:val="BodyText"/>
              <w:rPr>
                <w:lang w:val="en-NZ"/>
              </w:rPr>
            </w:pPr>
            <w:r w:rsidRPr="001B5BED">
              <w:t>Effectiveness of the repair is tested in accordance with established procedures.</w:t>
            </w:r>
          </w:p>
        </w:tc>
      </w:tr>
      <w:tr w:rsidTr="00B238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5BED">
            <w:pPr>
              <w:pStyle w:val="BodyText"/>
              <w:rPr>
                <w:lang w:val="en-NZ"/>
              </w:rPr>
            </w:pPr>
            <w:r w:rsidRPr="001B5BED">
              <w:t>2.10</w:t>
            </w:r>
          </w:p>
        </w:tc>
        <w:tc>
          <w:tcPr>
            <w:tcW w:w="4860" w:type="dxa"/>
            <w:tcBorders>
              <w:top w:val="nil"/>
              <w:left w:val="nil"/>
              <w:bottom w:val="nil"/>
              <w:right w:val="nil"/>
            </w:tcBorders>
            <w:tcMar>
              <w:top w:w="0" w:type="dxa"/>
              <w:left w:w="62" w:type="dxa"/>
              <w:bottom w:w="0" w:type="dxa"/>
              <w:right w:w="62" w:type="dxa"/>
            </w:tcMar>
          </w:tcPr>
          <w:p w:rsidR="00000000" w:rsidP="001B5BED">
            <w:pPr>
              <w:pStyle w:val="BodyText"/>
              <w:rPr>
                <w:lang w:val="en-NZ"/>
              </w:rPr>
            </w:pPr>
            <w:r w:rsidRPr="001B5BED">
              <w:t>Apparatus is reassembled, finally tested and prepared for return to service.</w:t>
            </w:r>
          </w:p>
        </w:tc>
      </w:tr>
      <w:tr w:rsidTr="00B238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5BED">
            <w:pPr>
              <w:pStyle w:val="BodyText"/>
              <w:rPr>
                <w:lang w:val="en-NZ"/>
              </w:rPr>
            </w:pPr>
            <w:r w:rsidRPr="001B5BED">
              <w:t>2.11</w:t>
            </w:r>
          </w:p>
        </w:tc>
        <w:tc>
          <w:tcPr>
            <w:tcW w:w="4860" w:type="dxa"/>
            <w:tcBorders>
              <w:top w:val="nil"/>
              <w:left w:val="nil"/>
              <w:bottom w:val="nil"/>
              <w:right w:val="nil"/>
            </w:tcBorders>
            <w:tcMar>
              <w:top w:w="0" w:type="dxa"/>
              <w:left w:w="62" w:type="dxa"/>
              <w:bottom w:w="0" w:type="dxa"/>
              <w:right w:w="62" w:type="dxa"/>
            </w:tcMar>
          </w:tcPr>
          <w:p w:rsidR="00000000" w:rsidP="001B5BED">
            <w:pPr>
              <w:pStyle w:val="BodyText"/>
              <w:rPr>
                <w:lang w:val="en-NZ"/>
              </w:rPr>
            </w:pPr>
            <w:r w:rsidRPr="001B5BED">
              <w:t>Unexpected situations are dealt with safely and with the approval of an authorised person.</w:t>
            </w:r>
          </w:p>
        </w:tc>
      </w:tr>
      <w:tr w:rsidTr="00B238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5BED">
            <w:pPr>
              <w:pStyle w:val="BodyText"/>
              <w:rPr>
                <w:lang w:val="en-NZ"/>
              </w:rPr>
            </w:pPr>
            <w:r w:rsidRPr="001B5BED">
              <w:t>2.12</w:t>
            </w:r>
          </w:p>
        </w:tc>
        <w:tc>
          <w:tcPr>
            <w:tcW w:w="4860" w:type="dxa"/>
            <w:tcBorders>
              <w:top w:val="nil"/>
              <w:left w:val="nil"/>
              <w:bottom w:val="nil"/>
              <w:right w:val="nil"/>
            </w:tcBorders>
            <w:tcMar>
              <w:top w:w="0" w:type="dxa"/>
              <w:left w:w="62" w:type="dxa"/>
              <w:bottom w:w="0" w:type="dxa"/>
              <w:right w:w="62" w:type="dxa"/>
            </w:tcMar>
          </w:tcPr>
          <w:p w:rsidR="00000000" w:rsidP="001B5BED">
            <w:pPr>
              <w:pStyle w:val="BodyText"/>
              <w:rPr>
                <w:lang w:val="en-NZ"/>
              </w:rPr>
            </w:pPr>
            <w:r w:rsidRPr="001B5BED">
              <w:t xml:space="preserve">Fault finding and repair activities are carried out without unnecessary </w:t>
            </w:r>
            <w:r w:rsidRPr="001B5BED">
              <w:t>damage to apparatus, circuits, the surrounding environment or services and using sustainable energy practices.</w:t>
            </w:r>
          </w:p>
        </w:tc>
      </w:tr>
      <w:tr w:rsidTr="00B238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B5BED">
            <w:pPr>
              <w:pStyle w:val="BodyText"/>
              <w:rPr>
                <w:lang w:val="en-NZ"/>
              </w:rPr>
            </w:pPr>
            <w:r w:rsidRPr="001B5BED">
              <w:t>3</w:t>
            </w:r>
          </w:p>
        </w:tc>
        <w:tc>
          <w:tcPr>
            <w:tcW w:w="2296" w:type="dxa"/>
            <w:vMerge w:val="restart"/>
            <w:tcBorders>
              <w:top w:val="nil"/>
              <w:left w:val="nil"/>
              <w:bottom w:val="nil"/>
              <w:right w:val="nil"/>
            </w:tcBorders>
            <w:tcMar>
              <w:top w:w="0" w:type="dxa"/>
              <w:left w:w="62" w:type="dxa"/>
              <w:bottom w:w="0" w:type="dxa"/>
              <w:right w:w="62" w:type="dxa"/>
            </w:tcMar>
          </w:tcPr>
          <w:p w:rsidR="00000000" w:rsidP="001B5BED">
            <w:pPr>
              <w:pStyle w:val="BodyText"/>
              <w:rPr>
                <w:lang w:val="en-NZ"/>
              </w:rPr>
            </w:pPr>
            <w:r w:rsidRPr="001B5BED">
              <w:t>Completion and report fault finding and repair activities.</w:t>
            </w:r>
          </w:p>
        </w:tc>
        <w:tc>
          <w:tcPr>
            <w:tcW w:w="900" w:type="dxa"/>
            <w:tcBorders>
              <w:top w:val="nil"/>
              <w:left w:val="nil"/>
              <w:bottom w:val="nil"/>
              <w:right w:val="nil"/>
            </w:tcBorders>
            <w:tcMar>
              <w:top w:w="0" w:type="dxa"/>
              <w:left w:w="62" w:type="dxa"/>
              <w:bottom w:w="0" w:type="dxa"/>
              <w:right w:w="62" w:type="dxa"/>
            </w:tcMar>
          </w:tcPr>
          <w:p w:rsidR="00000000" w:rsidP="001B5BED">
            <w:pPr>
              <w:pStyle w:val="BodyText"/>
              <w:rPr>
                <w:lang w:val="en-NZ"/>
              </w:rPr>
            </w:pPr>
            <w:r w:rsidRPr="001B5BED">
              <w:t>3.1</w:t>
            </w:r>
          </w:p>
        </w:tc>
        <w:tc>
          <w:tcPr>
            <w:tcW w:w="4860" w:type="dxa"/>
            <w:tcBorders>
              <w:top w:val="nil"/>
              <w:left w:val="nil"/>
              <w:bottom w:val="nil"/>
              <w:right w:val="nil"/>
            </w:tcBorders>
            <w:tcMar>
              <w:top w:w="0" w:type="dxa"/>
              <w:left w:w="62" w:type="dxa"/>
              <w:bottom w:w="0" w:type="dxa"/>
              <w:right w:w="62" w:type="dxa"/>
            </w:tcMar>
          </w:tcPr>
          <w:p w:rsidR="00000000" w:rsidP="001B5BED">
            <w:pPr>
              <w:pStyle w:val="BodyText"/>
              <w:rPr>
                <w:lang w:val="en-NZ"/>
              </w:rPr>
            </w:pPr>
            <w:r w:rsidRPr="001B5BED">
              <w:t>OHS work completion risk control measures and procedures are followed.</w:t>
            </w:r>
          </w:p>
        </w:tc>
      </w:tr>
      <w:tr w:rsidTr="00B238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5BED">
            <w:pPr>
              <w:pStyle w:val="BodyText"/>
              <w:rPr>
                <w:lang w:val="en-NZ"/>
              </w:rPr>
            </w:pPr>
            <w:r w:rsidRPr="001B5BED">
              <w:t>3.2</w:t>
            </w:r>
          </w:p>
        </w:tc>
        <w:tc>
          <w:tcPr>
            <w:tcW w:w="4860" w:type="dxa"/>
            <w:tcBorders>
              <w:top w:val="nil"/>
              <w:left w:val="nil"/>
              <w:bottom w:val="nil"/>
              <w:right w:val="nil"/>
            </w:tcBorders>
            <w:tcMar>
              <w:top w:w="0" w:type="dxa"/>
              <w:left w:w="62" w:type="dxa"/>
              <w:bottom w:w="0" w:type="dxa"/>
              <w:right w:w="62" w:type="dxa"/>
            </w:tcMar>
          </w:tcPr>
          <w:p w:rsidR="00000000" w:rsidP="001B5BED">
            <w:pPr>
              <w:pStyle w:val="BodyText"/>
              <w:rPr>
                <w:lang w:val="en-NZ"/>
              </w:rPr>
            </w:pPr>
            <w:r w:rsidRPr="001B5BED">
              <w:t>Reusable, faulty or worn components are tagged and dispatched for repair to maintain adequate spares.</w:t>
            </w:r>
          </w:p>
        </w:tc>
      </w:tr>
      <w:tr w:rsidTr="00B238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5BED">
            <w:pPr>
              <w:pStyle w:val="BodyText"/>
              <w:rPr>
                <w:lang w:val="en-NZ"/>
              </w:rPr>
            </w:pPr>
            <w:r w:rsidRPr="001B5BED">
              <w:t>3.3</w:t>
            </w:r>
          </w:p>
        </w:tc>
        <w:tc>
          <w:tcPr>
            <w:tcW w:w="4860" w:type="dxa"/>
            <w:tcBorders>
              <w:top w:val="nil"/>
              <w:left w:val="nil"/>
              <w:bottom w:val="nil"/>
              <w:right w:val="nil"/>
            </w:tcBorders>
            <w:tcMar>
              <w:top w:w="0" w:type="dxa"/>
              <w:left w:w="62" w:type="dxa"/>
              <w:bottom w:w="0" w:type="dxa"/>
              <w:right w:w="62" w:type="dxa"/>
            </w:tcMar>
          </w:tcPr>
          <w:p w:rsidR="00000000" w:rsidRPr="001B5BED" w:rsidP="001B5BED">
            <w:pPr>
              <w:pStyle w:val="BodyText"/>
            </w:pPr>
            <w:r w:rsidRPr="001B5BED">
              <w:t xml:space="preserve">Fault finding and repair work activities are documented in accordance with established procedures. </w:t>
            </w:r>
          </w:p>
        </w:tc>
      </w:tr>
    </w:tbl>
    <w:p w:rsidR="00B238B2" w:rsidP="001B5BED">
      <w:pPr>
        <w:pStyle w:val="BodyText"/>
      </w:pPr>
    </w:p>
    <w:p w:rsidR="00B238B2" w:rsidP="001B5BED">
      <w:pPr>
        <w:pStyle w:val="BodyText"/>
      </w:pPr>
    </w:p>
    <w:p w:rsidR="00000000" w:rsidRPr="001B5BED" w:rsidP="001B5BED">
      <w:pPr>
        <w:pStyle w:val="Heading1"/>
      </w:pPr>
      <w:bookmarkStart w:id="9" w:name="O_263253"/>
      <w:bookmarkEnd w:id="9"/>
      <w:r w:rsidRPr="001B5BED">
        <w:t>Required Skills and Knowled</w:t>
      </w:r>
      <w:r w:rsidRPr="001B5BED">
        <w:t>ge</w:t>
      </w:r>
    </w:p>
    <w:tbl>
      <w:tblPr>
        <w:tblW w:w="0" w:type="auto"/>
        <w:tblLayout w:type="fixed"/>
        <w:tblCellMar>
          <w:left w:w="62" w:type="dxa"/>
          <w:right w:w="62" w:type="dxa"/>
        </w:tblCellMar>
        <w:tblLook w:val="0000"/>
      </w:tblPr>
      <w:tblGrid>
        <w:gridCol w:w="2700"/>
        <w:gridCol w:w="1080"/>
        <w:gridCol w:w="4680"/>
      </w:tblGrid>
      <w:tr w:rsidTr="00B238B2">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1B5BED">
            <w:pPr>
              <w:pStyle w:val="BodyText"/>
              <w:rPr>
                <w:lang w:val="en-NZ"/>
              </w:rPr>
            </w:pPr>
            <w:r w:rsidRPr="001B5BED">
              <w:rPr>
                <w:rStyle w:val="SpecialBold"/>
              </w:rPr>
              <w:t>REQUIRED SKILLS AND KNOWLEDGE</w:t>
            </w:r>
          </w:p>
        </w:tc>
      </w:tr>
      <w:tr w:rsidTr="00B238B2">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1B5BED">
            <w:pPr>
              <w:pStyle w:val="BodyText"/>
              <w:rPr>
                <w:lang w:val="en-NZ"/>
              </w:rPr>
            </w:pPr>
            <w:r w:rsidRPr="001B5BED">
              <w:rPr>
                <w:rStyle w:val="SpecialBold"/>
              </w:rPr>
              <w:t>7</w:t>
            </w:r>
            <w:r w:rsidRPr="001B5BED">
              <w:t>) This describes the essential skills and knowledge and their level, required for this unit.</w:t>
            </w:r>
          </w:p>
        </w:tc>
      </w:tr>
      <w:tr w:rsidTr="00B238B2">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1B5BED" w:rsidP="001B5BED">
            <w:pPr>
              <w:pStyle w:val="BodyText"/>
            </w:pPr>
            <w:r w:rsidRPr="001B5BED">
              <w:t>Evidence shall show that knowledge has been acquired of safe working practices and finding and repairing faults in fire protection systems.</w:t>
            </w:r>
          </w:p>
          <w:p w:rsidR="00000000" w:rsidRPr="001B5BED" w:rsidP="001B5BED">
            <w:pPr>
              <w:pStyle w:val="BodyText"/>
            </w:pPr>
            <w:r w:rsidRPr="001B5BED">
              <w:t>All knowledge and skills detailed in this unit should be contextualised to current industry practices and technologi</w:t>
            </w:r>
            <w:r w:rsidRPr="001B5BED">
              <w:t>es.</w:t>
            </w:r>
          </w:p>
          <w:p w:rsidR="00000000" w:rsidP="001B5BED">
            <w:pPr>
              <w:pStyle w:val="BodyText"/>
              <w:rPr>
                <w:lang w:val="en-NZ"/>
              </w:rPr>
            </w:pPr>
            <w:r w:rsidRPr="001B5BED">
              <w:t>The extent of the essential knowledge and associated skills (EKAS) required is given in Volume 2 - Part 2.2 EKAS.  It forms an integral part of this unit.</w:t>
            </w:r>
          </w:p>
        </w:tc>
      </w:tr>
      <w:tr w:rsidTr="00B238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B5BED">
            <w:pPr>
              <w:pStyle w:val="BodyText"/>
              <w:rPr>
                <w:lang w:val="en-NZ"/>
              </w:rPr>
            </w:pPr>
            <w:r w:rsidRPr="001B5BED">
              <w:t>2.2.3</w:t>
            </w:r>
          </w:p>
        </w:tc>
        <w:tc>
          <w:tcPr>
            <w:tcW w:w="4680" w:type="dxa"/>
            <w:tcBorders>
              <w:top w:val="nil"/>
              <w:left w:val="nil"/>
              <w:bottom w:val="nil"/>
              <w:right w:val="nil"/>
            </w:tcBorders>
            <w:tcMar>
              <w:top w:w="0" w:type="dxa"/>
              <w:left w:w="62" w:type="dxa"/>
              <w:bottom w:w="0" w:type="dxa"/>
              <w:right w:w="62" w:type="dxa"/>
            </w:tcMar>
          </w:tcPr>
          <w:p w:rsidR="00000000" w:rsidP="001B5BED">
            <w:pPr>
              <w:pStyle w:val="BodyText"/>
              <w:rPr>
                <w:lang w:val="en-NZ"/>
              </w:rPr>
            </w:pPr>
            <w:r w:rsidRPr="001B5BED">
              <w:t>Fault finding techniques</w:t>
            </w:r>
          </w:p>
        </w:tc>
      </w:tr>
      <w:tr w:rsidTr="00B238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B5BED">
            <w:pPr>
              <w:pStyle w:val="BodyText"/>
              <w:rPr>
                <w:lang w:val="en-NZ"/>
              </w:rPr>
            </w:pPr>
            <w:r w:rsidRPr="001B5BED">
              <w:t>2.2.4</w:t>
            </w:r>
          </w:p>
        </w:tc>
        <w:tc>
          <w:tcPr>
            <w:tcW w:w="4680" w:type="dxa"/>
            <w:tcBorders>
              <w:top w:val="nil"/>
              <w:left w:val="nil"/>
              <w:bottom w:val="nil"/>
              <w:right w:val="nil"/>
            </w:tcBorders>
            <w:tcMar>
              <w:top w:w="0" w:type="dxa"/>
              <w:left w:w="62" w:type="dxa"/>
              <w:bottom w:w="0" w:type="dxa"/>
              <w:right w:w="62" w:type="dxa"/>
            </w:tcMar>
          </w:tcPr>
          <w:p w:rsidR="00000000" w:rsidP="001B5BED">
            <w:pPr>
              <w:pStyle w:val="BodyText"/>
              <w:rPr>
                <w:lang w:val="en-NZ"/>
              </w:rPr>
            </w:pPr>
            <w:r w:rsidRPr="001B5BED">
              <w:t>Problem solving techniques</w:t>
            </w:r>
          </w:p>
        </w:tc>
      </w:tr>
      <w:tr w:rsidTr="00B238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B5BED">
            <w:pPr>
              <w:pStyle w:val="BodyText"/>
              <w:rPr>
                <w:lang w:val="en-NZ"/>
              </w:rPr>
            </w:pPr>
            <w:r w:rsidRPr="001B5BED">
              <w:t>2.9.79.3</w:t>
            </w:r>
          </w:p>
        </w:tc>
        <w:tc>
          <w:tcPr>
            <w:tcW w:w="4680" w:type="dxa"/>
            <w:tcBorders>
              <w:top w:val="nil"/>
              <w:left w:val="nil"/>
              <w:bottom w:val="nil"/>
              <w:right w:val="nil"/>
            </w:tcBorders>
            <w:tcMar>
              <w:top w:w="0" w:type="dxa"/>
              <w:left w:w="62" w:type="dxa"/>
              <w:bottom w:w="0" w:type="dxa"/>
              <w:right w:w="62" w:type="dxa"/>
            </w:tcMar>
          </w:tcPr>
          <w:p w:rsidR="00000000" w:rsidRPr="001B5BED" w:rsidP="001B5BED">
            <w:pPr>
              <w:pStyle w:val="BodyText"/>
            </w:pPr>
            <w:r w:rsidRPr="001B5BED">
              <w:t>Fire protection systems' faults</w:t>
            </w:r>
          </w:p>
        </w:tc>
      </w:tr>
    </w:tbl>
    <w:p w:rsidR="00B238B2" w:rsidP="001B5BED">
      <w:pPr>
        <w:pStyle w:val="BodyText"/>
      </w:pPr>
    </w:p>
    <w:p w:rsidR="00B238B2" w:rsidP="001B5BED">
      <w:pPr>
        <w:pStyle w:val="BodyText"/>
      </w:pPr>
    </w:p>
    <w:p w:rsidR="00000000" w:rsidRPr="001B5BED" w:rsidP="001B5BED">
      <w:pPr>
        <w:pStyle w:val="Heading1"/>
      </w:pPr>
      <w:bookmarkStart w:id="10" w:name="O_247446"/>
      <w:bookmarkEnd w:id="10"/>
      <w:r w:rsidRPr="001B5BED">
        <w:t>Evidence Guide</w:t>
      </w:r>
    </w:p>
    <w:tbl>
      <w:tblPr>
        <w:tblW w:w="0" w:type="auto"/>
        <w:tblLayout w:type="fixed"/>
        <w:tblCellMar>
          <w:left w:w="62" w:type="dxa"/>
          <w:right w:w="62" w:type="dxa"/>
        </w:tblCellMar>
        <w:tblLook w:val="0000"/>
      </w:tblPr>
      <w:tblGrid>
        <w:gridCol w:w="2160"/>
        <w:gridCol w:w="720"/>
        <w:gridCol w:w="540"/>
        <w:gridCol w:w="5040"/>
      </w:tblGrid>
      <w:tr w:rsidTr="00B238B2">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1B5BED">
            <w:pPr>
              <w:pStyle w:val="BodyText"/>
              <w:rPr>
                <w:lang w:val="en-NZ"/>
              </w:rPr>
            </w:pPr>
            <w:r w:rsidRPr="001B5BED">
              <w:rPr>
                <w:rStyle w:val="SpecialBold"/>
              </w:rPr>
              <w:t>EVIDENCE GUIDE</w:t>
            </w:r>
          </w:p>
        </w:tc>
      </w:tr>
      <w:tr w:rsidTr="00B238B2">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1B5BED" w:rsidP="001B5BED">
            <w:pPr>
              <w:pStyle w:val="BodyText"/>
            </w:pPr>
            <w:r w:rsidRPr="001B5BED">
              <w:rPr>
                <w:rStyle w:val="SpecialBold"/>
              </w:rPr>
              <w:t>9</w:t>
            </w:r>
            <w:r w:rsidRPr="001B5BED">
              <w:t xml:space="preserve">) The evidence guide provides advice on assessment and must be read in conjunction with the Performance </w:t>
            </w:r>
            <w:r w:rsidRPr="001B5BED">
              <w:t>Criteria, Required Skills and Knowledge, the Range Statement and the Assessment Guidelines for this Training Package. .</w:t>
            </w:r>
          </w:p>
          <w:p w:rsidR="00000000" w:rsidP="001B5BED">
            <w:pPr>
              <w:pStyle w:val="BodyText"/>
              <w:rPr>
                <w:lang w:val="en-NZ"/>
              </w:rPr>
            </w:pPr>
            <w:r w:rsidRPr="001B5BED">
              <w:t>The Evidence Guide forms an integral part of this unit. It must be used in conjunction with all parts of the unit and performed in accor</w:t>
            </w:r>
            <w:r w:rsidRPr="001B5BED">
              <w:t>dance with the Assessment Guidelines of this Training Package.</w:t>
            </w:r>
          </w:p>
        </w:tc>
      </w:tr>
      <w:tr w:rsidTr="00B238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B5BED" w:rsidP="001B5BED">
            <w:pPr>
              <w:pStyle w:val="BodyText"/>
            </w:pPr>
            <w:r w:rsidRPr="001B5BED">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1B5BED" w:rsidP="001B5BED">
            <w:pPr>
              <w:pStyle w:val="BodyText"/>
            </w:pPr>
            <w:r w:rsidRPr="001B5BED">
              <w:rPr>
                <w:rStyle w:val="SpecialBold"/>
              </w:rPr>
              <w:t>9</w:t>
            </w:r>
            <w:r w:rsidRPr="001B5BED">
              <w:t>.</w:t>
            </w:r>
            <w:r w:rsidRPr="001B5BED">
              <w:rPr>
                <w:rStyle w:val="SpecialBold"/>
              </w:rPr>
              <w:t>1</w:t>
            </w:r>
            <w:r w:rsidRPr="001B5BED">
              <w:t xml:space="preserve">) </w:t>
            </w:r>
          </w:p>
          <w:p w:rsidR="00000000" w:rsidRPr="001B5BED" w:rsidP="001B5BED">
            <w:pPr>
              <w:pStyle w:val="BodyText"/>
            </w:pPr>
            <w:r w:rsidRPr="001B5BED">
              <w:t>Longitudinal competency development approaches to assessment, such as Profiling, require data to be reliably gathered in a form that can be consistently interpreted over time. This approach is best utilised in Apprenticeship programs and reduces assessment</w:t>
            </w:r>
            <w:r w:rsidRPr="001B5BED">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1B5BED">
              <w:t>cy in a realistically simulated work environment. It is recognised that, in some circumstances, assessment in part or full can occur outside the workplace. However, it must be in accord with industry and regulatory policy.</w:t>
            </w:r>
          </w:p>
          <w:p w:rsidR="00000000" w:rsidRPr="001B5BED" w:rsidP="001B5BED">
            <w:pPr>
              <w:pStyle w:val="BodyText"/>
            </w:pPr>
            <w:r w:rsidRPr="001B5BED">
              <w:t>Methods chosen for a particular a</w:t>
            </w:r>
            <w:r w:rsidRPr="001B5BED">
              <w:t>ssessment will be influenced by various factors. These include the extent of the assessment, the most effective locations for the assessment activities to take place, access to physical resources, additional safety measures that may be required and the cri</w:t>
            </w:r>
            <w:r w:rsidRPr="001B5BED">
              <w:t>tical nature of the competencies being assessed.</w:t>
            </w:r>
          </w:p>
          <w:p w:rsidR="00000000" w:rsidRPr="001B5BED" w:rsidP="001B5BED">
            <w:pPr>
              <w:pStyle w:val="BodyText"/>
            </w:pPr>
            <w:r w:rsidRPr="001B5BED">
              <w:t>The critical safety nature of working with electricity, electrical equipment, gas or any other hazardous substance/material carries risk in deeming a person competent. Sources of evidence need to be 'rich' i</w:t>
            </w:r>
            <w:r w:rsidRPr="001B5BED">
              <w:t>n nature to minimise error in judgment.</w:t>
            </w:r>
          </w:p>
          <w:p w:rsidR="00000000" w:rsidP="001B5BED">
            <w:pPr>
              <w:pStyle w:val="BodyText"/>
              <w:rPr>
                <w:lang w:val="en-NZ"/>
              </w:rPr>
            </w:pPr>
            <w:r w:rsidRPr="001B5BED">
              <w:t xml:space="preserve">Activities associated with normal everyday work influence decisions about  how/how much the data gathered will contribute to its 'richness'. Some skills are more critical to safety and operational requirements while </w:t>
            </w:r>
            <w:r w:rsidRPr="001B5BED">
              <w:t>the same skills may be more or less frequently practised. These points are raised for the assessors to consider when choosing an assessment method and developing assessment instruments. Sample assessment instruments are included for Assessors in the Assess</w:t>
            </w:r>
            <w:r w:rsidRPr="001B5BED">
              <w:t>ment Guidelines of this Training Package.</w:t>
            </w:r>
          </w:p>
        </w:tc>
      </w:tr>
      <w:tr w:rsidTr="00B238B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B5BED" w:rsidP="001B5BED">
            <w:pPr>
              <w:pStyle w:val="BodyText"/>
            </w:pPr>
            <w:r w:rsidRPr="001B5BED">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1B5BED" w:rsidP="001B5BED">
            <w:pPr>
              <w:pStyle w:val="BodyText"/>
            </w:pPr>
            <w:r w:rsidRPr="001B5BED">
              <w:rPr>
                <w:rStyle w:val="SpecialBold"/>
              </w:rPr>
              <w:t>9</w:t>
            </w:r>
            <w:r w:rsidRPr="001B5BED">
              <w:t>.</w:t>
            </w:r>
            <w:r w:rsidRPr="001B5BED">
              <w:rPr>
                <w:rStyle w:val="SpecialBold"/>
              </w:rPr>
              <w:t>2</w:t>
            </w:r>
            <w:r w:rsidRPr="001B5BED">
              <w:t xml:space="preserve">) </w:t>
            </w:r>
          </w:p>
          <w:p w:rsidR="00000000" w:rsidP="001B5BED">
            <w:pPr>
              <w:pStyle w:val="BodyText"/>
              <w:rPr>
                <w:lang w:val="en-NZ"/>
              </w:rPr>
            </w:pPr>
            <w:r w:rsidRPr="001B5BED">
              <w:t>Before the critical aspects of evidence are considered all prerequisites shall be met.</w:t>
            </w:r>
          </w:p>
        </w:tc>
      </w:tr>
      <w:tr w:rsidTr="00B238B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1B5BED" w:rsidP="001B5BED">
            <w:pPr>
              <w:pStyle w:val="BodyText"/>
            </w:pPr>
            <w:r w:rsidRPr="001B5BED">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1B5BED">
            <w:pPr>
              <w:pStyle w:val="ListBullet"/>
              <w:rPr>
                <w:lang w:val="en-NZ"/>
              </w:rPr>
            </w:pPr>
            <w:r w:rsidRPr="001B5BED">
              <w:t>A representative body of work performance demonstrated within the timeframes typically expected of the discipline, work function and industrial environment. In particular this shall incorporate evidence that shows a candidate is able to:</w:t>
            </w:r>
          </w:p>
        </w:tc>
      </w:tr>
      <w:tr w:rsidTr="00B238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B5BED">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1B5BED" w:rsidP="001B5BED">
            <w:pPr>
              <w:pStyle w:val="ListBullet2"/>
            </w:pPr>
            <w:r w:rsidRPr="001B5BED">
              <w:t>Implement Occupational Health and Safety workplace procedures and practices, including the use of risk control measures as specified in the performance criteria and range statement</w:t>
            </w:r>
          </w:p>
          <w:p w:rsidR="00000000" w:rsidRPr="001B5BED" w:rsidP="001B5BED">
            <w:pPr>
              <w:pStyle w:val="ListBullet2"/>
            </w:pPr>
            <w:r w:rsidRPr="001B5BED">
              <w:t>Apply sustainable energy principles and practices as specified in the performance criteria and range statement</w:t>
            </w:r>
          </w:p>
          <w:p w:rsidR="00000000" w:rsidRPr="001B5BED" w:rsidP="001B5BED">
            <w:pPr>
              <w:pStyle w:val="ListBullet2"/>
            </w:pPr>
            <w:r w:rsidRPr="001B5BED">
              <w:t>Demonstrate an understanding of the essential knowledge and associated skills as described in this unit.  It may be required by some jurisdiction</w:t>
            </w:r>
            <w:r w:rsidRPr="001B5BED">
              <w:t>s that RTOs provide a percentile graded result for the purpose of regulatory or licensing requirements.</w:t>
            </w:r>
          </w:p>
          <w:p w:rsidR="00000000" w:rsidRPr="001B5BED" w:rsidP="001B5BED">
            <w:pPr>
              <w:pStyle w:val="ListBullet2"/>
            </w:pPr>
            <w:r w:rsidRPr="001B5BED">
              <w:t>Demonstrate an appropriate level of skills enabling employment</w:t>
            </w:r>
          </w:p>
          <w:p w:rsidR="00000000" w:rsidP="001B5BED">
            <w:pPr>
              <w:pStyle w:val="ListBullet2"/>
              <w:rPr>
                <w:lang w:val="en-NZ"/>
              </w:rPr>
            </w:pPr>
            <w:r w:rsidRPr="001B5BED">
              <w:t>Conduct work observing the relevant Anti Discrimination legislation, regulations, polices</w:t>
            </w:r>
            <w:r w:rsidRPr="001B5BED">
              <w:t xml:space="preserve"> and workplace procedures</w:t>
            </w:r>
          </w:p>
        </w:tc>
      </w:tr>
      <w:tr w:rsidTr="00B238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B5BED">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1B5BED">
            <w:pPr>
              <w:pStyle w:val="ListBullet"/>
              <w:rPr>
                <w:lang w:val="en-NZ"/>
              </w:rPr>
            </w:pPr>
            <w:r w:rsidRPr="001B5BED">
              <w:t>Demonstrated consistent performance across a representative range of contexts from the prescribed items below:</w:t>
            </w:r>
          </w:p>
        </w:tc>
      </w:tr>
      <w:tr w:rsidTr="00B238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B5BED">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1B5BED">
            <w:pPr>
              <w:pStyle w:val="ListBullet2"/>
              <w:rPr>
                <w:lang w:val="en-NZ"/>
              </w:rPr>
            </w:pPr>
            <w:r w:rsidRPr="001B5BED">
              <w:t>Find and repair faults in fire protection systems as described in 8) and including:</w:t>
            </w:r>
          </w:p>
        </w:tc>
      </w:tr>
      <w:tr w:rsidTr="00B238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B5BED">
            <w:pPr>
              <w:pStyle w:val="BodyText"/>
              <w:rPr>
                <w:lang w:val="en-NZ"/>
              </w:rPr>
            </w:pPr>
            <w:r w:rsidRPr="001B5BED">
              <w:t>A</w:t>
            </w:r>
          </w:p>
        </w:tc>
        <w:tc>
          <w:tcPr>
            <w:tcW w:w="5040" w:type="dxa"/>
            <w:tcBorders>
              <w:top w:val="nil"/>
              <w:left w:val="nil"/>
              <w:bottom w:val="nil"/>
              <w:right w:val="nil"/>
            </w:tcBorders>
            <w:tcMar>
              <w:top w:w="0" w:type="dxa"/>
              <w:left w:w="62" w:type="dxa"/>
              <w:bottom w:w="0" w:type="dxa"/>
              <w:right w:w="62" w:type="dxa"/>
            </w:tcMar>
          </w:tcPr>
          <w:p w:rsidR="00000000" w:rsidP="001B5BED">
            <w:pPr>
              <w:pStyle w:val="BodyText"/>
              <w:rPr>
                <w:lang w:val="en-NZ"/>
              </w:rPr>
            </w:pPr>
            <w:r w:rsidRPr="001B5BED">
              <w:t>Envisaging the likely extent of work from fault/breakdown reports and discussion with appropriate person(s).</w:t>
            </w:r>
          </w:p>
        </w:tc>
      </w:tr>
      <w:tr w:rsidTr="00B238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B5BED">
            <w:pPr>
              <w:pStyle w:val="BodyText"/>
              <w:rPr>
                <w:lang w:val="en-NZ"/>
              </w:rPr>
            </w:pPr>
            <w:r w:rsidRPr="001B5BED">
              <w:t>B</w:t>
            </w:r>
          </w:p>
        </w:tc>
        <w:tc>
          <w:tcPr>
            <w:tcW w:w="5040" w:type="dxa"/>
            <w:tcBorders>
              <w:top w:val="nil"/>
              <w:left w:val="nil"/>
              <w:bottom w:val="nil"/>
              <w:right w:val="nil"/>
            </w:tcBorders>
            <w:tcMar>
              <w:top w:w="0" w:type="dxa"/>
              <w:left w:w="62" w:type="dxa"/>
              <w:bottom w:w="0" w:type="dxa"/>
              <w:right w:w="62" w:type="dxa"/>
            </w:tcMar>
          </w:tcPr>
          <w:p w:rsidR="00000000" w:rsidP="001B5BED">
            <w:pPr>
              <w:pStyle w:val="BodyText"/>
              <w:rPr>
                <w:lang w:val="en-NZ"/>
              </w:rPr>
            </w:pPr>
            <w:r w:rsidRPr="001B5BED">
              <w:t>Using methodical fault finding techniques.</w:t>
            </w:r>
          </w:p>
        </w:tc>
      </w:tr>
      <w:tr w:rsidTr="00B238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B5BED">
            <w:pPr>
              <w:pStyle w:val="BodyText"/>
              <w:rPr>
                <w:lang w:val="en-NZ"/>
              </w:rPr>
            </w:pPr>
            <w:r w:rsidRPr="001B5BED">
              <w:t>C</w:t>
            </w:r>
          </w:p>
        </w:tc>
        <w:tc>
          <w:tcPr>
            <w:tcW w:w="5040" w:type="dxa"/>
            <w:tcBorders>
              <w:top w:val="nil"/>
              <w:left w:val="nil"/>
              <w:bottom w:val="nil"/>
              <w:right w:val="nil"/>
            </w:tcBorders>
            <w:tcMar>
              <w:top w:w="0" w:type="dxa"/>
              <w:left w:w="62" w:type="dxa"/>
              <w:bottom w:w="0" w:type="dxa"/>
              <w:right w:w="62" w:type="dxa"/>
            </w:tcMar>
          </w:tcPr>
          <w:p w:rsidR="00000000" w:rsidP="001B5BED">
            <w:pPr>
              <w:pStyle w:val="BodyText"/>
              <w:rPr>
                <w:lang w:val="en-NZ"/>
              </w:rPr>
            </w:pPr>
            <w:r w:rsidRPr="001B5BED">
              <w:t>Finding faults efficiently.</w:t>
            </w:r>
          </w:p>
        </w:tc>
      </w:tr>
      <w:tr w:rsidTr="00B238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B5BED">
            <w:pPr>
              <w:pStyle w:val="BodyText"/>
              <w:rPr>
                <w:lang w:val="en-NZ"/>
              </w:rPr>
            </w:pPr>
            <w:r w:rsidRPr="001B5BED">
              <w:t>D</w:t>
            </w:r>
          </w:p>
        </w:tc>
        <w:tc>
          <w:tcPr>
            <w:tcW w:w="5040" w:type="dxa"/>
            <w:tcBorders>
              <w:top w:val="nil"/>
              <w:left w:val="nil"/>
              <w:bottom w:val="nil"/>
              <w:right w:val="nil"/>
            </w:tcBorders>
            <w:tcMar>
              <w:top w:w="0" w:type="dxa"/>
              <w:left w:w="62" w:type="dxa"/>
              <w:bottom w:w="0" w:type="dxa"/>
              <w:right w:w="62" w:type="dxa"/>
            </w:tcMar>
          </w:tcPr>
          <w:p w:rsidR="00000000" w:rsidP="001B5BED">
            <w:pPr>
              <w:pStyle w:val="BodyText"/>
              <w:rPr>
                <w:lang w:val="en-NZ"/>
              </w:rPr>
            </w:pPr>
            <w:r w:rsidRPr="001B5BED">
              <w:t>Rectifying faults effectively.</w:t>
            </w:r>
          </w:p>
        </w:tc>
      </w:tr>
      <w:tr w:rsidTr="00B238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B5BED">
            <w:pPr>
              <w:pStyle w:val="BodyText"/>
              <w:rPr>
                <w:lang w:val="en-NZ"/>
              </w:rPr>
            </w:pPr>
            <w:r w:rsidRPr="001B5BED">
              <w:t>E</w:t>
            </w:r>
          </w:p>
        </w:tc>
        <w:tc>
          <w:tcPr>
            <w:tcW w:w="5040" w:type="dxa"/>
            <w:tcBorders>
              <w:top w:val="nil"/>
              <w:left w:val="nil"/>
              <w:bottom w:val="nil"/>
              <w:right w:val="nil"/>
            </w:tcBorders>
            <w:tcMar>
              <w:top w:w="0" w:type="dxa"/>
              <w:left w:w="62" w:type="dxa"/>
              <w:bottom w:w="0" w:type="dxa"/>
              <w:right w:w="62" w:type="dxa"/>
            </w:tcMar>
          </w:tcPr>
          <w:p w:rsidR="00000000" w:rsidP="001B5BED">
            <w:pPr>
              <w:pStyle w:val="BodyText"/>
              <w:rPr>
                <w:lang w:val="en-NZ"/>
              </w:rPr>
            </w:pPr>
            <w:r w:rsidRPr="001B5BED">
              <w:t>Completing documentation correctly.</w:t>
            </w:r>
          </w:p>
        </w:tc>
      </w:tr>
      <w:tr w:rsidTr="00B238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B5BED">
            <w:pPr>
              <w:pStyle w:val="BodyText"/>
              <w:rPr>
                <w:lang w:val="en-NZ"/>
              </w:rPr>
            </w:pPr>
            <w:r w:rsidRPr="001B5BED">
              <w:t>F</w:t>
            </w:r>
          </w:p>
        </w:tc>
        <w:tc>
          <w:tcPr>
            <w:tcW w:w="5040" w:type="dxa"/>
            <w:tcBorders>
              <w:top w:val="nil"/>
              <w:left w:val="nil"/>
              <w:bottom w:val="nil"/>
              <w:right w:val="nil"/>
            </w:tcBorders>
            <w:tcMar>
              <w:top w:w="0" w:type="dxa"/>
              <w:left w:w="62" w:type="dxa"/>
              <w:bottom w:w="0" w:type="dxa"/>
              <w:right w:w="62" w:type="dxa"/>
            </w:tcMar>
          </w:tcPr>
          <w:p w:rsidR="00000000" w:rsidP="001B5BED">
            <w:pPr>
              <w:pStyle w:val="BodyText"/>
              <w:rPr>
                <w:lang w:val="en-NZ"/>
              </w:rPr>
            </w:pPr>
            <w:r w:rsidRPr="001B5BED">
              <w:t>Dealing with unplanned events by drawing on essential knowledge and skills to provide appropriate solutions incorporated in a holistic assessment with the above listed items.</w:t>
            </w:r>
          </w:p>
        </w:tc>
      </w:tr>
      <w:tr w:rsidTr="00B238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1B5BED">
            <w:pPr>
              <w:pStyle w:val="BodyText"/>
              <w:rPr>
                <w:lang w:val="en-NZ"/>
              </w:rPr>
            </w:pPr>
            <w:r w:rsidRPr="001B5BED">
              <w:t>Note:</w:t>
            </w:r>
            <w:r w:rsidRPr="001B5BED">
              <w:br/>
            </w:r>
            <w:r w:rsidRPr="001B5BED">
              <w:t>Successful completion of relevant vendor training may be used to contribute to evidence on which competency is deemed. In these cases the alignment of outcomes of vendor training with performance criteria and critical aspects of evidence shall be clearly i</w:t>
            </w:r>
            <w:r w:rsidRPr="001B5BED">
              <w:t>dentified.</w:t>
            </w:r>
          </w:p>
        </w:tc>
      </w:tr>
      <w:tr w:rsidTr="00B238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B5BED" w:rsidP="001B5BED">
            <w:pPr>
              <w:pStyle w:val="BodyText"/>
            </w:pPr>
            <w:r w:rsidRPr="001B5BED">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1B5BED" w:rsidP="001B5BED">
            <w:pPr>
              <w:pStyle w:val="BodyText"/>
            </w:pPr>
            <w:r w:rsidRPr="001B5BED">
              <w:rPr>
                <w:rStyle w:val="SpecialBold"/>
              </w:rPr>
              <w:t>9</w:t>
            </w:r>
            <w:r w:rsidRPr="001B5BED">
              <w:t>.</w:t>
            </w:r>
            <w:r w:rsidRPr="001B5BED">
              <w:rPr>
                <w:rStyle w:val="SpecialBold"/>
              </w:rPr>
              <w:t>3</w:t>
            </w:r>
            <w:r w:rsidRPr="001B5BED">
              <w:t xml:space="preserve">) </w:t>
            </w:r>
          </w:p>
          <w:p w:rsidR="00000000" w:rsidRPr="001B5BED" w:rsidP="001B5BED">
            <w:pPr>
              <w:pStyle w:val="BodyText"/>
            </w:pPr>
            <w:r w:rsidRPr="001B5BED">
              <w:t>This unit should be assessed as it relates to normal work practice using procedures, information and resources typical of a workplace. This should include:</w:t>
            </w:r>
          </w:p>
          <w:p w:rsidR="00000000" w:rsidRPr="001B5BED" w:rsidP="001B5BED">
            <w:pPr>
              <w:pStyle w:val="ListBullet"/>
            </w:pPr>
            <w:r w:rsidRPr="001B5BED">
              <w:t>OHS policy and work procedures</w:t>
            </w:r>
            <w:r w:rsidRPr="001B5BED">
              <w:t xml:space="preserve"> and instructions.</w:t>
            </w:r>
          </w:p>
          <w:p w:rsidR="00000000" w:rsidRPr="001B5BED" w:rsidP="001B5BED">
            <w:pPr>
              <w:pStyle w:val="ListBullet"/>
            </w:pPr>
            <w:r w:rsidRPr="001B5BED">
              <w:t>Suitable work environment, facilities, equipment and materials to undertake actual work as prescribed by this unit.</w:t>
            </w:r>
          </w:p>
          <w:p w:rsidR="00000000" w:rsidRPr="001B5BED" w:rsidP="001B5BED">
            <w:pPr>
              <w:pStyle w:val="BodyText"/>
            </w:pPr>
            <w:r w:rsidRPr="001B5BED">
              <w:t>These should be part of the formal learning/assessment environment.</w:t>
            </w:r>
          </w:p>
          <w:p w:rsidR="00000000" w:rsidRPr="001B5BED" w:rsidP="001B5BED">
            <w:pPr>
              <w:pStyle w:val="BodyText"/>
            </w:pPr>
            <w:r w:rsidRPr="001B5BED">
              <w:t>Note:</w:t>
            </w:r>
          </w:p>
          <w:p w:rsidR="00000000" w:rsidP="001B5BED">
            <w:pPr>
              <w:pStyle w:val="BodyText"/>
              <w:rPr>
                <w:lang w:val="en-NZ"/>
              </w:rPr>
            </w:pPr>
            <w:r w:rsidRPr="001B5BED">
              <w:t>Where simulation is considered a suitable strategy for assessment, conditions must be authentic and as far as possible reproduce and replicate the workplace and be consistent with the approved industry simulation policy.</w:t>
            </w:r>
          </w:p>
        </w:tc>
      </w:tr>
      <w:tr w:rsidTr="00B238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1B5BED">
            <w:pPr>
              <w:pStyle w:val="BodyText"/>
              <w:rPr>
                <w:lang w:val="en-NZ"/>
              </w:rPr>
            </w:pPr>
            <w:r w:rsidRPr="001B5BED">
              <w:t>The resources used for assessme</w:t>
            </w:r>
            <w:r w:rsidRPr="001B5BED">
              <w:t>nt should reflect current industry practices in relation to finding and repairing faults in fire protection systems.</w:t>
            </w:r>
          </w:p>
        </w:tc>
      </w:tr>
      <w:tr w:rsidTr="00B238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B5BED" w:rsidP="001B5BED">
            <w:pPr>
              <w:pStyle w:val="BodyText"/>
            </w:pPr>
            <w:r w:rsidRPr="001B5BED">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1B5BED" w:rsidP="001B5BED">
            <w:pPr>
              <w:pStyle w:val="BodyText"/>
            </w:pPr>
            <w:r w:rsidRPr="001B5BED">
              <w:rPr>
                <w:rStyle w:val="SpecialBold"/>
              </w:rPr>
              <w:t>9</w:t>
            </w:r>
            <w:r w:rsidRPr="001B5BED">
              <w:t>.</w:t>
            </w:r>
            <w:r w:rsidRPr="001B5BED">
              <w:rPr>
                <w:rStyle w:val="SpecialBold"/>
              </w:rPr>
              <w:t>4</w:t>
            </w:r>
            <w:r w:rsidRPr="001B5BED">
              <w:t xml:space="preserve">) </w:t>
            </w:r>
          </w:p>
          <w:p w:rsidR="00000000" w:rsidRPr="001B5BED" w:rsidP="001B5BED">
            <w:pPr>
              <w:pStyle w:val="BodyText"/>
            </w:pPr>
            <w:r w:rsidRPr="001B5BED">
              <w:t>This unit shall be assessed by methods given in Volume 1, Part 3 'Assessment Guidelines'.</w:t>
            </w:r>
          </w:p>
          <w:p w:rsidR="00000000" w:rsidP="001B5BED">
            <w:pPr>
              <w:pStyle w:val="BodyText"/>
              <w:rPr>
                <w:lang w:val="en-NZ"/>
              </w:rPr>
            </w:pPr>
            <w:r w:rsidRPr="001B5BED">
              <w:t>Note:</w:t>
            </w:r>
            <w:r w:rsidRPr="001B5BED">
              <w:br/>
            </w:r>
            <w:r w:rsidRPr="001B5BED">
              <w:t>Competent performance with inherent safe working practices is expected in the industry to which this unit applies. This requires that the specified essential knowledge and associated skills are assessed in a structured environment which is primarily intend</w:t>
            </w:r>
            <w:r w:rsidRPr="001B5BED">
              <w:t>ed for learning/assessment and incorporates all necessary equipment and facilities for learners to develop and demonstrate the essential knowledge and skills described in this unit.</w:t>
            </w:r>
          </w:p>
        </w:tc>
      </w:tr>
      <w:tr w:rsidTr="00B238B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B5BED" w:rsidP="001B5BED">
            <w:pPr>
              <w:pStyle w:val="BodyText"/>
            </w:pPr>
            <w:r w:rsidRPr="001B5BED">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1B5BED">
            <w:pPr>
              <w:pStyle w:val="BodyText"/>
              <w:rPr>
                <w:lang w:val="en-NZ"/>
              </w:rPr>
            </w:pPr>
            <w:r w:rsidRPr="001B5BED">
              <w:rPr>
                <w:rStyle w:val="SpecialBold"/>
              </w:rPr>
              <w:t>9</w:t>
            </w:r>
            <w:r w:rsidRPr="001B5BED">
              <w:t>.</w:t>
            </w:r>
            <w:r w:rsidRPr="001B5BED">
              <w:rPr>
                <w:rStyle w:val="SpecialBold"/>
              </w:rPr>
              <w:t>5</w:t>
            </w:r>
            <w:r w:rsidRPr="001B5BED">
              <w:t>)</w:t>
            </w:r>
          </w:p>
        </w:tc>
      </w:tr>
      <w:tr w:rsidTr="00B238B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1B5BED">
            <w:pPr>
              <w:pStyle w:val="BodyText"/>
              <w:rPr>
                <w:lang w:val="en-NZ"/>
              </w:rPr>
            </w:pPr>
            <w:r w:rsidRPr="001B5BED">
              <w:t xml:space="preserve">There </w:t>
            </w:r>
            <w:r w:rsidRPr="001B5BED">
              <w:t>are no concurrent assessment recommendations for this unit.</w:t>
            </w:r>
          </w:p>
        </w:tc>
      </w:tr>
      <w:tr w:rsidTr="00B238B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1B5BED">
            <w:pPr>
              <w:pStyle w:val="BodyText"/>
              <w:keepNext w:val="0"/>
              <w:keepLines w:val="0"/>
              <w:contextualSpacing w:val="0"/>
            </w:pPr>
          </w:p>
        </w:tc>
      </w:tr>
    </w:tbl>
    <w:p w:rsidR="00B238B2" w:rsidP="001B5BED">
      <w:pPr>
        <w:pStyle w:val="BodyText"/>
      </w:pPr>
    </w:p>
    <w:p w:rsidR="00B238B2" w:rsidP="001B5BED">
      <w:pPr>
        <w:pStyle w:val="BodyText"/>
      </w:pPr>
    </w:p>
    <w:p w:rsidR="00000000" w:rsidRPr="001B5BED" w:rsidP="001B5BED">
      <w:pPr>
        <w:pStyle w:val="Heading1"/>
      </w:pPr>
      <w:bookmarkStart w:id="11" w:name="O_255429"/>
      <w:bookmarkEnd w:id="11"/>
      <w:r w:rsidRPr="001B5BED">
        <w:t>Range Statement</w:t>
      </w:r>
    </w:p>
    <w:tbl>
      <w:tblPr>
        <w:tblW w:w="0" w:type="auto"/>
        <w:tblLayout w:type="fixed"/>
        <w:tblCellMar>
          <w:left w:w="62" w:type="dxa"/>
          <w:right w:w="62" w:type="dxa"/>
        </w:tblCellMar>
        <w:tblLook w:val="0000"/>
      </w:tblPr>
      <w:tblGrid>
        <w:gridCol w:w="2160"/>
        <w:gridCol w:w="6300"/>
      </w:tblGrid>
      <w:tr w:rsidTr="00B238B2">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1B5BED">
            <w:pPr>
              <w:pStyle w:val="BodyText"/>
              <w:rPr>
                <w:lang w:val="en-NZ"/>
              </w:rPr>
            </w:pPr>
            <w:r w:rsidRPr="001B5BED">
              <w:rPr>
                <w:rStyle w:val="SpecialBold"/>
              </w:rPr>
              <w:t>RANGE STATEMENT</w:t>
            </w:r>
          </w:p>
        </w:tc>
      </w:tr>
      <w:tr w:rsidTr="00B238B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1B5BED">
            <w:pPr>
              <w:pStyle w:val="BodyText"/>
              <w:rPr>
                <w:lang w:val="en-NZ"/>
              </w:rPr>
            </w:pPr>
            <w:r w:rsidRPr="001B5BED">
              <w:rPr>
                <w:rStyle w:val="SpecialBold"/>
              </w:rPr>
              <w:t>8</w:t>
            </w:r>
            <w:r w:rsidRPr="001B5BED">
              <w:t xml:space="preserve">) This relates to the unit as a whole providing the range of contexts and conditions to which the </w:t>
            </w:r>
            <w:r w:rsidRPr="001B5BED">
              <w:t>performance criteria apply. It allows for different work environments and situations that will affect performance.</w:t>
            </w:r>
          </w:p>
        </w:tc>
      </w:tr>
      <w:tr w:rsidTr="00B238B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1B5BED">
            <w:pPr>
              <w:pStyle w:val="BodyText"/>
              <w:rPr>
                <w:lang w:val="en-NZ"/>
              </w:rPr>
            </w:pPr>
            <w:r w:rsidRPr="001B5BED">
              <w:t>This unit shall be demonstrated in relation to:</w:t>
            </w:r>
          </w:p>
        </w:tc>
      </w:tr>
      <w:tr w:rsidTr="00B238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1B5BED" w:rsidP="001B5BED">
            <w:pPr>
              <w:pStyle w:val="BodyText"/>
            </w:pPr>
            <w:r w:rsidRPr="001B5BED">
              <w:t>Both a fire alarm and warning systems that include at least the following system compone</w:t>
            </w:r>
            <w:r w:rsidRPr="001B5BED">
              <w:t>nts:</w:t>
            </w:r>
          </w:p>
          <w:p w:rsidR="00000000" w:rsidRPr="001B5BED" w:rsidP="001B5BED">
            <w:pPr>
              <w:pStyle w:val="ListBullet"/>
            </w:pPr>
            <w:r w:rsidRPr="001B5BED">
              <w:t>Fire alarm system with at least 50 input devices, 20 output device and 2 system interface controls</w:t>
            </w:r>
          </w:p>
          <w:p w:rsidR="00000000" w:rsidRPr="001B5BED" w:rsidP="001B5BED">
            <w:pPr>
              <w:pStyle w:val="ListBullet"/>
            </w:pPr>
            <w:r w:rsidRPr="001B5BED">
              <w:t>Fire warning system with at least 50 speakers, 5 interface communication devices and 2 warning indicators.</w:t>
            </w:r>
          </w:p>
          <w:p w:rsidR="00000000" w:rsidRPr="001B5BED" w:rsidP="001B5BED">
            <w:pPr>
              <w:pStyle w:val="ListBullet"/>
            </w:pPr>
            <w:r w:rsidRPr="001B5BED">
              <w:t>Voice message facilities</w:t>
            </w:r>
          </w:p>
          <w:p w:rsidR="00000000" w:rsidRPr="001B5BED" w:rsidP="001B5BED">
            <w:pPr>
              <w:pStyle w:val="BodyText"/>
            </w:pPr>
            <w:r w:rsidRPr="001B5BED">
              <w:t>Note:</w:t>
            </w:r>
            <w:r w:rsidRPr="001B5BED">
              <w:br/>
            </w:r>
            <w:r w:rsidRPr="001B5BED">
              <w:t>1. Input devices can be conventional, analogue or analogue addressable fire detectors, flow switch connections or switch connections and the like.</w:t>
            </w:r>
            <w:r w:rsidRPr="001B5BED">
              <w:br/>
              <w:t>2. Output devices can be shutdown signal, door or system release controls, solenoid valve controls and the li</w:t>
            </w:r>
            <w:r w:rsidRPr="001B5BED">
              <w:t>ke.</w:t>
            </w:r>
            <w:r w:rsidRPr="001B5BED">
              <w:br/>
              <w:t>3. System interface controls can be communication signals to remote Control and indicating equipment, Building monitoring systems, paging system, Colour graphics and or the like.</w:t>
            </w:r>
            <w:r w:rsidRPr="001B5BED">
              <w:br/>
              <w:t>4. Interface communication devices can be Warden In communication phones,</w:t>
            </w:r>
            <w:r w:rsidRPr="001B5BED">
              <w:t xml:space="preserve"> Remote PA inputs and the like.</w:t>
            </w:r>
            <w:r w:rsidRPr="001B5BED">
              <w:br/>
              <w:t>5. Warning Indicators are flashing lights for hearing impaired persons, fire brigade building indication and the like.</w:t>
            </w:r>
          </w:p>
          <w:p w:rsidR="00000000" w:rsidRPr="001B5BED" w:rsidP="001B5BED">
            <w:pPr>
              <w:pStyle w:val="BodyText"/>
            </w:pPr>
            <w:r w:rsidRPr="001B5BED">
              <w:t>Finding and repairing any six of the following faults in fire alarm and warning systems:</w:t>
            </w:r>
          </w:p>
          <w:p w:rsidR="00000000" w:rsidRPr="001B5BED" w:rsidP="001B5BED">
            <w:pPr>
              <w:pStyle w:val="ListBullet"/>
            </w:pPr>
            <w:r w:rsidRPr="001B5BED">
              <w:t xml:space="preserve">Open-circuit </w:t>
            </w:r>
          </w:p>
          <w:p w:rsidR="00000000" w:rsidRPr="001B5BED" w:rsidP="001B5BED">
            <w:pPr>
              <w:pStyle w:val="ListBullet"/>
            </w:pPr>
            <w:r w:rsidRPr="001B5BED">
              <w:t>S</w:t>
            </w:r>
            <w:r w:rsidRPr="001B5BED">
              <w:t xml:space="preserve">hort-circuit </w:t>
            </w:r>
          </w:p>
          <w:p w:rsidR="00000000" w:rsidRPr="001B5BED" w:rsidP="001B5BED">
            <w:pPr>
              <w:pStyle w:val="ListBullet"/>
            </w:pPr>
            <w:r w:rsidRPr="001B5BED">
              <w:t>Incorrect connections</w:t>
            </w:r>
          </w:p>
          <w:p w:rsidR="00000000" w:rsidRPr="001B5BED" w:rsidP="001B5BED">
            <w:pPr>
              <w:pStyle w:val="ListBullet"/>
            </w:pPr>
            <w:r w:rsidRPr="001B5BED">
              <w:t>Insulation failure</w:t>
            </w:r>
          </w:p>
          <w:p w:rsidR="00000000" w:rsidRPr="001B5BED" w:rsidP="001B5BED">
            <w:pPr>
              <w:pStyle w:val="ListBullet"/>
            </w:pPr>
            <w:r w:rsidRPr="001B5BED">
              <w:t>Program failure</w:t>
            </w:r>
          </w:p>
          <w:p w:rsidR="00000000" w:rsidRPr="001B5BED" w:rsidP="001B5BED">
            <w:pPr>
              <w:pStyle w:val="ListBullet"/>
            </w:pPr>
            <w:r w:rsidRPr="001B5BED">
              <w:t>Apparatus/component failure</w:t>
            </w:r>
          </w:p>
          <w:p w:rsidR="00000000" w:rsidRPr="001B5BED" w:rsidP="001B5BED">
            <w:pPr>
              <w:pStyle w:val="ListBullet"/>
            </w:pPr>
            <w:r w:rsidRPr="001B5BED">
              <w:t>Related mechanical failure</w:t>
            </w:r>
          </w:p>
          <w:p w:rsidR="00000000" w:rsidP="001B5BED">
            <w:pPr>
              <w:pStyle w:val="ListBullet"/>
              <w:rPr>
                <w:lang w:val="en-NZ"/>
              </w:rPr>
            </w:pPr>
            <w:r w:rsidRPr="001B5BED">
              <w:t>Electrical induced interference</w:t>
            </w:r>
          </w:p>
        </w:tc>
      </w:tr>
      <w:tr w:rsidTr="00B238B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B5BED" w:rsidP="001B5BED">
            <w:pPr>
              <w:pStyle w:val="BodyText"/>
            </w:pPr>
            <w:r w:rsidRPr="001B5BED">
              <w:t>Generic terms used throughout this Vocational Standard shall be regarded as part of the Range Sta</w:t>
            </w:r>
            <w:r w:rsidRPr="001B5BED">
              <w:t>tement in which competency is demonstrated. The definition of these and other terms that apply are given in Volume 2, Part 2.1.</w:t>
            </w:r>
          </w:p>
        </w:tc>
      </w:tr>
    </w:tbl>
    <w:p w:rsidR="00B238B2" w:rsidP="001B5BED">
      <w:pPr>
        <w:pStyle w:val="BodyText"/>
      </w:pPr>
    </w:p>
    <w:p w:rsidR="00B238B2" w:rsidP="001B5BED">
      <w:pPr>
        <w:pStyle w:val="BodyText"/>
      </w:pPr>
    </w:p>
    <w:p w:rsidR="00000000" w:rsidRPr="001B5BED" w:rsidP="001B5BED">
      <w:pPr>
        <w:pStyle w:val="Heading1"/>
      </w:pPr>
      <w:bookmarkStart w:id="12" w:name="O_296442"/>
      <w:bookmarkEnd w:id="12"/>
      <w:r w:rsidRPr="001B5BED">
        <w:t>Unit Sector(s)</w:t>
      </w:r>
    </w:p>
    <w:p w:rsidR="00000000" w:rsidRPr="001B5BED" w:rsidP="001B5BED">
      <w:pPr>
        <w:pStyle w:val="BodyText"/>
      </w:pPr>
      <w:r w:rsidRPr="001B5BED">
        <w:t>Not Applicable</w:t>
      </w:r>
    </w:p>
    <w:p w:rsidR="00000000" w:rsidRPr="001B5BED" w:rsidP="001B5BED">
      <w:pPr>
        <w:pStyle w:val="AllowPageBreak"/>
      </w:pPr>
    </w:p>
    <w:p w:rsidR="00000000" w:rsidRPr="001B5BED" w:rsidP="001B5BED">
      <w:pPr>
        <w:pStyle w:val="Heading1"/>
      </w:pPr>
      <w:bookmarkStart w:id="13" w:name="O_226995"/>
      <w:bookmarkEnd w:id="13"/>
      <w:r w:rsidRPr="001B5BED">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B238B2">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1B5BED" w:rsidP="001B5BED">
            <w:pPr>
              <w:pStyle w:val="BodyText"/>
            </w:pPr>
            <w:r w:rsidRPr="001B5BED">
              <w:rPr>
                <w:rStyle w:val="SpecialBold"/>
              </w:rPr>
              <w:t>2</w:t>
            </w:r>
            <w:r w:rsidRPr="001B5BED">
              <w:t>.</w:t>
            </w:r>
            <w:r w:rsidRPr="001B5BED">
              <w:rPr>
                <w:rStyle w:val="SpecialBold"/>
              </w:rPr>
              <w:t>2</w:t>
            </w:r>
            <w:r w:rsidRPr="001B5BED">
              <w:t xml:space="preserve">) </w:t>
            </w:r>
            <w:r w:rsidRPr="001B5BED">
              <w:rPr>
                <w:rStyle w:val="SpecialBold"/>
              </w:rPr>
              <w:t>Literacy and numeracy skills</w:t>
            </w:r>
          </w:p>
          <w:p w:rsidR="00000000" w:rsidP="001B5BED">
            <w:pPr>
              <w:pStyle w:val="BodyText"/>
              <w:rPr>
                <w:lang w:val="en-NZ"/>
              </w:rPr>
            </w:pPr>
            <w:r w:rsidRPr="001B5BED">
              <w:t>Participants are best equipped to achieve competency in this unit if they have reading, writing and numeracy skills indicated by the following scales. Description of each scale is given in Volume 2, Part 3 'Literacy and Numeracy'</w:t>
            </w:r>
          </w:p>
        </w:tc>
      </w:tr>
      <w:tr w:rsidTr="00B238B2">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1B5BED">
            <w:pPr>
              <w:pStyle w:val="BodyText"/>
              <w:rPr>
                <w:lang w:val="en-NZ"/>
              </w:rPr>
            </w:pPr>
            <w:r w:rsidRPr="001B5BED">
              <w:t>Reading</w:t>
            </w:r>
          </w:p>
        </w:tc>
        <w:tc>
          <w:tcPr>
            <w:tcW w:w="1182" w:type="dxa"/>
            <w:tcBorders>
              <w:top w:val="nil"/>
              <w:left w:val="nil"/>
              <w:bottom w:val="nil"/>
              <w:right w:val="nil"/>
            </w:tcBorders>
            <w:tcMar>
              <w:top w:w="0" w:type="dxa"/>
              <w:left w:w="62" w:type="dxa"/>
              <w:bottom w:w="0" w:type="dxa"/>
              <w:right w:w="62" w:type="dxa"/>
            </w:tcMar>
          </w:tcPr>
          <w:p w:rsidR="00000000" w:rsidP="001B5BED">
            <w:pPr>
              <w:pStyle w:val="BodyText"/>
              <w:rPr>
                <w:lang w:val="en-NZ"/>
              </w:rPr>
            </w:pPr>
            <w:r w:rsidRPr="001B5BED">
              <w:t>5</w:t>
            </w:r>
          </w:p>
        </w:tc>
        <w:tc>
          <w:tcPr>
            <w:tcW w:w="1739" w:type="dxa"/>
            <w:tcBorders>
              <w:top w:val="nil"/>
              <w:left w:val="nil"/>
              <w:bottom w:val="nil"/>
              <w:right w:val="nil"/>
            </w:tcBorders>
            <w:tcMar>
              <w:top w:w="0" w:type="dxa"/>
              <w:left w:w="62" w:type="dxa"/>
              <w:bottom w:w="0" w:type="dxa"/>
              <w:right w:w="62" w:type="dxa"/>
            </w:tcMar>
          </w:tcPr>
          <w:p w:rsidR="00000000" w:rsidP="001B5BED">
            <w:pPr>
              <w:pStyle w:val="BodyText"/>
              <w:rPr>
                <w:lang w:val="en-NZ"/>
              </w:rPr>
            </w:pPr>
            <w:r w:rsidRPr="001B5BED">
              <w:t>Writing</w:t>
            </w:r>
          </w:p>
        </w:tc>
        <w:tc>
          <w:tcPr>
            <w:tcW w:w="1182" w:type="dxa"/>
            <w:tcBorders>
              <w:top w:val="nil"/>
              <w:left w:val="nil"/>
              <w:bottom w:val="nil"/>
              <w:right w:val="nil"/>
            </w:tcBorders>
            <w:tcMar>
              <w:top w:w="0" w:type="dxa"/>
              <w:left w:w="62" w:type="dxa"/>
              <w:bottom w:w="0" w:type="dxa"/>
              <w:right w:w="62" w:type="dxa"/>
            </w:tcMar>
          </w:tcPr>
          <w:p w:rsidR="00000000" w:rsidP="001B5BED">
            <w:pPr>
              <w:pStyle w:val="BodyText"/>
              <w:rPr>
                <w:lang w:val="en-NZ"/>
              </w:rPr>
            </w:pPr>
            <w:r w:rsidRPr="001B5BED">
              <w:t>5</w:t>
            </w:r>
          </w:p>
        </w:tc>
        <w:tc>
          <w:tcPr>
            <w:tcW w:w="1721" w:type="dxa"/>
            <w:tcBorders>
              <w:top w:val="nil"/>
              <w:left w:val="nil"/>
              <w:bottom w:val="nil"/>
              <w:right w:val="nil"/>
            </w:tcBorders>
            <w:tcMar>
              <w:top w:w="0" w:type="dxa"/>
              <w:left w:w="62" w:type="dxa"/>
              <w:bottom w:w="0" w:type="dxa"/>
              <w:right w:w="62" w:type="dxa"/>
            </w:tcMar>
          </w:tcPr>
          <w:p w:rsidR="00000000" w:rsidP="001B5BED">
            <w:pPr>
              <w:pStyle w:val="BodyText"/>
              <w:rPr>
                <w:lang w:val="en-NZ"/>
              </w:rPr>
            </w:pPr>
            <w:r w:rsidRPr="001B5BED">
              <w:t>Numeracy</w:t>
            </w:r>
          </w:p>
        </w:tc>
        <w:tc>
          <w:tcPr>
            <w:tcW w:w="1182" w:type="dxa"/>
            <w:tcBorders>
              <w:top w:val="nil"/>
              <w:left w:val="nil"/>
              <w:bottom w:val="nil"/>
              <w:right w:val="nil"/>
            </w:tcBorders>
            <w:tcMar>
              <w:top w:w="0" w:type="dxa"/>
              <w:left w:w="62" w:type="dxa"/>
              <w:bottom w:w="0" w:type="dxa"/>
              <w:right w:w="62" w:type="dxa"/>
            </w:tcMar>
          </w:tcPr>
          <w:p w:rsidR="00000000" w:rsidRPr="001B5BED" w:rsidP="001B5BED">
            <w:pPr>
              <w:pStyle w:val="BodyText"/>
            </w:pPr>
            <w:r w:rsidRPr="001B5BED">
              <w:t>5</w:t>
            </w:r>
          </w:p>
        </w:tc>
      </w:tr>
    </w:tbl>
    <w:p w:rsidR="00B238B2" w:rsidP="001B5BED">
      <w:pPr>
        <w:pStyle w:val="BodyText"/>
      </w:pPr>
    </w:p>
    <w:p w:rsidR="00B238B2" w:rsidP="001B5BED">
      <w:pPr>
        <w:pStyle w:val="BodyText"/>
      </w:pPr>
    </w:p>
    <w:p w:rsidR="00000000" w:rsidRPr="001B5BED" w:rsidP="001B5BED">
      <w:pPr>
        <w:pStyle w:val="Heading1"/>
      </w:pPr>
      <w:bookmarkStart w:id="14" w:name="O_226998"/>
      <w:bookmarkEnd w:id="14"/>
      <w:r w:rsidRPr="001B5BED">
        <w:t>2.2) Literacy and numeracy skills</w:t>
      </w:r>
    </w:p>
    <w:tbl>
      <w:tblPr>
        <w:tblW w:w="0" w:type="auto"/>
        <w:tblLayout w:type="fixed"/>
        <w:tblCellMar>
          <w:left w:w="62" w:type="dxa"/>
          <w:right w:w="62" w:type="dxa"/>
        </w:tblCellMar>
        <w:tblLook w:val="0000"/>
      </w:tblPr>
      <w:tblGrid>
        <w:gridCol w:w="2700"/>
        <w:gridCol w:w="5760"/>
      </w:tblGrid>
      <w:tr w:rsidTr="00B238B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B5BED" w:rsidP="001B5BED">
            <w:pPr>
              <w:pStyle w:val="BodyText"/>
            </w:pPr>
            <w:r w:rsidRPr="001B5BE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B5BED">
            <w:pPr>
              <w:pStyle w:val="BodyText"/>
              <w:rPr>
                <w:lang w:val="en-NZ"/>
              </w:rPr>
            </w:pPr>
            <w:r w:rsidRPr="001B5BED">
              <w:rPr>
                <w:rStyle w:val="SpecialBold"/>
              </w:rPr>
              <w:t>5</w:t>
            </w:r>
            <w:r w:rsidRPr="001B5BED">
              <w:t>)</w:t>
            </w:r>
          </w:p>
        </w:tc>
      </w:tr>
      <w:tr w:rsidTr="00B238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B5BED" w:rsidP="001B5BED">
            <w:pPr>
              <w:pStyle w:val="BodyText"/>
            </w:pPr>
            <w:r w:rsidRPr="001B5BED">
              <w:t>Electronics</w:t>
            </w:r>
          </w:p>
        </w:tc>
      </w:tr>
    </w:tbl>
    <w:p w:rsidR="00B238B2" w:rsidP="001B5BED">
      <w:pPr>
        <w:pStyle w:val="BodyText"/>
      </w:pPr>
    </w:p>
    <w:p w:rsidR="00B238B2" w:rsidP="001B5BED">
      <w:pPr>
        <w:pStyle w:val="BodyText"/>
      </w:pPr>
    </w:p>
    <w:p w:rsidR="00000000" w:rsidRPr="001B5BED" w:rsidP="001B5BED"/>
    <w:sectPr w:rsidSect="001B5B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B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38B2" w:rsidP="00B238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B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8B2" w:rsidP="001B5B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238B2" w:rsidP="001B5BE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238B2" w:rsidP="001B5BE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B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38B2" w:rsidP="00B238B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B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8B2" w:rsidP="001B5BED">
    <w:pPr>
      <w:pStyle w:val="Header"/>
      <w:framePr w:wrap="around"/>
    </w:pPr>
    <w:r>
      <w:fldChar w:fldCharType="begin"/>
    </w:r>
    <w:r>
      <w:instrText xml:space="preserve"> TITLE   \* MERGEFORMAT </w:instrText>
    </w:r>
    <w:r>
      <w:fldChar w:fldCharType="separate"/>
    </w:r>
    <w:r>
      <w:t>UEENEEH065B Find and repair faults in fire protection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238B2" w:rsidP="001B5BE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E45D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3E5C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14C1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5BE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B5BED"/>
    <w:pPr>
      <w:spacing w:before="360" w:after="60"/>
      <w:outlineLvl w:val="0"/>
    </w:pPr>
    <w:rPr>
      <w:sz w:val="32"/>
    </w:rPr>
  </w:style>
  <w:style w:type="paragraph" w:styleId="Heading2">
    <w:name w:val="heading 2"/>
    <w:basedOn w:val="HeadingBase"/>
    <w:next w:val="BodyText"/>
    <w:link w:val="Heading2Char"/>
    <w:qFormat/>
    <w:rsid w:val="001B5BED"/>
    <w:pPr>
      <w:keepLines/>
      <w:spacing w:before="240" w:after="120"/>
      <w:outlineLvl w:val="1"/>
    </w:pPr>
    <w:rPr>
      <w:sz w:val="28"/>
      <w:szCs w:val="40"/>
    </w:rPr>
  </w:style>
  <w:style w:type="paragraph" w:styleId="Heading3">
    <w:name w:val="heading 3"/>
    <w:basedOn w:val="HeadingBase"/>
    <w:next w:val="BodyText"/>
    <w:link w:val="Heading3Char"/>
    <w:qFormat/>
    <w:rsid w:val="001B5BED"/>
    <w:pPr>
      <w:spacing w:before="180" w:after="120"/>
      <w:outlineLvl w:val="2"/>
    </w:pPr>
    <w:rPr>
      <w:spacing w:val="-10"/>
      <w:kern w:val="32"/>
    </w:rPr>
  </w:style>
  <w:style w:type="paragraph" w:styleId="Heading4">
    <w:name w:val="heading 4"/>
    <w:basedOn w:val="HeadingBase"/>
    <w:next w:val="BodyText"/>
    <w:link w:val="Heading4Char"/>
    <w:qFormat/>
    <w:rsid w:val="001B5BED"/>
    <w:pPr>
      <w:spacing w:before="160" w:after="120"/>
      <w:outlineLvl w:val="3"/>
    </w:pPr>
    <w:rPr>
      <w:sz w:val="22"/>
    </w:rPr>
  </w:style>
  <w:style w:type="paragraph" w:styleId="Heading5">
    <w:name w:val="heading 5"/>
    <w:basedOn w:val="HeadingBase"/>
    <w:next w:val="Normal"/>
    <w:link w:val="Heading5Char"/>
    <w:qFormat/>
    <w:rsid w:val="001B5BED"/>
    <w:pPr>
      <w:spacing w:before="80"/>
      <w:outlineLvl w:val="4"/>
    </w:pPr>
    <w:rPr>
      <w:color w:val="918585"/>
      <w:sz w:val="20"/>
    </w:rPr>
  </w:style>
  <w:style w:type="paragraph" w:styleId="Heading6">
    <w:name w:val="heading 6"/>
    <w:basedOn w:val="HeadingBase"/>
    <w:next w:val="Normal"/>
    <w:link w:val="Heading6Char"/>
    <w:qFormat/>
    <w:rsid w:val="001B5BED"/>
    <w:pPr>
      <w:spacing w:before="60"/>
      <w:outlineLvl w:val="5"/>
    </w:pPr>
    <w:rPr>
      <w:color w:val="918585"/>
      <w:sz w:val="20"/>
    </w:rPr>
  </w:style>
  <w:style w:type="paragraph" w:styleId="Heading7">
    <w:name w:val="heading 7"/>
    <w:basedOn w:val="Normal"/>
    <w:next w:val="Normal"/>
    <w:link w:val="Heading7Char"/>
    <w:qFormat/>
    <w:rsid w:val="001B5BED"/>
    <w:pPr>
      <w:ind w:left="720"/>
      <w:outlineLvl w:val="6"/>
    </w:pPr>
    <w:rPr>
      <w:i/>
    </w:rPr>
  </w:style>
  <w:style w:type="paragraph" w:styleId="Heading8">
    <w:name w:val="heading 8"/>
    <w:basedOn w:val="Normal"/>
    <w:next w:val="Normal"/>
    <w:link w:val="Heading8Char"/>
    <w:qFormat/>
    <w:rsid w:val="001B5BED"/>
    <w:pPr>
      <w:ind w:left="720"/>
      <w:outlineLvl w:val="7"/>
    </w:pPr>
    <w:rPr>
      <w:i/>
    </w:rPr>
  </w:style>
  <w:style w:type="paragraph" w:styleId="Heading9">
    <w:name w:val="heading 9"/>
    <w:basedOn w:val="Normal"/>
    <w:next w:val="Normal"/>
    <w:link w:val="Heading9Char"/>
    <w:qFormat/>
    <w:rsid w:val="001B5BED"/>
    <w:pPr>
      <w:ind w:left="720"/>
      <w:outlineLvl w:val="8"/>
    </w:pPr>
    <w:rPr>
      <w:i/>
    </w:rPr>
  </w:style>
  <w:style w:type="character" w:default="1" w:styleId="DefaultParagraphFont">
    <w:name w:val="Default Paragraph Font"/>
    <w:uiPriority w:val="1"/>
    <w:unhideWhenUsed/>
    <w:rsid w:val="001B5B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5BED"/>
  </w:style>
  <w:style w:type="character" w:customStyle="1" w:styleId="Heading1Char">
    <w:name w:val="Heading 1 Char"/>
    <w:link w:val="Heading1"/>
    <w:rsid w:val="001B5BED"/>
    <w:rPr>
      <w:rFonts w:ascii="Times New Roman" w:eastAsia="Times New Roman" w:hAnsi="Times New Roman" w:cs="Times New Roman"/>
      <w:b/>
      <w:sz w:val="32"/>
      <w:szCs w:val="20"/>
      <w:lang w:eastAsia="en-US"/>
    </w:rPr>
  </w:style>
  <w:style w:type="paragraph" w:styleId="BodyText">
    <w:name w:val="Body Text"/>
    <w:basedOn w:val="Normal"/>
    <w:link w:val="BodyTextChar"/>
    <w:rsid w:val="001B5BED"/>
    <w:pPr>
      <w:spacing w:before="120" w:after="120"/>
      <w:contextualSpacing/>
    </w:pPr>
    <w:rPr>
      <w:rFonts w:ascii="Times New Roman" w:hAnsi="Times New Roman"/>
      <w:sz w:val="24"/>
      <w:szCs w:val="22"/>
    </w:rPr>
  </w:style>
  <w:style w:type="character" w:customStyle="1" w:styleId="BodyTextChar">
    <w:name w:val="Body Text Char"/>
    <w:link w:val="BodyText"/>
    <w:rsid w:val="001B5BED"/>
    <w:rPr>
      <w:rFonts w:ascii="Times New Roman" w:eastAsia="Times New Roman" w:hAnsi="Times New Roman" w:cs="Times New Roman"/>
      <w:sz w:val="24"/>
      <w:lang w:val="en-US" w:eastAsia="en-US"/>
    </w:rPr>
  </w:style>
  <w:style w:type="paragraph" w:styleId="Footer">
    <w:name w:val="footer"/>
    <w:basedOn w:val="Normal"/>
    <w:link w:val="FooterChar"/>
    <w:rsid w:val="001B5B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B5BED"/>
    <w:rPr>
      <w:rFonts w:ascii="Times New Roman" w:eastAsia="Times New Roman" w:hAnsi="Times New Roman" w:cs="Times New Roman"/>
      <w:sz w:val="16"/>
      <w:lang w:val="en-US" w:eastAsia="en-US"/>
    </w:rPr>
  </w:style>
  <w:style w:type="paragraph" w:styleId="ListBullet">
    <w:name w:val="List Bullet"/>
    <w:basedOn w:val="List"/>
    <w:rsid w:val="001B5BED"/>
    <w:pPr>
      <w:numPr>
        <w:numId w:val="13"/>
      </w:numPr>
      <w:tabs>
        <w:tab w:val="clear" w:pos="340"/>
      </w:tabs>
      <w:spacing w:before="40" w:after="40"/>
    </w:pPr>
  </w:style>
  <w:style w:type="character" w:customStyle="1" w:styleId="SpecialBold">
    <w:name w:val="Special Bold"/>
    <w:rsid w:val="001B5BED"/>
    <w:rPr>
      <w:b/>
      <w:spacing w:val="0"/>
    </w:rPr>
  </w:style>
  <w:style w:type="paragraph" w:styleId="ListBullet2">
    <w:name w:val="List Bullet 2"/>
    <w:basedOn w:val="List2"/>
    <w:rsid w:val="001B5BED"/>
    <w:pPr>
      <w:numPr>
        <w:numId w:val="14"/>
      </w:numPr>
      <w:tabs>
        <w:tab w:val="clear" w:pos="680"/>
      </w:tabs>
    </w:pPr>
  </w:style>
  <w:style w:type="paragraph" w:styleId="Header">
    <w:name w:val="header"/>
    <w:basedOn w:val="Normal"/>
    <w:link w:val="HeaderChar"/>
    <w:rsid w:val="001B5B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B5BE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B5BED"/>
    <w:pPr>
      <w:spacing w:before="240" w:after="120"/>
      <w:outlineLvl w:val="0"/>
    </w:pPr>
    <w:rPr>
      <w:rFonts w:ascii="Times New Roman" w:hAnsi="Times New Roman"/>
      <w:b/>
      <w:sz w:val="28"/>
    </w:rPr>
  </w:style>
  <w:style w:type="paragraph" w:customStyle="1" w:styleId="AllowPageBreak">
    <w:name w:val="AllowPageBreak"/>
    <w:rsid w:val="001B5B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1B5BED"/>
    <w:rPr>
      <w:rFonts w:ascii="Times New Roman" w:eastAsia="Times New Roman" w:hAnsi="Times New Roman" w:cs="Times New Roman"/>
      <w:b/>
      <w:sz w:val="28"/>
      <w:szCs w:val="40"/>
      <w:lang w:eastAsia="en-US"/>
    </w:rPr>
  </w:style>
  <w:style w:type="character" w:customStyle="1" w:styleId="Heading3Char">
    <w:name w:val="Heading 3 Char"/>
    <w:link w:val="Heading3"/>
    <w:rsid w:val="001B5BE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B5BED"/>
    <w:rPr>
      <w:rFonts w:ascii="Times New Roman" w:eastAsia="Times New Roman" w:hAnsi="Times New Roman" w:cs="Times New Roman"/>
      <w:b/>
      <w:szCs w:val="20"/>
      <w:lang w:eastAsia="en-US"/>
    </w:rPr>
  </w:style>
  <w:style w:type="character" w:customStyle="1" w:styleId="Heading5Char">
    <w:name w:val="Heading 5 Char"/>
    <w:link w:val="Heading5"/>
    <w:rsid w:val="001B5BE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B5B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5BE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B5BE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B5BED"/>
    <w:rPr>
      <w:rFonts w:ascii="Courier New" w:eastAsia="Times New Roman" w:hAnsi="Courier New" w:cs="Times New Roman"/>
      <w:i/>
      <w:szCs w:val="20"/>
      <w:lang w:val="en-US" w:eastAsia="en-US"/>
    </w:rPr>
  </w:style>
  <w:style w:type="paragraph" w:customStyle="1" w:styleId="HeadingBase">
    <w:name w:val="Heading Base"/>
    <w:rsid w:val="001B5B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5BED"/>
    <w:pPr>
      <w:tabs>
        <w:tab w:val="right" w:leader="dot" w:pos="9072"/>
      </w:tabs>
      <w:ind w:left="567"/>
    </w:pPr>
    <w:rPr>
      <w:szCs w:val="22"/>
    </w:rPr>
  </w:style>
  <w:style w:type="paragraph" w:customStyle="1" w:styleId="TOCBase">
    <w:name w:val="TOC Base"/>
    <w:rsid w:val="001B5B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5BED"/>
    <w:pPr>
      <w:tabs>
        <w:tab w:val="right" w:leader="dot" w:pos="9072"/>
      </w:tabs>
      <w:spacing w:before="40" w:after="40"/>
      <w:ind w:left="284"/>
    </w:pPr>
    <w:rPr>
      <w:rFonts w:ascii="Times New Roman" w:hAnsi="Times New Roman"/>
    </w:rPr>
  </w:style>
  <w:style w:type="paragraph" w:styleId="TOC1">
    <w:name w:val="toc 1"/>
    <w:basedOn w:val="TOCBase"/>
    <w:next w:val="Normal"/>
    <w:rsid w:val="001B5BE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B5BED"/>
    <w:pPr>
      <w:spacing w:before="5040"/>
      <w:jc w:val="center"/>
    </w:pPr>
    <w:rPr>
      <w:sz w:val="48"/>
      <w:szCs w:val="72"/>
      <w:lang w:val="en-US"/>
    </w:rPr>
  </w:style>
  <w:style w:type="character" w:customStyle="1" w:styleId="TitleChar">
    <w:name w:val="Title Char"/>
    <w:link w:val="Title"/>
    <w:rsid w:val="001B5B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5BED"/>
    <w:pPr>
      <w:tabs>
        <w:tab w:val="left" w:pos="3600"/>
        <w:tab w:val="left" w:pos="3958"/>
      </w:tabs>
    </w:pPr>
  </w:style>
  <w:style w:type="paragraph" w:styleId="List">
    <w:name w:val="List"/>
    <w:basedOn w:val="BodyText"/>
    <w:next w:val="BodyText"/>
    <w:rsid w:val="001B5BED"/>
    <w:pPr>
      <w:tabs>
        <w:tab w:val="left" w:pos="340"/>
      </w:tabs>
      <w:spacing w:before="60" w:after="60"/>
      <w:ind w:left="340" w:hanging="340"/>
    </w:pPr>
  </w:style>
  <w:style w:type="paragraph" w:customStyle="1" w:styleId="Note">
    <w:name w:val="Note"/>
    <w:basedOn w:val="BodyText"/>
    <w:rsid w:val="001B5B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5BED"/>
    <w:pPr>
      <w:framePr w:wrap="auto" w:hAnchor="text" w:y="6049"/>
    </w:pPr>
    <w:rPr>
      <w:color w:val="000000"/>
      <w:sz w:val="40"/>
    </w:rPr>
  </w:style>
  <w:style w:type="paragraph" w:customStyle="1" w:styleId="TOCTitle">
    <w:name w:val="TOCTitle"/>
    <w:basedOn w:val="Heading1"/>
    <w:rsid w:val="001B5BED"/>
    <w:pPr>
      <w:spacing w:after="240"/>
      <w:jc w:val="center"/>
      <w:outlineLvl w:val="9"/>
    </w:pPr>
    <w:rPr>
      <w:caps/>
    </w:rPr>
  </w:style>
  <w:style w:type="paragraph" w:customStyle="1" w:styleId="Version">
    <w:name w:val="Version"/>
    <w:rsid w:val="001B5B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5BED"/>
    <w:pPr>
      <w:keepNext w:val="0"/>
      <w:tabs>
        <w:tab w:val="right" w:pos="4176"/>
      </w:tabs>
      <w:ind w:left="198" w:hanging="198"/>
    </w:pPr>
    <w:rPr>
      <w:rFonts w:ascii="Garamond" w:hAnsi="Garamond"/>
    </w:rPr>
  </w:style>
  <w:style w:type="paragraph" w:styleId="IndexHeading">
    <w:name w:val="index heading"/>
    <w:basedOn w:val="Normal"/>
    <w:next w:val="Index1"/>
    <w:semiHidden/>
    <w:rsid w:val="001B5BED"/>
    <w:pPr>
      <w:spacing w:before="120" w:after="120"/>
    </w:pPr>
    <w:rPr>
      <w:rFonts w:ascii="Arial" w:hAnsi="Arial"/>
      <w:b/>
      <w:color w:val="918585"/>
      <w:sz w:val="24"/>
    </w:rPr>
  </w:style>
  <w:style w:type="paragraph" w:customStyle="1" w:styleId="Chapter">
    <w:name w:val="Chapter"/>
    <w:basedOn w:val="Normal"/>
    <w:rsid w:val="001B5BED"/>
    <w:pPr>
      <w:spacing w:before="240"/>
    </w:pPr>
    <w:rPr>
      <w:rFonts w:ascii="Times New Roman" w:hAnsi="Times New Roman"/>
      <w:smallCaps/>
      <w:spacing w:val="80"/>
      <w:sz w:val="28"/>
    </w:rPr>
  </w:style>
  <w:style w:type="paragraph" w:customStyle="1" w:styleId="InChapter">
    <w:name w:val="InChapter"/>
    <w:basedOn w:val="Heading3"/>
    <w:rsid w:val="001B5BED"/>
    <w:pPr>
      <w:spacing w:after="240"/>
      <w:outlineLvl w:val="9"/>
    </w:pPr>
    <w:rPr>
      <w:noProof/>
    </w:rPr>
  </w:style>
  <w:style w:type="paragraph" w:styleId="Index2">
    <w:name w:val="index 2"/>
    <w:basedOn w:val="Normal"/>
    <w:next w:val="Normal"/>
    <w:semiHidden/>
    <w:rsid w:val="001B5BED"/>
    <w:pPr>
      <w:tabs>
        <w:tab w:val="right" w:pos="4176"/>
      </w:tabs>
      <w:ind w:left="568" w:hanging="284"/>
    </w:pPr>
    <w:rPr>
      <w:rFonts w:ascii="Garamond" w:hAnsi="Garamond"/>
    </w:rPr>
  </w:style>
  <w:style w:type="paragraph" w:customStyle="1" w:styleId="Byline">
    <w:name w:val="Byline"/>
    <w:rsid w:val="001B5B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5BED"/>
    <w:pPr>
      <w:tabs>
        <w:tab w:val="clear" w:pos="3600"/>
        <w:tab w:val="clear" w:pos="3958"/>
      </w:tabs>
      <w:jc w:val="right"/>
    </w:pPr>
  </w:style>
  <w:style w:type="character" w:styleId="Emphasis">
    <w:name w:val="Emphasis"/>
    <w:qFormat/>
    <w:rsid w:val="001B5BED"/>
    <w:rPr>
      <w:i/>
    </w:rPr>
  </w:style>
  <w:style w:type="paragraph" w:styleId="Caption">
    <w:name w:val="caption"/>
    <w:basedOn w:val="BodyText"/>
    <w:next w:val="Normal"/>
    <w:qFormat/>
    <w:rsid w:val="001B5BED"/>
    <w:pPr>
      <w:framePr w:w="2268" w:hSpace="181" w:vSpace="181" w:wrap="around" w:vAnchor="text" w:hAnchor="page" w:x="1135" w:y="285" w:anchorLock="1"/>
    </w:pPr>
    <w:rPr>
      <w:i/>
    </w:rPr>
  </w:style>
  <w:style w:type="paragraph" w:customStyle="1" w:styleId="MiniTOCTitle">
    <w:name w:val="MiniTOCTitle"/>
    <w:basedOn w:val="Heading4"/>
    <w:rsid w:val="001B5BED"/>
    <w:pPr>
      <w:spacing w:before="240"/>
      <w:outlineLvl w:val="9"/>
    </w:pPr>
    <w:rPr>
      <w:noProof/>
      <w:sz w:val="24"/>
    </w:rPr>
  </w:style>
  <w:style w:type="paragraph" w:customStyle="1" w:styleId="MiniTOCItem">
    <w:name w:val="MiniTOCItem"/>
    <w:basedOn w:val="ListBullet"/>
    <w:rsid w:val="001B5BED"/>
    <w:pPr>
      <w:numPr>
        <w:numId w:val="0"/>
      </w:numPr>
      <w:tabs>
        <w:tab w:val="right" w:leader="dot" w:pos="6521"/>
      </w:tabs>
      <w:spacing w:before="0" w:after="0"/>
    </w:pPr>
  </w:style>
  <w:style w:type="paragraph" w:customStyle="1" w:styleId="TOFTitle">
    <w:name w:val="TOFTitle"/>
    <w:basedOn w:val="TOCTitle"/>
    <w:rsid w:val="001B5BED"/>
  </w:style>
  <w:style w:type="paragraph" w:styleId="TableofFigures">
    <w:name w:val="table of figures"/>
    <w:basedOn w:val="Normal"/>
    <w:next w:val="Normal"/>
    <w:semiHidden/>
    <w:rsid w:val="001B5BED"/>
    <w:pPr>
      <w:tabs>
        <w:tab w:val="right" w:leader="dot" w:pos="9072"/>
      </w:tabs>
      <w:ind w:left="970" w:hanging="403"/>
    </w:pPr>
    <w:rPr>
      <w:rFonts w:ascii="Times New Roman" w:hAnsi="Times New Roman"/>
      <w:b/>
    </w:rPr>
  </w:style>
  <w:style w:type="paragraph" w:styleId="ListNumber">
    <w:name w:val="List Number"/>
    <w:basedOn w:val="List"/>
    <w:rsid w:val="001B5BED"/>
    <w:pPr>
      <w:numPr>
        <w:numId w:val="11"/>
      </w:numPr>
    </w:pPr>
  </w:style>
  <w:style w:type="character" w:customStyle="1" w:styleId="WingdingSymbols">
    <w:name w:val="Wingding Symbols"/>
    <w:rsid w:val="001B5BED"/>
    <w:rPr>
      <w:rFonts w:ascii="Wingdings" w:hAnsi="Wingdings"/>
    </w:rPr>
  </w:style>
  <w:style w:type="paragraph" w:customStyle="1" w:styleId="TableHeading">
    <w:name w:val="Table Heading"/>
    <w:basedOn w:val="HeadingBase"/>
    <w:rsid w:val="001B5BED"/>
    <w:pPr>
      <w:keepLines/>
      <w:pBdr>
        <w:bottom w:val="single" w:sz="6" w:space="1" w:color="918585"/>
      </w:pBdr>
      <w:spacing w:before="240"/>
    </w:pPr>
  </w:style>
  <w:style w:type="character" w:customStyle="1" w:styleId="HotSpot">
    <w:name w:val="HotSpot"/>
    <w:rsid w:val="001B5BED"/>
    <w:rPr>
      <w:color w:val="0033CC"/>
      <w:u w:val="none"/>
    </w:rPr>
  </w:style>
  <w:style w:type="paragraph" w:customStyle="1" w:styleId="BodyTextRight">
    <w:name w:val="Body Text Right"/>
    <w:basedOn w:val="BodyText"/>
    <w:rsid w:val="001B5BED"/>
    <w:pPr>
      <w:spacing w:before="0" w:after="0"/>
      <w:jc w:val="right"/>
    </w:pPr>
  </w:style>
  <w:style w:type="paragraph" w:styleId="Index3">
    <w:name w:val="index 3"/>
    <w:basedOn w:val="ListNumber2"/>
    <w:next w:val="Normal"/>
    <w:semiHidden/>
    <w:rsid w:val="001B5BED"/>
    <w:pPr>
      <w:numPr>
        <w:numId w:val="0"/>
      </w:numPr>
      <w:tabs>
        <w:tab w:val="right" w:leader="dot" w:pos="4176"/>
      </w:tabs>
    </w:pPr>
  </w:style>
  <w:style w:type="paragraph" w:styleId="ListNumber2">
    <w:name w:val="List Number 2"/>
    <w:basedOn w:val="List2"/>
    <w:rsid w:val="001B5BED"/>
    <w:pPr>
      <w:numPr>
        <w:numId w:val="10"/>
      </w:numPr>
      <w:tabs>
        <w:tab w:val="clear" w:pos="1060"/>
      </w:tabs>
    </w:pPr>
  </w:style>
  <w:style w:type="paragraph" w:customStyle="1" w:styleId="MarginNote">
    <w:name w:val="Margin Note"/>
    <w:basedOn w:val="BodyText"/>
    <w:rsid w:val="001B5B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5B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B5BE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B5BED"/>
    <w:rPr>
      <w:sz w:val="32"/>
    </w:rPr>
  </w:style>
  <w:style w:type="paragraph" w:customStyle="1" w:styleId="HeadingProcedure">
    <w:name w:val="Heading Procedure"/>
    <w:basedOn w:val="HeadingBase"/>
    <w:next w:val="Normal"/>
    <w:rsid w:val="001B5BED"/>
    <w:pPr>
      <w:tabs>
        <w:tab w:val="left" w:pos="0"/>
      </w:tabs>
      <w:spacing w:before="120" w:after="60"/>
    </w:pPr>
    <w:rPr>
      <w:i/>
      <w:color w:val="918585"/>
      <w:sz w:val="22"/>
    </w:rPr>
  </w:style>
  <w:style w:type="paragraph" w:customStyle="1" w:styleId="TableBodyText">
    <w:name w:val="Table Body Text"/>
    <w:basedOn w:val="BodyText"/>
    <w:rsid w:val="001B5BED"/>
    <w:pPr>
      <w:spacing w:before="60" w:after="60"/>
    </w:pPr>
  </w:style>
  <w:style w:type="paragraph" w:styleId="ListContinue">
    <w:name w:val="List Continue"/>
    <w:basedOn w:val="List"/>
    <w:rsid w:val="001B5BED"/>
    <w:pPr>
      <w:ind w:firstLine="0"/>
    </w:pPr>
  </w:style>
  <w:style w:type="paragraph" w:customStyle="1" w:styleId="ListNote">
    <w:name w:val="List Note"/>
    <w:basedOn w:val="List"/>
    <w:rsid w:val="001B5BED"/>
    <w:pPr>
      <w:pBdr>
        <w:top w:val="single" w:sz="6" w:space="2" w:color="918585"/>
        <w:bottom w:val="single" w:sz="6" w:space="2" w:color="918585"/>
      </w:pBdr>
      <w:tabs>
        <w:tab w:val="left" w:pos="1021"/>
      </w:tabs>
      <w:ind w:firstLine="0"/>
    </w:pPr>
  </w:style>
  <w:style w:type="paragraph" w:customStyle="1" w:styleId="Warning">
    <w:name w:val="Warning"/>
    <w:basedOn w:val="BodyText"/>
    <w:rsid w:val="001B5BED"/>
    <w:pPr>
      <w:shd w:val="clear" w:color="auto" w:fill="D9D9D9"/>
      <w:tabs>
        <w:tab w:val="left" w:pos="992"/>
      </w:tabs>
      <w:ind w:left="119" w:right="119"/>
    </w:pPr>
    <w:rPr>
      <w:sz w:val="20"/>
    </w:rPr>
  </w:style>
  <w:style w:type="paragraph" w:customStyle="1" w:styleId="MarginIcons">
    <w:name w:val="Margin Icons"/>
    <w:basedOn w:val="BodyText"/>
    <w:rsid w:val="001B5BE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B5BED"/>
    <w:rPr>
      <w:rFonts w:ascii="Courier New" w:hAnsi="Courier New"/>
    </w:rPr>
  </w:style>
  <w:style w:type="paragraph" w:customStyle="1" w:styleId="NoteBullet">
    <w:name w:val="Note Bullet"/>
    <w:basedOn w:val="Note"/>
    <w:rsid w:val="001B5BED"/>
    <w:pPr>
      <w:tabs>
        <w:tab w:val="clear" w:pos="680"/>
      </w:tabs>
      <w:spacing w:before="60" w:after="60"/>
    </w:pPr>
  </w:style>
  <w:style w:type="paragraph" w:customStyle="1" w:styleId="SubHeading2">
    <w:name w:val="SubHeading2"/>
    <w:basedOn w:val="HeadingBase"/>
    <w:rsid w:val="001B5BED"/>
    <w:pPr>
      <w:spacing w:before="240" w:after="60"/>
    </w:pPr>
    <w:rPr>
      <w:sz w:val="20"/>
    </w:rPr>
  </w:style>
  <w:style w:type="paragraph" w:customStyle="1" w:styleId="SubHeading1">
    <w:name w:val="SubHeading1"/>
    <w:basedOn w:val="HeadingBase"/>
    <w:rsid w:val="001B5BED"/>
    <w:pPr>
      <w:spacing w:before="240" w:after="60"/>
    </w:pPr>
    <w:rPr>
      <w:color w:val="918585"/>
      <w:sz w:val="22"/>
    </w:rPr>
  </w:style>
  <w:style w:type="paragraph" w:customStyle="1" w:styleId="SideHeading">
    <w:name w:val="Side Heading"/>
    <w:basedOn w:val="HeadingBase"/>
    <w:rsid w:val="001B5B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5BED"/>
    <w:pPr>
      <w:numPr>
        <w:numId w:val="12"/>
      </w:numPr>
    </w:pPr>
  </w:style>
  <w:style w:type="paragraph" w:styleId="PlainText">
    <w:name w:val="Plain Text"/>
    <w:basedOn w:val="Normal"/>
    <w:link w:val="PlainTextChar"/>
    <w:rsid w:val="001B5BED"/>
    <w:rPr>
      <w:sz w:val="20"/>
    </w:rPr>
  </w:style>
  <w:style w:type="character" w:customStyle="1" w:styleId="PlainTextChar">
    <w:name w:val="Plain Text Char"/>
    <w:basedOn w:val="DefaultParagraphFont"/>
    <w:link w:val="PlainText"/>
    <w:rsid w:val="001B5BED"/>
    <w:rPr>
      <w:rFonts w:ascii="Courier New" w:eastAsia="Times New Roman" w:hAnsi="Courier New" w:cs="Times New Roman"/>
      <w:sz w:val="20"/>
      <w:szCs w:val="20"/>
      <w:lang w:val="en-US" w:eastAsia="en-US"/>
    </w:rPr>
  </w:style>
  <w:style w:type="character" w:customStyle="1" w:styleId="MenuOption">
    <w:name w:val="Menu Option"/>
    <w:rsid w:val="001B5BED"/>
    <w:rPr>
      <w:b/>
      <w:smallCaps/>
    </w:rPr>
  </w:style>
  <w:style w:type="paragraph" w:customStyle="1" w:styleId="TableListNumber">
    <w:name w:val="Table List Number"/>
    <w:basedOn w:val="ListNumber"/>
    <w:rsid w:val="001B5BED"/>
    <w:pPr>
      <w:numPr>
        <w:numId w:val="0"/>
      </w:numPr>
    </w:pPr>
  </w:style>
  <w:style w:type="paragraph" w:styleId="TOC4">
    <w:name w:val="toc 4"/>
    <w:basedOn w:val="TOCBase"/>
    <w:next w:val="Normal"/>
    <w:semiHidden/>
    <w:rsid w:val="001B5BED"/>
    <w:pPr>
      <w:tabs>
        <w:tab w:val="right" w:leader="dot" w:pos="9071"/>
      </w:tabs>
      <w:ind w:left="1701"/>
    </w:pPr>
  </w:style>
  <w:style w:type="paragraph" w:customStyle="1" w:styleId="ListAlpha">
    <w:name w:val="List Alpha"/>
    <w:basedOn w:val="List"/>
    <w:rsid w:val="001B5BED"/>
    <w:pPr>
      <w:numPr>
        <w:numId w:val="9"/>
      </w:numPr>
    </w:pPr>
  </w:style>
  <w:style w:type="paragraph" w:customStyle="1" w:styleId="ListAlpha2">
    <w:name w:val="List Alpha 2"/>
    <w:basedOn w:val="List2"/>
    <w:rsid w:val="001B5BED"/>
    <w:pPr>
      <w:numPr>
        <w:numId w:val="8"/>
      </w:numPr>
    </w:pPr>
  </w:style>
  <w:style w:type="paragraph" w:styleId="List2">
    <w:name w:val="List 2"/>
    <w:basedOn w:val="BodyText"/>
    <w:rsid w:val="001B5BED"/>
    <w:pPr>
      <w:tabs>
        <w:tab w:val="left" w:pos="680"/>
      </w:tabs>
      <w:spacing w:before="60" w:after="60"/>
      <w:ind w:left="680" w:hanging="340"/>
    </w:pPr>
  </w:style>
  <w:style w:type="paragraph" w:styleId="List3">
    <w:name w:val="List 3"/>
    <w:basedOn w:val="BodyText"/>
    <w:rsid w:val="001B5BED"/>
    <w:pPr>
      <w:tabs>
        <w:tab w:val="left" w:pos="1021"/>
      </w:tabs>
      <w:spacing w:before="60" w:after="60"/>
      <w:ind w:left="1020" w:hanging="340"/>
    </w:pPr>
  </w:style>
  <w:style w:type="paragraph" w:styleId="List4">
    <w:name w:val="List 4"/>
    <w:basedOn w:val="BodyText"/>
    <w:rsid w:val="001B5BED"/>
    <w:pPr>
      <w:tabs>
        <w:tab w:val="left" w:pos="1361"/>
      </w:tabs>
      <w:spacing w:before="60" w:after="60"/>
      <w:ind w:left="1361" w:hanging="340"/>
    </w:pPr>
  </w:style>
  <w:style w:type="paragraph" w:styleId="List5">
    <w:name w:val="List 5"/>
    <w:basedOn w:val="BodyText"/>
    <w:rsid w:val="001B5BED"/>
    <w:pPr>
      <w:tabs>
        <w:tab w:val="left" w:pos="1701"/>
      </w:tabs>
      <w:spacing w:before="60" w:after="60"/>
      <w:ind w:left="1701" w:hanging="340"/>
    </w:pPr>
  </w:style>
  <w:style w:type="paragraph" w:styleId="ListBullet3">
    <w:name w:val="List Bullet 3"/>
    <w:basedOn w:val="List3"/>
    <w:rsid w:val="001B5BED"/>
    <w:pPr>
      <w:numPr>
        <w:numId w:val="15"/>
      </w:numPr>
      <w:tabs>
        <w:tab w:val="clear" w:pos="1021"/>
      </w:tabs>
      <w:ind w:left="1037" w:hanging="357"/>
    </w:pPr>
  </w:style>
  <w:style w:type="paragraph" w:styleId="ListBullet4">
    <w:name w:val="List Bullet 4"/>
    <w:basedOn w:val="List4"/>
    <w:rsid w:val="001B5BED"/>
    <w:pPr>
      <w:numPr>
        <w:numId w:val="3"/>
      </w:numPr>
    </w:pPr>
  </w:style>
  <w:style w:type="paragraph" w:styleId="ListBullet5">
    <w:name w:val="List Bullet 5"/>
    <w:basedOn w:val="List5"/>
    <w:rsid w:val="001B5BED"/>
    <w:pPr>
      <w:numPr>
        <w:numId w:val="4"/>
      </w:numPr>
    </w:pPr>
  </w:style>
  <w:style w:type="paragraph" w:styleId="ListContinue2">
    <w:name w:val="List Continue 2"/>
    <w:basedOn w:val="List2"/>
    <w:rsid w:val="001B5BED"/>
    <w:pPr>
      <w:ind w:firstLine="0"/>
    </w:pPr>
  </w:style>
  <w:style w:type="paragraph" w:styleId="ListContinue3">
    <w:name w:val="List Continue 3"/>
    <w:basedOn w:val="List3"/>
    <w:rsid w:val="001B5BED"/>
    <w:pPr>
      <w:ind w:left="1021" w:firstLine="0"/>
    </w:pPr>
  </w:style>
  <w:style w:type="paragraph" w:styleId="ListContinue4">
    <w:name w:val="List Continue 4"/>
    <w:basedOn w:val="List4"/>
    <w:rsid w:val="001B5BED"/>
    <w:pPr>
      <w:ind w:firstLine="0"/>
    </w:pPr>
  </w:style>
  <w:style w:type="paragraph" w:styleId="ListContinue5">
    <w:name w:val="List Continue 5"/>
    <w:basedOn w:val="List5"/>
    <w:rsid w:val="001B5BED"/>
    <w:pPr>
      <w:ind w:firstLine="0"/>
    </w:pPr>
  </w:style>
  <w:style w:type="paragraph" w:styleId="ListNumber3">
    <w:name w:val="List Number 3"/>
    <w:basedOn w:val="List3"/>
    <w:rsid w:val="001B5BED"/>
    <w:pPr>
      <w:numPr>
        <w:numId w:val="5"/>
      </w:numPr>
    </w:pPr>
  </w:style>
  <w:style w:type="paragraph" w:styleId="ListNumber4">
    <w:name w:val="List Number 4"/>
    <w:basedOn w:val="List4"/>
    <w:rsid w:val="001B5BED"/>
    <w:pPr>
      <w:numPr>
        <w:numId w:val="6"/>
      </w:numPr>
    </w:pPr>
  </w:style>
  <w:style w:type="paragraph" w:styleId="ListNumber5">
    <w:name w:val="List Number 5"/>
    <w:basedOn w:val="List5"/>
    <w:rsid w:val="001B5BED"/>
    <w:pPr>
      <w:numPr>
        <w:numId w:val="7"/>
      </w:numPr>
    </w:pPr>
  </w:style>
  <w:style w:type="paragraph" w:styleId="BlockText">
    <w:name w:val="Block Text"/>
    <w:basedOn w:val="Normal"/>
    <w:rsid w:val="001B5BED"/>
    <w:pPr>
      <w:spacing w:after="120"/>
      <w:ind w:left="1440" w:right="1440"/>
    </w:pPr>
  </w:style>
  <w:style w:type="character" w:customStyle="1" w:styleId="Subscript">
    <w:name w:val="Subscript"/>
    <w:rsid w:val="001B5BED"/>
    <w:rPr>
      <w:sz w:val="16"/>
      <w:vertAlign w:val="subscript"/>
    </w:rPr>
  </w:style>
  <w:style w:type="character" w:customStyle="1" w:styleId="Superscript">
    <w:name w:val="Superscript"/>
    <w:rsid w:val="001B5BED"/>
    <w:rPr>
      <w:sz w:val="16"/>
      <w:vertAlign w:val="superscript"/>
    </w:rPr>
  </w:style>
  <w:style w:type="character" w:customStyle="1" w:styleId="Symbols">
    <w:name w:val="Symbols"/>
    <w:rsid w:val="001B5BED"/>
    <w:rPr>
      <w:rFonts w:ascii="Symbol" w:hAnsi="Symbol"/>
    </w:rPr>
  </w:style>
  <w:style w:type="character" w:customStyle="1" w:styleId="MenuOptions">
    <w:name w:val="Menu Options"/>
    <w:rsid w:val="001B5BED"/>
    <w:rPr>
      <w:rFonts w:ascii="Arial Narrow" w:hAnsi="Arial Narrow"/>
      <w:smallCaps/>
    </w:rPr>
  </w:style>
  <w:style w:type="character" w:customStyle="1" w:styleId="Buttons">
    <w:name w:val="Buttons"/>
    <w:rsid w:val="001B5BED"/>
    <w:rPr>
      <w:b/>
    </w:rPr>
  </w:style>
  <w:style w:type="character" w:customStyle="1" w:styleId="Underlined">
    <w:name w:val="Underlined"/>
    <w:rsid w:val="001B5BED"/>
    <w:rPr>
      <w:u w:val="single"/>
    </w:rPr>
  </w:style>
  <w:style w:type="paragraph" w:customStyle="1" w:styleId="TableBodyTextRight">
    <w:name w:val="Table Body Text Right"/>
    <w:basedOn w:val="TableBodyText"/>
    <w:rsid w:val="001B5BED"/>
    <w:pPr>
      <w:widowControl w:val="0"/>
      <w:autoSpaceDE w:val="0"/>
      <w:autoSpaceDN w:val="0"/>
      <w:adjustRightInd w:val="0"/>
      <w:jc w:val="right"/>
    </w:pPr>
    <w:rPr>
      <w:rFonts w:cs="Arial"/>
      <w:szCs w:val="18"/>
    </w:rPr>
  </w:style>
  <w:style w:type="paragraph" w:customStyle="1" w:styleId="CopyrightText">
    <w:name w:val="Copyright Text"/>
    <w:basedOn w:val="BodyText"/>
    <w:rsid w:val="001B5BED"/>
    <w:rPr>
      <w:sz w:val="18"/>
    </w:rPr>
  </w:style>
  <w:style w:type="paragraph" w:customStyle="1" w:styleId="BodySmallRight">
    <w:name w:val="Body Small Right"/>
    <w:basedOn w:val="BodyTextRight"/>
    <w:rsid w:val="001B5BED"/>
    <w:rPr>
      <w:sz w:val="18"/>
      <w:szCs w:val="18"/>
    </w:rPr>
  </w:style>
  <w:style w:type="paragraph" w:customStyle="1" w:styleId="MarginEdition">
    <w:name w:val="Margin Edition"/>
    <w:basedOn w:val="MarginNote"/>
    <w:rsid w:val="001B5BED"/>
    <w:pPr>
      <w:spacing w:before="0" w:after="0"/>
    </w:pPr>
    <w:rPr>
      <w:rFonts w:ascii="Times New Roman" w:hAnsi="Times New Roman"/>
      <w:color w:val="999999"/>
    </w:rPr>
  </w:style>
  <w:style w:type="paragraph" w:customStyle="1" w:styleId="Spacer">
    <w:name w:val="Spacer"/>
    <w:basedOn w:val="Normal"/>
    <w:rsid w:val="001B5BED"/>
    <w:rPr>
      <w:sz w:val="2"/>
      <w:szCs w:val="2"/>
    </w:rPr>
  </w:style>
  <w:style w:type="character" w:customStyle="1" w:styleId="Small">
    <w:name w:val="Small"/>
    <w:rsid w:val="001B5BED"/>
    <w:rPr>
      <w:sz w:val="16"/>
    </w:rPr>
  </w:style>
  <w:style w:type="paragraph" w:customStyle="1" w:styleId="WideTable">
    <w:name w:val="Wide Table"/>
    <w:basedOn w:val="Normal"/>
    <w:rsid w:val="001B5BED"/>
    <w:pPr>
      <w:ind w:left="-1418"/>
    </w:pPr>
    <w:rPr>
      <w:sz w:val="2"/>
      <w:szCs w:val="2"/>
    </w:rPr>
  </w:style>
  <w:style w:type="character" w:styleId="PageNumber">
    <w:name w:val="page number"/>
    <w:rsid w:val="001B5BED"/>
  </w:style>
  <w:style w:type="paragraph" w:styleId="Quote">
    <w:name w:val="Quote"/>
    <w:basedOn w:val="Heading1"/>
    <w:link w:val="QuoteChar"/>
    <w:qFormat/>
    <w:rsid w:val="001B5BED"/>
    <w:rPr>
      <w:b w:val="0"/>
      <w:sz w:val="72"/>
      <w:szCs w:val="72"/>
      <w:lang w:val="en-NZ"/>
    </w:rPr>
  </w:style>
  <w:style w:type="character" w:customStyle="1" w:styleId="QuoteChar">
    <w:name w:val="Quote Char"/>
    <w:link w:val="Quote"/>
    <w:rsid w:val="001B5B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5BED"/>
    <w:pPr>
      <w:pageBreakBefore/>
    </w:pPr>
  </w:style>
  <w:style w:type="paragraph" w:customStyle="1" w:styleId="Border">
    <w:name w:val="Border"/>
    <w:basedOn w:val="Normal"/>
    <w:qFormat/>
    <w:rsid w:val="001B5BED"/>
    <w:pPr>
      <w:pBdr>
        <w:top w:val="single" w:sz="18" w:space="1" w:color="auto"/>
      </w:pBdr>
    </w:pPr>
    <w:rPr>
      <w:rFonts w:ascii="Times New Roman" w:hAnsi="Times New Roman"/>
      <w:color w:val="FFFFFF"/>
      <w:sz w:val="2"/>
    </w:rPr>
  </w:style>
  <w:style w:type="character" w:styleId="IntenseEmphasis">
    <w:name w:val="Intense Emphasis"/>
    <w:uiPriority w:val="21"/>
    <w:qFormat/>
    <w:rsid w:val="001B5BED"/>
    <w:rPr>
      <w:b/>
      <w:bCs/>
      <w:i/>
      <w:iCs/>
      <w:color w:val="auto"/>
    </w:rPr>
  </w:style>
  <w:style w:type="paragraph" w:styleId="IntenseQuote">
    <w:name w:val="Intense Quote"/>
    <w:basedOn w:val="Normal"/>
    <w:next w:val="Normal"/>
    <w:link w:val="IntenseQuoteChar"/>
    <w:uiPriority w:val="30"/>
    <w:qFormat/>
    <w:rsid w:val="001B5BE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B5BED"/>
    <w:rPr>
      <w:rFonts w:ascii="Courier New" w:eastAsia="Times New Roman" w:hAnsi="Courier New" w:cs="Times New Roman"/>
      <w:b/>
      <w:bCs/>
      <w:i/>
      <w:iCs/>
      <w:szCs w:val="20"/>
      <w:lang w:val="en-US" w:eastAsia="en-US"/>
    </w:rPr>
  </w:style>
  <w:style w:type="character" w:styleId="SubtleReference">
    <w:name w:val="Subtle Reference"/>
    <w:uiPriority w:val="31"/>
    <w:qFormat/>
    <w:rsid w:val="001B5BED"/>
    <w:rPr>
      <w:smallCaps/>
      <w:color w:val="auto"/>
      <w:u w:val="single"/>
    </w:rPr>
  </w:style>
  <w:style w:type="character" w:styleId="IntenseReference">
    <w:name w:val="Intense Reference"/>
    <w:uiPriority w:val="32"/>
    <w:qFormat/>
    <w:rsid w:val="001B5BED"/>
    <w:rPr>
      <w:b/>
      <w:bCs/>
      <w:smallCaps/>
      <w:color w:val="auto"/>
      <w:spacing w:val="5"/>
      <w:u w:val="single"/>
    </w:rPr>
  </w:style>
  <w:style w:type="paragraph" w:customStyle="1" w:styleId="2ColumnHeading">
    <w:name w:val="2Column Heading"/>
    <w:basedOn w:val="BodyText"/>
    <w:qFormat/>
    <w:rsid w:val="001B5BED"/>
    <w:pPr>
      <w:spacing w:after="60"/>
      <w:ind w:left="-2268"/>
    </w:pPr>
    <w:rPr>
      <w:b/>
    </w:rPr>
  </w:style>
  <w:style w:type="paragraph" w:customStyle="1" w:styleId="Heading1TOC">
    <w:name w:val="Heading1 TOC"/>
    <w:basedOn w:val="Normal"/>
    <w:qFormat/>
    <w:rsid w:val="001B5BED"/>
    <w:pPr>
      <w:spacing w:before="240" w:after="120"/>
    </w:pPr>
    <w:rPr>
      <w:rFonts w:ascii="Times New Roman" w:hAnsi="Times New Roman"/>
      <w:b/>
      <w:sz w:val="32"/>
    </w:rPr>
  </w:style>
  <w:style w:type="paragraph" w:customStyle="1" w:styleId="Heading2TOC">
    <w:name w:val="Heading2 TOC"/>
    <w:basedOn w:val="Normal"/>
    <w:qFormat/>
    <w:rsid w:val="001B5BED"/>
    <w:pPr>
      <w:spacing w:before="240" w:after="60"/>
    </w:pPr>
    <w:rPr>
      <w:rFonts w:ascii="Times New Roman" w:hAnsi="Times New Roman"/>
      <w:b/>
      <w:sz w:val="28"/>
    </w:rPr>
  </w:style>
  <w:style w:type="character" w:customStyle="1" w:styleId="Underline">
    <w:name w:val="Underline"/>
    <w:qFormat/>
    <w:rsid w:val="001B5BED"/>
    <w:rPr>
      <w:u w:val="single"/>
    </w:rPr>
  </w:style>
  <w:style w:type="character" w:customStyle="1" w:styleId="BoldandItalics">
    <w:name w:val="Bold and Italics"/>
    <w:qFormat/>
    <w:rsid w:val="001B5BED"/>
    <w:rPr>
      <w:b/>
      <w:i/>
      <w:u w:val="none"/>
    </w:rPr>
  </w:style>
  <w:style w:type="paragraph" w:styleId="BalloonText">
    <w:name w:val="Balloon Text"/>
    <w:basedOn w:val="Normal"/>
    <w:link w:val="BalloonTextChar"/>
    <w:rsid w:val="001B5BED"/>
    <w:rPr>
      <w:rFonts w:ascii="Tahoma" w:hAnsi="Tahoma" w:cs="Tahoma"/>
      <w:sz w:val="16"/>
      <w:szCs w:val="16"/>
    </w:rPr>
  </w:style>
  <w:style w:type="character" w:customStyle="1" w:styleId="BalloonTextChar">
    <w:name w:val="Balloon Text Char"/>
    <w:link w:val="BalloonText"/>
    <w:rsid w:val="001B5BE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B5BE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B5BE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2007</Words>
  <Characters>11920</Characters>
  <Application>Microsoft Office Word</Application>
  <DocSecurity>0</DocSecurity>
  <Lines>465</Lines>
  <Paragraphs>180</Paragraphs>
  <ScaleCrop>false</ScaleCrop>
  <Company>Author-it Software Corporation Ltd.</Company>
  <LinksUpToDate>false</LinksUpToDate>
  <CharactersWithSpaces>13782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UEENEEH065B Find and repair faults in fire protection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2012-05-26T11:13:00Z</dcterms:created>
  <dcterms:modified xsi:type="dcterms:W3CDTF">2012-05-26T11:13:00Z</dcterms:modified>
</cp:coreProperties>
</file>