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E68EB" w:rsidP="00DE68EB">
      <w:pPr>
        <w:pStyle w:val="Title"/>
      </w:pPr>
      <w:r>
        <w:fldChar w:fldCharType="begin"/>
      </w:r>
      <w:r>
        <w:instrText xml:space="preserve"> TITLE   \* MERGEFORMAT </w:instrText>
      </w:r>
      <w:r>
        <w:fldChar w:fldCharType="separate"/>
      </w:r>
      <w:r>
        <w:t>UEENEEH054B Program and commission commercial security alarm systems</w:t>
      </w:r>
      <w:r>
        <w:fldChar w:fldCharType="end"/>
      </w:r>
    </w:p>
    <w:p w:rsidR="00DE68EB" w:rsidP="00DE68EB">
      <w:pPr>
        <w:pStyle w:val="Version"/>
        <w:sectPr w:rsidSect="00B36B2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36B2A" w:rsidP="00B36B2A">
      <w:pPr>
        <w:pStyle w:val="SuperHeading"/>
      </w:pPr>
      <w:r w:rsidRPr="00B36B2A">
        <w:t>UEENEEH054B Program and commission commercial security alarm systems</w:t>
      </w:r>
    </w:p>
    <w:p w:rsidR="00000000" w:rsidRPr="00B36B2A" w:rsidP="00B36B2A">
      <w:pPr>
        <w:pStyle w:val="Heading1"/>
      </w:pPr>
      <w:bookmarkStart w:id="1" w:name="O_274737"/>
      <w:bookmarkEnd w:id="1"/>
      <w:r w:rsidRPr="00B36B2A">
        <w:t>Modification History</w:t>
      </w:r>
    </w:p>
    <w:p w:rsidR="00000000" w:rsidRPr="00B36B2A" w:rsidP="00B36B2A">
      <w:pPr>
        <w:pStyle w:val="BodyText"/>
      </w:pPr>
      <w:r w:rsidRPr="00B36B2A">
        <w:t>Not Applicable</w:t>
      </w:r>
    </w:p>
    <w:p w:rsidR="00000000" w:rsidRPr="00B36B2A" w:rsidP="00B36B2A">
      <w:pPr>
        <w:pStyle w:val="AllowPageBreak"/>
      </w:pPr>
    </w:p>
    <w:p w:rsidR="00000000" w:rsidRPr="00B36B2A" w:rsidP="00B36B2A">
      <w:pPr>
        <w:pStyle w:val="Heading1"/>
      </w:pPr>
      <w:bookmarkStart w:id="2" w:name="O_226915"/>
      <w:bookmarkEnd w:id="2"/>
      <w:r w:rsidRPr="00B36B2A">
        <w:t>Unit Descriptor</w:t>
      </w:r>
    </w:p>
    <w:tbl>
      <w:tblPr>
        <w:tblW w:w="0" w:type="auto"/>
        <w:tblLayout w:type="fixed"/>
        <w:tblCellMar>
          <w:left w:w="62" w:type="dxa"/>
          <w:right w:w="62" w:type="dxa"/>
        </w:tblCellMar>
        <w:tblLook w:val="0000"/>
      </w:tblPr>
      <w:tblGrid>
        <w:gridCol w:w="2700"/>
        <w:gridCol w:w="5760"/>
      </w:tblGrid>
      <w:tr w:rsidTr="00DE68E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36B2A" w:rsidP="00B36B2A">
            <w:pPr>
              <w:pStyle w:val="BodyText"/>
            </w:pPr>
            <w:r w:rsidRPr="00B36B2A">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B36B2A" w:rsidP="00B36B2A">
            <w:pPr>
              <w:pStyle w:val="BodyText"/>
            </w:pPr>
            <w:r w:rsidRPr="00B36B2A">
              <w:rPr>
                <w:rStyle w:val="SpecialBold"/>
              </w:rPr>
              <w:t>1</w:t>
            </w:r>
            <w:r w:rsidRPr="00B36B2A">
              <w:t>)</w:t>
            </w:r>
          </w:p>
          <w:p w:rsidR="00000000" w:rsidP="00B36B2A">
            <w:pPr>
              <w:pStyle w:val="BodyText"/>
              <w:rPr>
                <w:lang w:val="en-NZ"/>
              </w:rPr>
            </w:pPr>
            <w:r w:rsidRPr="00B36B2A">
              <w:rPr>
                <w:rStyle w:val="SpecialBold"/>
              </w:rPr>
              <w:t>1</w:t>
            </w:r>
            <w:r w:rsidRPr="00B36B2A">
              <w:t>.</w:t>
            </w:r>
            <w:r w:rsidRPr="00B36B2A">
              <w:rPr>
                <w:rStyle w:val="SpecialBold"/>
              </w:rPr>
              <w:t>1</w:t>
            </w:r>
            <w:r w:rsidRPr="00B36B2A">
              <w:t xml:space="preserve">) </w:t>
            </w:r>
            <w:r w:rsidRPr="00B36B2A">
              <w:rPr>
                <w:rStyle w:val="SpecialBold"/>
              </w:rPr>
              <w:t>Descriptor</w:t>
            </w:r>
          </w:p>
        </w:tc>
      </w:tr>
      <w:tr w:rsidTr="00DE68E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36B2A" w:rsidP="00B36B2A">
            <w:pPr>
              <w:pStyle w:val="BodyText"/>
            </w:pPr>
            <w:r w:rsidRPr="00B36B2A">
              <w:t xml:space="preserve">This unit covers installation and testing of security alarm system typically used in commercial buildings and premises The unit encompasses working safely, following specifications and security access scenarios, programming security alarm functions, using </w:t>
            </w:r>
            <w:r w:rsidRPr="00B36B2A">
              <w:t>circuit diagrams and schedules, and providing as-programmed document.</w:t>
            </w:r>
          </w:p>
        </w:tc>
      </w:tr>
    </w:tbl>
    <w:p w:rsidR="00DE68EB" w:rsidP="00B36B2A">
      <w:pPr>
        <w:pStyle w:val="BodyText"/>
      </w:pPr>
    </w:p>
    <w:p w:rsidR="00DE68EB" w:rsidP="00B36B2A">
      <w:pPr>
        <w:pStyle w:val="BodyText"/>
      </w:pPr>
    </w:p>
    <w:p w:rsidR="00000000" w:rsidRPr="00B36B2A" w:rsidP="00B36B2A">
      <w:pPr>
        <w:pStyle w:val="Heading1"/>
      </w:pPr>
      <w:bookmarkStart w:id="3" w:name="O_226920"/>
      <w:bookmarkEnd w:id="3"/>
      <w:r w:rsidRPr="00B36B2A">
        <w:t>Application of the Unit</w:t>
      </w:r>
    </w:p>
    <w:tbl>
      <w:tblPr>
        <w:tblW w:w="0" w:type="auto"/>
        <w:tblLayout w:type="fixed"/>
        <w:tblCellMar>
          <w:left w:w="62" w:type="dxa"/>
          <w:right w:w="62" w:type="dxa"/>
        </w:tblCellMar>
        <w:tblLook w:val="0000"/>
      </w:tblPr>
      <w:tblGrid>
        <w:gridCol w:w="2700"/>
        <w:gridCol w:w="5760"/>
      </w:tblGrid>
      <w:tr w:rsidTr="00DE68E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36B2A" w:rsidP="00B36B2A">
            <w:pPr>
              <w:pStyle w:val="BodyText"/>
            </w:pPr>
            <w:r w:rsidRPr="00B36B2A">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B36B2A">
            <w:pPr>
              <w:pStyle w:val="BodyText"/>
              <w:rPr>
                <w:lang w:val="en-NZ"/>
              </w:rPr>
            </w:pPr>
            <w:r w:rsidRPr="00B36B2A">
              <w:rPr>
                <w:rStyle w:val="SpecialBold"/>
              </w:rPr>
              <w:t>4</w:t>
            </w:r>
            <w:r w:rsidRPr="00B36B2A">
              <w:t>)</w:t>
            </w:r>
          </w:p>
        </w:tc>
      </w:tr>
      <w:tr w:rsidTr="00DE68E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36B2A" w:rsidP="00B36B2A">
            <w:pPr>
              <w:pStyle w:val="BodyText"/>
            </w:pPr>
            <w:r w:rsidRPr="00B36B2A">
              <w:t>This unit is intended as an additional competency to relevant competencies previously acquired. It is suitable for employment-based programs under an approved contract of training at the aligned AQF 3 level or higher.</w:t>
            </w:r>
          </w:p>
        </w:tc>
      </w:tr>
    </w:tbl>
    <w:p w:rsidR="00DE68EB" w:rsidP="00B36B2A">
      <w:pPr>
        <w:pStyle w:val="BodyText"/>
      </w:pPr>
    </w:p>
    <w:p w:rsidR="00DE68EB" w:rsidP="00B36B2A">
      <w:pPr>
        <w:pStyle w:val="BodyText"/>
      </w:pPr>
    </w:p>
    <w:p w:rsidR="00000000" w:rsidRPr="00B36B2A" w:rsidP="00B36B2A">
      <w:pPr>
        <w:pStyle w:val="Heading1"/>
      </w:pPr>
      <w:bookmarkStart w:id="4" w:name="O_226916"/>
      <w:bookmarkEnd w:id="4"/>
      <w:r w:rsidRPr="00B36B2A">
        <w:t>Licensing/Regulatory Information</w:t>
      </w:r>
    </w:p>
    <w:tbl>
      <w:tblPr>
        <w:tblW w:w="0" w:type="auto"/>
        <w:tblLayout w:type="fixed"/>
        <w:tblCellMar>
          <w:left w:w="62" w:type="dxa"/>
          <w:right w:w="62" w:type="dxa"/>
        </w:tblCellMar>
        <w:tblLook w:val="0000"/>
      </w:tblPr>
      <w:tblGrid>
        <w:gridCol w:w="8460"/>
      </w:tblGrid>
      <w:tr w:rsidTr="00DE68EB">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36B2A">
            <w:pPr>
              <w:pStyle w:val="BodyText"/>
              <w:rPr>
                <w:lang w:val="en-NZ"/>
              </w:rPr>
            </w:pPr>
            <w:r w:rsidRPr="00B36B2A">
              <w:rPr>
                <w:rStyle w:val="SpecialBold"/>
              </w:rPr>
              <w:t>1</w:t>
            </w:r>
            <w:r w:rsidRPr="00B36B2A">
              <w:t>.</w:t>
            </w:r>
            <w:r w:rsidRPr="00B36B2A">
              <w:rPr>
                <w:rStyle w:val="SpecialBold"/>
              </w:rPr>
              <w:t>2</w:t>
            </w:r>
            <w:r w:rsidRPr="00B36B2A">
              <w:t xml:space="preserve">) </w:t>
            </w:r>
            <w:r w:rsidRPr="00B36B2A">
              <w:rPr>
                <w:rStyle w:val="SpecialBold"/>
              </w:rPr>
              <w:t>License to practice</w:t>
            </w:r>
          </w:p>
        </w:tc>
      </w:tr>
      <w:tr w:rsidTr="00DE68E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36B2A" w:rsidP="00B36B2A">
            <w:pPr>
              <w:pStyle w:val="BodyText"/>
            </w:pPr>
            <w:r w:rsidRPr="00B36B2A">
              <w:t>The skills and knowledge described in this unit require a license to practice in the workplace where plant and equipment operate at voltage above 50 V a.c. or 120 V d.c. However other conditions ma</w:t>
            </w:r>
            <w:r w:rsidRPr="00B36B2A">
              <w:t>y apply in some jurisdictions subject to regulations related to electrical work. Practice in the workplace and during training is also subject to regulations directly related to occupational health and safety and where applicable contracts of training such</w:t>
            </w:r>
            <w:r w:rsidRPr="00B36B2A">
              <w:t xml:space="preserve"> as apprenticeships.</w:t>
            </w:r>
          </w:p>
          <w:p w:rsidR="00000000" w:rsidRPr="00B36B2A" w:rsidP="00B36B2A">
            <w:pPr>
              <w:pStyle w:val="BodyText"/>
            </w:pPr>
            <w:r w:rsidRPr="00B36B2A">
              <w:t>Note:</w:t>
            </w:r>
            <w:r w:rsidRPr="00B36B2A">
              <w:br/>
              <w:t>1. Compliance with permits may be required in various jurisdictions and typically relates to the operation of plant, machinery and equipment such as elevating work platforms, powder operated fixing tools, power operated tools, ve</w:t>
            </w:r>
            <w:r w:rsidRPr="00B36B2A">
              <w:t>hicles, road signage and traffic control, lifting equipment and the like. Permits may also be required for some work environments such as confined spaces, working aloft, near live electrical apparatus and site rehabilitation.</w:t>
            </w:r>
            <w:r w:rsidRPr="00B36B2A">
              <w:br/>
              <w:t xml:space="preserve">2. Compliance may be required </w:t>
            </w:r>
            <w:r w:rsidRPr="00B36B2A">
              <w:t>in various jurisdictions relating to currency in First Aid, confined space, lifting and risk safety measures.</w:t>
            </w:r>
          </w:p>
        </w:tc>
      </w:tr>
    </w:tbl>
    <w:p w:rsidR="00DE68EB" w:rsidP="00B36B2A">
      <w:pPr>
        <w:pStyle w:val="BodyText"/>
      </w:pPr>
    </w:p>
    <w:p w:rsidR="00DE68EB" w:rsidP="00B36B2A">
      <w:pPr>
        <w:pStyle w:val="BodyText"/>
      </w:pPr>
    </w:p>
    <w:p w:rsidR="00000000" w:rsidRPr="00B36B2A" w:rsidP="00B36B2A">
      <w:pPr>
        <w:pStyle w:val="Heading1"/>
      </w:pPr>
      <w:bookmarkStart w:id="5" w:name="O_226917"/>
      <w:bookmarkEnd w:id="5"/>
      <w:r w:rsidRPr="00B36B2A">
        <w:t>Pre-Requisites</w:t>
      </w:r>
    </w:p>
    <w:tbl>
      <w:tblPr>
        <w:tblW w:w="0" w:type="auto"/>
        <w:tblLayout w:type="fixed"/>
        <w:tblCellMar>
          <w:left w:w="62" w:type="dxa"/>
          <w:right w:w="62" w:type="dxa"/>
        </w:tblCellMar>
        <w:tblLook w:val="0000"/>
      </w:tblPr>
      <w:tblGrid>
        <w:gridCol w:w="2700"/>
        <w:gridCol w:w="5760"/>
      </w:tblGrid>
      <w:tr w:rsidTr="00DE68E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36B2A" w:rsidP="00B36B2A">
            <w:pPr>
              <w:pStyle w:val="BodyText"/>
            </w:pPr>
            <w:r w:rsidRPr="00B36B2A">
              <w:rPr>
                <w:rStyle w:val="SpecialBold"/>
              </w:rPr>
              <w:t>Prerequisite Unit</w:t>
            </w:r>
            <w:r w:rsidRPr="00B36B2A">
              <w:t>(</w:t>
            </w:r>
            <w:r w:rsidRPr="00B36B2A">
              <w:rPr>
                <w:rStyle w:val="SpecialBold"/>
              </w:rPr>
              <w:t>s</w:t>
            </w:r>
            <w:r w:rsidRPr="00B36B2A">
              <w:t>)</w:t>
            </w:r>
          </w:p>
        </w:tc>
        <w:tc>
          <w:tcPr>
            <w:tcW w:w="5760" w:type="dxa"/>
            <w:tcBorders>
              <w:top w:val="nil"/>
              <w:left w:val="nil"/>
              <w:bottom w:val="nil"/>
              <w:right w:val="nil"/>
            </w:tcBorders>
            <w:tcMar>
              <w:top w:w="0" w:type="dxa"/>
              <w:left w:w="62" w:type="dxa"/>
              <w:bottom w:w="0" w:type="dxa"/>
              <w:right w:w="62" w:type="dxa"/>
            </w:tcMar>
          </w:tcPr>
          <w:p w:rsidR="00000000" w:rsidP="00B36B2A">
            <w:pPr>
              <w:pStyle w:val="BodyText"/>
              <w:rPr>
                <w:lang w:val="en-NZ"/>
              </w:rPr>
            </w:pPr>
            <w:r w:rsidRPr="00B36B2A">
              <w:rPr>
                <w:rStyle w:val="SpecialBold"/>
              </w:rPr>
              <w:t>2</w:t>
            </w:r>
            <w:r w:rsidRPr="00B36B2A">
              <w:t>)</w:t>
            </w:r>
          </w:p>
        </w:tc>
      </w:tr>
      <w:tr w:rsidTr="00DE68E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36B2A">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B36B2A">
            <w:pPr>
              <w:pStyle w:val="BodyText"/>
              <w:rPr>
                <w:lang w:val="en-NZ"/>
              </w:rPr>
            </w:pPr>
            <w:r w:rsidRPr="00B36B2A">
              <w:rPr>
                <w:rStyle w:val="SpecialBold"/>
              </w:rPr>
              <w:t>2</w:t>
            </w:r>
            <w:r w:rsidRPr="00B36B2A">
              <w:t>.</w:t>
            </w:r>
            <w:r w:rsidRPr="00B36B2A">
              <w:rPr>
                <w:rStyle w:val="SpecialBold"/>
              </w:rPr>
              <w:t>1</w:t>
            </w:r>
            <w:r w:rsidRPr="00B36B2A">
              <w:t xml:space="preserve">) </w:t>
            </w:r>
            <w:r w:rsidRPr="00B36B2A">
              <w:rPr>
                <w:rStyle w:val="SpecialBold"/>
              </w:rPr>
              <w:t>Competencies</w:t>
            </w:r>
          </w:p>
        </w:tc>
      </w:tr>
      <w:tr w:rsidTr="00DE68E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36B2A" w:rsidP="00B36B2A">
            <w:pPr>
              <w:pStyle w:val="BodyText"/>
            </w:pPr>
            <w:r w:rsidRPr="00B36B2A">
              <w:t>Granting competency in this unit shall be made only after competency in the following unit(s) has/have been confirmed.</w:t>
            </w:r>
          </w:p>
          <w:p w:rsidR="00000000" w:rsidRPr="00B36B2A" w:rsidP="00B36B2A">
            <w:pPr>
              <w:pStyle w:val="BodyText"/>
            </w:pPr>
            <w:r w:rsidRPr="00B36B2A">
              <w:t>UEENEEH052B Enter instructions and test basic wired and wireless security systems</w:t>
            </w:r>
          </w:p>
          <w:p w:rsidR="00000000" w:rsidRPr="00B36B2A" w:rsidP="00B36B2A">
            <w:pPr>
              <w:pStyle w:val="BodyText"/>
            </w:pPr>
            <w:r w:rsidRPr="00B36B2A">
              <w:t>For the full prerequisite chain details for this unit p</w:t>
            </w:r>
            <w:r w:rsidRPr="00B36B2A">
              <w:t>lease refer to Table 2 in Volume 1, Part 2</w:t>
            </w:r>
          </w:p>
        </w:tc>
      </w:tr>
    </w:tbl>
    <w:p w:rsidR="00DE68EB" w:rsidP="00B36B2A">
      <w:pPr>
        <w:pStyle w:val="BodyText"/>
      </w:pPr>
    </w:p>
    <w:p w:rsidR="00DE68EB" w:rsidP="00B36B2A">
      <w:pPr>
        <w:pStyle w:val="BodyText"/>
      </w:pPr>
    </w:p>
    <w:p w:rsidR="00000000" w:rsidRPr="00B36B2A" w:rsidP="00B36B2A">
      <w:pPr>
        <w:pStyle w:val="Heading1"/>
      </w:pPr>
      <w:bookmarkStart w:id="6" w:name="O_226919"/>
      <w:bookmarkEnd w:id="6"/>
      <w:r w:rsidRPr="00B36B2A">
        <w:t>Employability Skills Information</w:t>
      </w:r>
    </w:p>
    <w:tbl>
      <w:tblPr>
        <w:tblW w:w="0" w:type="auto"/>
        <w:tblLayout w:type="fixed"/>
        <w:tblCellMar>
          <w:left w:w="62" w:type="dxa"/>
          <w:right w:w="62" w:type="dxa"/>
        </w:tblCellMar>
        <w:tblLook w:val="0000"/>
      </w:tblPr>
      <w:tblGrid>
        <w:gridCol w:w="2700"/>
        <w:gridCol w:w="5760"/>
      </w:tblGrid>
      <w:tr w:rsidTr="00DE68E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36B2A" w:rsidP="00B36B2A">
            <w:pPr>
              <w:pStyle w:val="BodyText"/>
            </w:pPr>
            <w:r w:rsidRPr="00B36B2A">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B36B2A" w:rsidP="00B36B2A">
            <w:pPr>
              <w:pStyle w:val="BodyText"/>
            </w:pPr>
            <w:r w:rsidRPr="00B36B2A">
              <w:rPr>
                <w:rStyle w:val="SpecialBold"/>
              </w:rPr>
              <w:t>3</w:t>
            </w:r>
            <w:r w:rsidRPr="00B36B2A">
              <w:t>)</w:t>
            </w:r>
          </w:p>
          <w:p w:rsidR="00000000" w:rsidRPr="00B36B2A" w:rsidP="00B36B2A">
            <w:pPr>
              <w:pStyle w:val="BodyText"/>
            </w:pPr>
            <w:r w:rsidRPr="00B36B2A">
              <w:t>This unit contains Employability Skills</w:t>
            </w:r>
          </w:p>
          <w:p w:rsidR="00000000" w:rsidRPr="00B36B2A" w:rsidP="00B36B2A">
            <w:pPr>
              <w:pStyle w:val="BodyText"/>
            </w:pPr>
            <w:r w:rsidRPr="00B36B2A">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B36B2A">
              <w:t>requirements.</w:t>
            </w:r>
          </w:p>
        </w:tc>
      </w:tr>
    </w:tbl>
    <w:p w:rsidR="00DE68EB" w:rsidP="00B36B2A">
      <w:pPr>
        <w:pStyle w:val="BodyText"/>
      </w:pPr>
    </w:p>
    <w:p w:rsidR="00DE68EB" w:rsidP="00B36B2A">
      <w:pPr>
        <w:pStyle w:val="BodyText"/>
      </w:pPr>
    </w:p>
    <w:p w:rsidR="00000000" w:rsidRPr="00B36B2A" w:rsidP="00B36B2A">
      <w:pPr>
        <w:pStyle w:val="Heading1"/>
      </w:pPr>
      <w:bookmarkStart w:id="7" w:name="O_292783"/>
      <w:bookmarkEnd w:id="7"/>
      <w:r w:rsidRPr="00B36B2A">
        <w:t>Elements and Performance Criteria Pre-Content</w:t>
      </w:r>
    </w:p>
    <w:tbl>
      <w:tblPr>
        <w:tblW w:w="0" w:type="auto"/>
        <w:tblLayout w:type="fixed"/>
        <w:tblCellMar>
          <w:left w:w="62" w:type="dxa"/>
          <w:right w:w="62" w:type="dxa"/>
        </w:tblCellMar>
        <w:tblLook w:val="0000"/>
      </w:tblPr>
      <w:tblGrid>
        <w:gridCol w:w="2700"/>
        <w:gridCol w:w="5760"/>
      </w:tblGrid>
      <w:tr w:rsidTr="00DE68E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36B2A">
            <w:pPr>
              <w:pStyle w:val="BodyText"/>
              <w:rPr>
                <w:lang w:val="en-NZ"/>
              </w:rPr>
            </w:pPr>
            <w:r w:rsidRPr="00B36B2A">
              <w:rPr>
                <w:rStyle w:val="SpecialBold"/>
              </w:rPr>
              <w:t>6</w:t>
            </w:r>
            <w:r w:rsidRPr="00B36B2A">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B36B2A" w:rsidP="00B36B2A">
            <w:pPr>
              <w:pStyle w:val="BodyText"/>
            </w:pPr>
            <w:r w:rsidRPr="00B36B2A">
              <w:t>Performance criteria describe the required performance needed to demonstrate achievement of the Element. Ass</w:t>
            </w:r>
            <w:r w:rsidRPr="00B36B2A">
              <w:t>essment of performance is to be consistent with the evidence guide.</w:t>
            </w:r>
          </w:p>
        </w:tc>
      </w:tr>
    </w:tbl>
    <w:p w:rsidR="00000000" w:rsidRPr="00B36B2A" w:rsidP="00B36B2A">
      <w:pPr>
        <w:pStyle w:val="BodyText"/>
      </w:pPr>
    </w:p>
    <w:p w:rsidR="00000000" w:rsidRPr="00B36B2A" w:rsidP="00B36B2A">
      <w:pPr>
        <w:pStyle w:val="AllowPageBreak"/>
      </w:pPr>
    </w:p>
    <w:p w:rsidR="00000000" w:rsidRPr="00B36B2A" w:rsidP="00B36B2A">
      <w:pPr>
        <w:pStyle w:val="Heading1"/>
      </w:pPr>
      <w:bookmarkStart w:id="8" w:name="O_239451"/>
      <w:bookmarkEnd w:id="8"/>
      <w:r w:rsidRPr="00B36B2A">
        <w:t>Elements and Performance Criteria</w:t>
      </w:r>
    </w:p>
    <w:tbl>
      <w:tblPr>
        <w:tblW w:w="0" w:type="auto"/>
        <w:tblLayout w:type="fixed"/>
        <w:tblCellMar>
          <w:left w:w="62" w:type="dxa"/>
          <w:right w:w="62" w:type="dxa"/>
        </w:tblCellMar>
        <w:tblLook w:val="0000"/>
      </w:tblPr>
      <w:tblGrid>
        <w:gridCol w:w="360"/>
        <w:gridCol w:w="2340"/>
        <w:gridCol w:w="900"/>
        <w:gridCol w:w="4860"/>
      </w:tblGrid>
      <w:tr w:rsidTr="00DE68EB">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B36B2A" w:rsidP="00B36B2A">
            <w:pPr>
              <w:pStyle w:val="BodyText"/>
            </w:pPr>
            <w:r w:rsidRPr="00B36B2A">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B36B2A">
            <w:pPr>
              <w:pStyle w:val="BodyText"/>
              <w:rPr>
                <w:lang w:val="en-NZ"/>
              </w:rPr>
            </w:pPr>
            <w:r w:rsidRPr="00B36B2A">
              <w:rPr>
                <w:rStyle w:val="SpecialBold"/>
              </w:rPr>
              <w:t>PERFORMANCE CRITERIA</w:t>
            </w:r>
          </w:p>
        </w:tc>
      </w:tr>
      <w:tr w:rsidTr="00DE68EB">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B36B2A">
            <w:pPr>
              <w:pStyle w:val="BodyText"/>
              <w:rPr>
                <w:lang w:val="en-NZ"/>
              </w:rPr>
            </w:pPr>
            <w:r w:rsidRPr="00B36B2A">
              <w:t>1</w:t>
            </w:r>
          </w:p>
        </w:tc>
        <w:tc>
          <w:tcPr>
            <w:tcW w:w="2340" w:type="dxa"/>
            <w:vMerge w:val="restart"/>
            <w:tcBorders>
              <w:top w:val="nil"/>
              <w:left w:val="nil"/>
              <w:bottom w:val="nil"/>
              <w:right w:val="nil"/>
            </w:tcBorders>
            <w:tcMar>
              <w:top w:w="0" w:type="dxa"/>
              <w:left w:w="62" w:type="dxa"/>
              <w:bottom w:w="0" w:type="dxa"/>
              <w:right w:w="62" w:type="dxa"/>
            </w:tcMar>
          </w:tcPr>
          <w:p w:rsidR="00000000" w:rsidP="00B36B2A">
            <w:pPr>
              <w:pStyle w:val="BodyText"/>
              <w:rPr>
                <w:lang w:val="en-NZ"/>
              </w:rPr>
            </w:pPr>
            <w:r w:rsidRPr="00B36B2A">
              <w:t>Prepare to program and commission.</w:t>
            </w:r>
          </w:p>
        </w:tc>
        <w:tc>
          <w:tcPr>
            <w:tcW w:w="900" w:type="dxa"/>
            <w:tcBorders>
              <w:top w:val="nil"/>
              <w:left w:val="nil"/>
              <w:bottom w:val="nil"/>
              <w:right w:val="nil"/>
            </w:tcBorders>
            <w:tcMar>
              <w:top w:w="0" w:type="dxa"/>
              <w:left w:w="62" w:type="dxa"/>
              <w:bottom w:w="0" w:type="dxa"/>
              <w:right w:w="62" w:type="dxa"/>
            </w:tcMar>
          </w:tcPr>
          <w:p w:rsidR="00000000" w:rsidP="00B36B2A">
            <w:pPr>
              <w:pStyle w:val="BodyText"/>
              <w:rPr>
                <w:lang w:val="en-NZ"/>
              </w:rPr>
            </w:pPr>
            <w:r w:rsidRPr="00B36B2A">
              <w:t>1.1</w:t>
            </w:r>
          </w:p>
        </w:tc>
        <w:tc>
          <w:tcPr>
            <w:tcW w:w="4860" w:type="dxa"/>
            <w:tcBorders>
              <w:top w:val="nil"/>
              <w:left w:val="nil"/>
              <w:bottom w:val="nil"/>
              <w:right w:val="nil"/>
            </w:tcBorders>
            <w:tcMar>
              <w:top w:w="0" w:type="dxa"/>
              <w:left w:w="62" w:type="dxa"/>
              <w:bottom w:w="0" w:type="dxa"/>
              <w:right w:w="62" w:type="dxa"/>
            </w:tcMar>
          </w:tcPr>
          <w:p w:rsidR="00000000" w:rsidP="00B36B2A">
            <w:pPr>
              <w:pStyle w:val="BodyText"/>
              <w:rPr>
                <w:lang w:val="en-NZ"/>
              </w:rPr>
            </w:pPr>
            <w:r w:rsidRPr="00B36B2A">
              <w:t>OHS procedures for a gi</w:t>
            </w:r>
            <w:r w:rsidRPr="00B36B2A">
              <w:t xml:space="preserve">ven work area are identified, obtained and understood.  </w:t>
            </w:r>
          </w:p>
        </w:tc>
      </w:tr>
      <w:tr w:rsidTr="00DE68EB">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36B2A">
            <w:pPr>
              <w:pStyle w:val="BodyText"/>
              <w:rPr>
                <w:lang w:val="en-NZ"/>
              </w:rPr>
            </w:pPr>
            <w:r w:rsidRPr="00B36B2A">
              <w:t>1.2</w:t>
            </w:r>
          </w:p>
        </w:tc>
        <w:tc>
          <w:tcPr>
            <w:tcW w:w="4860" w:type="dxa"/>
            <w:tcBorders>
              <w:top w:val="nil"/>
              <w:left w:val="nil"/>
              <w:bottom w:val="nil"/>
              <w:right w:val="nil"/>
            </w:tcBorders>
            <w:tcMar>
              <w:top w:w="0" w:type="dxa"/>
              <w:left w:w="62" w:type="dxa"/>
              <w:bottom w:w="0" w:type="dxa"/>
              <w:right w:w="62" w:type="dxa"/>
            </w:tcMar>
          </w:tcPr>
          <w:p w:rsidR="00000000" w:rsidP="00B36B2A">
            <w:pPr>
              <w:pStyle w:val="BodyText"/>
              <w:rPr>
                <w:lang w:val="en-NZ"/>
              </w:rPr>
            </w:pPr>
            <w:r w:rsidRPr="00B36B2A">
              <w:t>Established OHS risk control measures and procedures are followed in preparation for the work.</w:t>
            </w:r>
          </w:p>
        </w:tc>
      </w:tr>
      <w:tr w:rsidTr="00DE68EB">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36B2A">
            <w:pPr>
              <w:pStyle w:val="BodyText"/>
              <w:rPr>
                <w:lang w:val="en-NZ"/>
              </w:rPr>
            </w:pPr>
            <w:r w:rsidRPr="00B36B2A">
              <w:t>1.3</w:t>
            </w:r>
          </w:p>
        </w:tc>
        <w:tc>
          <w:tcPr>
            <w:tcW w:w="4860" w:type="dxa"/>
            <w:tcBorders>
              <w:top w:val="nil"/>
              <w:left w:val="nil"/>
              <w:bottom w:val="nil"/>
              <w:right w:val="nil"/>
            </w:tcBorders>
            <w:tcMar>
              <w:top w:w="0" w:type="dxa"/>
              <w:left w:w="62" w:type="dxa"/>
              <w:bottom w:w="0" w:type="dxa"/>
              <w:right w:w="62" w:type="dxa"/>
            </w:tcMar>
          </w:tcPr>
          <w:p w:rsidR="00000000" w:rsidP="00B36B2A">
            <w:pPr>
              <w:pStyle w:val="BodyText"/>
              <w:rPr>
                <w:lang w:val="en-NZ"/>
              </w:rPr>
            </w:pPr>
            <w:r w:rsidRPr="00B36B2A">
              <w:t>Safety hazards, which have not previously been identified, are documented and risk control measures devised and implemented in consultation with appropriate personnel.</w:t>
            </w:r>
          </w:p>
        </w:tc>
      </w:tr>
      <w:tr w:rsidTr="00DE68EB">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36B2A">
            <w:pPr>
              <w:pStyle w:val="BodyText"/>
              <w:rPr>
                <w:lang w:val="en-NZ"/>
              </w:rPr>
            </w:pPr>
            <w:r w:rsidRPr="00B36B2A">
              <w:t>1.4</w:t>
            </w:r>
          </w:p>
        </w:tc>
        <w:tc>
          <w:tcPr>
            <w:tcW w:w="4860" w:type="dxa"/>
            <w:tcBorders>
              <w:top w:val="nil"/>
              <w:left w:val="nil"/>
              <w:bottom w:val="nil"/>
              <w:right w:val="nil"/>
            </w:tcBorders>
            <w:tcMar>
              <w:top w:w="0" w:type="dxa"/>
              <w:left w:w="62" w:type="dxa"/>
              <w:bottom w:w="0" w:type="dxa"/>
              <w:right w:w="62" w:type="dxa"/>
            </w:tcMar>
          </w:tcPr>
          <w:p w:rsidR="00000000" w:rsidP="00B36B2A">
            <w:pPr>
              <w:pStyle w:val="BodyText"/>
              <w:rPr>
                <w:lang w:val="en-NZ"/>
              </w:rPr>
            </w:pPr>
            <w:r w:rsidRPr="00B36B2A">
              <w:t xml:space="preserve">The extent of programming and commissioning is determined from reports and other </w:t>
            </w:r>
            <w:r w:rsidRPr="00B36B2A">
              <w:t>documentation and fro discussion with appropriate personnel.</w:t>
            </w:r>
          </w:p>
        </w:tc>
      </w:tr>
      <w:tr w:rsidTr="00DE68EB">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36B2A">
            <w:pPr>
              <w:pStyle w:val="BodyText"/>
              <w:rPr>
                <w:lang w:val="en-NZ"/>
              </w:rPr>
            </w:pPr>
            <w:r w:rsidRPr="00B36B2A">
              <w:t>1.5</w:t>
            </w:r>
          </w:p>
        </w:tc>
        <w:tc>
          <w:tcPr>
            <w:tcW w:w="4860" w:type="dxa"/>
            <w:tcBorders>
              <w:top w:val="nil"/>
              <w:left w:val="nil"/>
              <w:bottom w:val="nil"/>
              <w:right w:val="nil"/>
            </w:tcBorders>
            <w:tcMar>
              <w:top w:w="0" w:type="dxa"/>
              <w:left w:w="62" w:type="dxa"/>
              <w:bottom w:w="0" w:type="dxa"/>
              <w:right w:w="62" w:type="dxa"/>
            </w:tcMar>
          </w:tcPr>
          <w:p w:rsidR="00000000" w:rsidP="00B36B2A">
            <w:pPr>
              <w:pStyle w:val="BodyText"/>
              <w:rPr>
                <w:lang w:val="en-NZ"/>
              </w:rPr>
            </w:pPr>
            <w:r w:rsidRPr="00B36B2A">
              <w:t>Appropriate personnel are consulted to ensure the work is co-ordinated effectively with others involved on the work site.</w:t>
            </w:r>
          </w:p>
        </w:tc>
      </w:tr>
      <w:tr w:rsidTr="00DE68EB">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36B2A">
            <w:pPr>
              <w:pStyle w:val="BodyText"/>
              <w:rPr>
                <w:lang w:val="en-NZ"/>
              </w:rPr>
            </w:pPr>
            <w:r w:rsidRPr="00B36B2A">
              <w:t>1.6</w:t>
            </w:r>
          </w:p>
        </w:tc>
        <w:tc>
          <w:tcPr>
            <w:tcW w:w="4860" w:type="dxa"/>
            <w:tcBorders>
              <w:top w:val="nil"/>
              <w:left w:val="nil"/>
              <w:bottom w:val="nil"/>
              <w:right w:val="nil"/>
            </w:tcBorders>
            <w:tcMar>
              <w:top w:w="0" w:type="dxa"/>
              <w:left w:w="62" w:type="dxa"/>
              <w:bottom w:w="0" w:type="dxa"/>
              <w:right w:w="62" w:type="dxa"/>
            </w:tcMar>
          </w:tcPr>
          <w:p w:rsidR="00000000" w:rsidP="00B36B2A">
            <w:pPr>
              <w:pStyle w:val="BodyText"/>
              <w:rPr>
                <w:lang w:val="en-NZ"/>
              </w:rPr>
            </w:pPr>
            <w:r w:rsidRPr="00B36B2A">
              <w:t>Tools, equipment and testing devices needed to program and commission are obtained in accordance with established procedures and checked for correct operation and safety.</w:t>
            </w:r>
          </w:p>
        </w:tc>
      </w:tr>
      <w:tr w:rsidTr="00DE68EB">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B36B2A">
            <w:pPr>
              <w:pStyle w:val="BodyText"/>
              <w:rPr>
                <w:lang w:val="en-NZ"/>
              </w:rPr>
            </w:pPr>
            <w:r w:rsidRPr="00B36B2A">
              <w:t>2</w:t>
            </w:r>
          </w:p>
        </w:tc>
        <w:tc>
          <w:tcPr>
            <w:tcW w:w="2340" w:type="dxa"/>
            <w:vMerge w:val="restart"/>
            <w:tcBorders>
              <w:top w:val="nil"/>
              <w:left w:val="nil"/>
              <w:bottom w:val="nil"/>
              <w:right w:val="nil"/>
            </w:tcBorders>
            <w:tcMar>
              <w:top w:w="0" w:type="dxa"/>
              <w:left w:w="62" w:type="dxa"/>
              <w:bottom w:w="0" w:type="dxa"/>
              <w:right w:w="62" w:type="dxa"/>
            </w:tcMar>
          </w:tcPr>
          <w:p w:rsidR="00000000" w:rsidP="00B36B2A">
            <w:pPr>
              <w:pStyle w:val="BodyText"/>
              <w:rPr>
                <w:lang w:val="en-NZ"/>
              </w:rPr>
            </w:pPr>
            <w:r w:rsidRPr="00B36B2A">
              <w:t>Program and commission.</w:t>
            </w:r>
          </w:p>
        </w:tc>
        <w:tc>
          <w:tcPr>
            <w:tcW w:w="900" w:type="dxa"/>
            <w:tcBorders>
              <w:top w:val="nil"/>
              <w:left w:val="nil"/>
              <w:bottom w:val="nil"/>
              <w:right w:val="nil"/>
            </w:tcBorders>
            <w:tcMar>
              <w:top w:w="0" w:type="dxa"/>
              <w:left w:w="62" w:type="dxa"/>
              <w:bottom w:w="0" w:type="dxa"/>
              <w:right w:w="62" w:type="dxa"/>
            </w:tcMar>
          </w:tcPr>
          <w:p w:rsidR="00000000" w:rsidP="00B36B2A">
            <w:pPr>
              <w:pStyle w:val="BodyText"/>
              <w:rPr>
                <w:lang w:val="en-NZ"/>
              </w:rPr>
            </w:pPr>
            <w:r w:rsidRPr="00B36B2A">
              <w:t>2.1</w:t>
            </w:r>
          </w:p>
        </w:tc>
        <w:tc>
          <w:tcPr>
            <w:tcW w:w="4860" w:type="dxa"/>
            <w:tcBorders>
              <w:top w:val="nil"/>
              <w:left w:val="nil"/>
              <w:bottom w:val="nil"/>
              <w:right w:val="nil"/>
            </w:tcBorders>
            <w:tcMar>
              <w:top w:w="0" w:type="dxa"/>
              <w:left w:w="62" w:type="dxa"/>
              <w:bottom w:w="0" w:type="dxa"/>
              <w:right w:w="62" w:type="dxa"/>
            </w:tcMar>
          </w:tcPr>
          <w:p w:rsidR="00000000" w:rsidP="00B36B2A">
            <w:pPr>
              <w:pStyle w:val="BodyText"/>
              <w:rPr>
                <w:lang w:val="en-NZ"/>
              </w:rPr>
            </w:pPr>
            <w:r w:rsidRPr="00B36B2A">
              <w:t xml:space="preserve">OHS risk control measures and procedures for carrying </w:t>
            </w:r>
            <w:r w:rsidRPr="00B36B2A">
              <w:t>out the work are followed.</w:t>
            </w:r>
          </w:p>
        </w:tc>
      </w:tr>
      <w:tr w:rsidTr="00DE68EB">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36B2A">
            <w:pPr>
              <w:pStyle w:val="BodyText"/>
              <w:rPr>
                <w:lang w:val="en-NZ"/>
              </w:rPr>
            </w:pPr>
            <w:r w:rsidRPr="00B36B2A">
              <w:t>2.2</w:t>
            </w:r>
          </w:p>
        </w:tc>
        <w:tc>
          <w:tcPr>
            <w:tcW w:w="4860" w:type="dxa"/>
            <w:tcBorders>
              <w:top w:val="nil"/>
              <w:left w:val="nil"/>
              <w:bottom w:val="nil"/>
              <w:right w:val="nil"/>
            </w:tcBorders>
            <w:tcMar>
              <w:top w:w="0" w:type="dxa"/>
              <w:left w:w="62" w:type="dxa"/>
              <w:bottom w:w="0" w:type="dxa"/>
              <w:right w:w="62" w:type="dxa"/>
            </w:tcMar>
          </w:tcPr>
          <w:p w:rsidR="00000000" w:rsidP="00B36B2A">
            <w:pPr>
              <w:pStyle w:val="BodyText"/>
              <w:rPr>
                <w:lang w:val="en-NZ"/>
              </w:rPr>
            </w:pPr>
            <w:r w:rsidRPr="00B36B2A">
              <w:t>The need to test or measure live is determined in strict accordance with OHS requirements and when necessary conducted within established safety procedures.</w:t>
            </w:r>
          </w:p>
        </w:tc>
      </w:tr>
      <w:tr w:rsidTr="00DE68EB">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36B2A">
            <w:pPr>
              <w:pStyle w:val="BodyText"/>
              <w:rPr>
                <w:lang w:val="en-NZ"/>
              </w:rPr>
            </w:pPr>
            <w:r w:rsidRPr="00B36B2A">
              <w:t>2.3</w:t>
            </w:r>
          </w:p>
        </w:tc>
        <w:tc>
          <w:tcPr>
            <w:tcW w:w="4860" w:type="dxa"/>
            <w:tcBorders>
              <w:top w:val="nil"/>
              <w:left w:val="nil"/>
              <w:bottom w:val="nil"/>
              <w:right w:val="nil"/>
            </w:tcBorders>
            <w:tcMar>
              <w:top w:w="0" w:type="dxa"/>
              <w:left w:w="62" w:type="dxa"/>
              <w:bottom w:w="0" w:type="dxa"/>
              <w:right w:w="62" w:type="dxa"/>
            </w:tcMar>
          </w:tcPr>
          <w:p w:rsidR="00000000" w:rsidP="00B36B2A">
            <w:pPr>
              <w:pStyle w:val="BodyText"/>
              <w:rPr>
                <w:lang w:val="en-NZ"/>
              </w:rPr>
            </w:pPr>
            <w:r w:rsidRPr="00B36B2A">
              <w:t>Circuits/machines/plant are checked as being isolated where necessary in strict accordance OHS requirements and procedures.</w:t>
            </w:r>
          </w:p>
        </w:tc>
      </w:tr>
      <w:tr w:rsidTr="00DE68EB">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36B2A">
            <w:pPr>
              <w:pStyle w:val="BodyText"/>
              <w:rPr>
                <w:lang w:val="en-NZ"/>
              </w:rPr>
            </w:pPr>
            <w:r w:rsidRPr="00B36B2A">
              <w:t>2.4</w:t>
            </w:r>
          </w:p>
        </w:tc>
        <w:tc>
          <w:tcPr>
            <w:tcW w:w="4860" w:type="dxa"/>
            <w:tcBorders>
              <w:top w:val="nil"/>
              <w:left w:val="nil"/>
              <w:bottom w:val="nil"/>
              <w:right w:val="nil"/>
            </w:tcBorders>
            <w:tcMar>
              <w:top w:w="0" w:type="dxa"/>
              <w:left w:w="62" w:type="dxa"/>
              <w:bottom w:w="0" w:type="dxa"/>
              <w:right w:w="62" w:type="dxa"/>
            </w:tcMar>
          </w:tcPr>
          <w:p w:rsidR="00000000" w:rsidP="00B36B2A">
            <w:pPr>
              <w:pStyle w:val="BodyText"/>
              <w:rPr>
                <w:lang w:val="en-NZ"/>
              </w:rPr>
            </w:pPr>
            <w:r w:rsidRPr="00B36B2A">
              <w:t>Security alarm functions and instructions are entered into the system in accordance with design specifications.</w:t>
            </w:r>
          </w:p>
        </w:tc>
      </w:tr>
      <w:tr w:rsidTr="00DE68EB">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36B2A">
            <w:pPr>
              <w:pStyle w:val="BodyText"/>
              <w:rPr>
                <w:lang w:val="en-NZ"/>
              </w:rPr>
            </w:pPr>
            <w:r w:rsidRPr="00B36B2A">
              <w:t>2.5</w:t>
            </w:r>
          </w:p>
        </w:tc>
        <w:tc>
          <w:tcPr>
            <w:tcW w:w="4860" w:type="dxa"/>
            <w:tcBorders>
              <w:top w:val="nil"/>
              <w:left w:val="nil"/>
              <w:bottom w:val="nil"/>
              <w:right w:val="nil"/>
            </w:tcBorders>
            <w:tcMar>
              <w:top w:w="0" w:type="dxa"/>
              <w:left w:w="62" w:type="dxa"/>
              <w:bottom w:w="0" w:type="dxa"/>
              <w:right w:w="62" w:type="dxa"/>
            </w:tcMar>
          </w:tcPr>
          <w:p w:rsidR="00000000" w:rsidP="00B36B2A">
            <w:pPr>
              <w:pStyle w:val="BodyText"/>
              <w:rPr>
                <w:lang w:val="en-NZ"/>
              </w:rPr>
            </w:pPr>
            <w:r w:rsidRPr="00B36B2A">
              <w:t>Securi</w:t>
            </w:r>
            <w:r w:rsidRPr="00B36B2A">
              <w:t>ty alarm devices are checked for correct location and alignment.</w:t>
            </w:r>
          </w:p>
        </w:tc>
      </w:tr>
      <w:tr w:rsidTr="00DE68EB">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36B2A">
            <w:pPr>
              <w:pStyle w:val="BodyText"/>
              <w:rPr>
                <w:lang w:val="en-NZ"/>
              </w:rPr>
            </w:pPr>
            <w:r w:rsidRPr="00B36B2A">
              <w:t>2.6</w:t>
            </w:r>
          </w:p>
        </w:tc>
        <w:tc>
          <w:tcPr>
            <w:tcW w:w="4860" w:type="dxa"/>
            <w:tcBorders>
              <w:top w:val="nil"/>
              <w:left w:val="nil"/>
              <w:bottom w:val="nil"/>
              <w:right w:val="nil"/>
            </w:tcBorders>
            <w:tcMar>
              <w:top w:w="0" w:type="dxa"/>
              <w:left w:w="62" w:type="dxa"/>
              <w:bottom w:w="0" w:type="dxa"/>
              <w:right w:w="62" w:type="dxa"/>
            </w:tcMar>
          </w:tcPr>
          <w:p w:rsidR="00000000" w:rsidP="00B36B2A">
            <w:pPr>
              <w:pStyle w:val="BodyText"/>
              <w:rPr>
                <w:lang w:val="en-NZ"/>
              </w:rPr>
            </w:pPr>
            <w:r w:rsidRPr="00B36B2A">
              <w:t>Security alarms are tested in accordance with commissioning requirements.</w:t>
            </w:r>
          </w:p>
        </w:tc>
      </w:tr>
      <w:tr w:rsidTr="00DE68EB">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36B2A">
            <w:pPr>
              <w:pStyle w:val="BodyText"/>
              <w:rPr>
                <w:lang w:val="en-NZ"/>
              </w:rPr>
            </w:pPr>
            <w:r w:rsidRPr="00B36B2A">
              <w:t>2.7</w:t>
            </w:r>
          </w:p>
        </w:tc>
        <w:tc>
          <w:tcPr>
            <w:tcW w:w="4860" w:type="dxa"/>
            <w:tcBorders>
              <w:top w:val="nil"/>
              <w:left w:val="nil"/>
              <w:bottom w:val="nil"/>
              <w:right w:val="nil"/>
            </w:tcBorders>
            <w:tcMar>
              <w:top w:w="0" w:type="dxa"/>
              <w:left w:w="62" w:type="dxa"/>
              <w:bottom w:w="0" w:type="dxa"/>
              <w:right w:w="62" w:type="dxa"/>
            </w:tcMar>
          </w:tcPr>
          <w:p w:rsidR="00000000" w:rsidP="00B36B2A">
            <w:pPr>
              <w:pStyle w:val="BodyText"/>
              <w:rPr>
                <w:lang w:val="en-NZ"/>
              </w:rPr>
            </w:pPr>
            <w:r w:rsidRPr="00B36B2A">
              <w:t>Sources of alarm anomalies are identified and corrected.</w:t>
            </w:r>
          </w:p>
        </w:tc>
      </w:tr>
      <w:tr w:rsidTr="00DE68EB">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36B2A">
            <w:pPr>
              <w:pStyle w:val="BodyText"/>
              <w:rPr>
                <w:lang w:val="en-NZ"/>
              </w:rPr>
            </w:pPr>
            <w:r w:rsidRPr="00B36B2A">
              <w:t>2.8</w:t>
            </w:r>
          </w:p>
        </w:tc>
        <w:tc>
          <w:tcPr>
            <w:tcW w:w="4860" w:type="dxa"/>
            <w:tcBorders>
              <w:top w:val="nil"/>
              <w:left w:val="nil"/>
              <w:bottom w:val="nil"/>
              <w:right w:val="nil"/>
            </w:tcBorders>
            <w:tcMar>
              <w:top w:w="0" w:type="dxa"/>
              <w:left w:w="62" w:type="dxa"/>
              <w:bottom w:w="0" w:type="dxa"/>
              <w:right w:w="62" w:type="dxa"/>
            </w:tcMar>
          </w:tcPr>
          <w:p w:rsidR="00000000" w:rsidP="00B36B2A">
            <w:pPr>
              <w:pStyle w:val="BodyText"/>
              <w:rPr>
                <w:lang w:val="en-NZ"/>
              </w:rPr>
            </w:pPr>
            <w:r w:rsidRPr="00B36B2A">
              <w:t>Decisions for dealing with unexp</w:t>
            </w:r>
            <w:r w:rsidRPr="00B36B2A">
              <w:t>ected situations are made from discussions with appropriate persons and job specifications and requirements.</w:t>
            </w:r>
          </w:p>
        </w:tc>
      </w:tr>
      <w:tr w:rsidTr="00DE68EB">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36B2A">
            <w:pPr>
              <w:pStyle w:val="BodyText"/>
              <w:rPr>
                <w:lang w:val="en-NZ"/>
              </w:rPr>
            </w:pPr>
            <w:r w:rsidRPr="00B36B2A">
              <w:t>2.9</w:t>
            </w:r>
          </w:p>
        </w:tc>
        <w:tc>
          <w:tcPr>
            <w:tcW w:w="4860" w:type="dxa"/>
            <w:tcBorders>
              <w:top w:val="nil"/>
              <w:left w:val="nil"/>
              <w:bottom w:val="nil"/>
              <w:right w:val="nil"/>
            </w:tcBorders>
            <w:tcMar>
              <w:top w:w="0" w:type="dxa"/>
              <w:left w:w="62" w:type="dxa"/>
              <w:bottom w:w="0" w:type="dxa"/>
              <w:right w:w="62" w:type="dxa"/>
            </w:tcMar>
          </w:tcPr>
          <w:p w:rsidR="00000000" w:rsidP="00B36B2A">
            <w:pPr>
              <w:pStyle w:val="BodyText"/>
              <w:rPr>
                <w:lang w:val="en-NZ"/>
              </w:rPr>
            </w:pPr>
            <w:r w:rsidRPr="00B36B2A">
              <w:t>Methods for dealing with unexpected situations are selected on the basis of safety and specified work outcomes.</w:t>
            </w:r>
          </w:p>
        </w:tc>
      </w:tr>
      <w:tr w:rsidTr="00DE68EB">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36B2A">
            <w:pPr>
              <w:pStyle w:val="BodyText"/>
              <w:rPr>
                <w:lang w:val="en-NZ"/>
              </w:rPr>
            </w:pPr>
            <w:r w:rsidRPr="00B36B2A">
              <w:t>2.10</w:t>
            </w:r>
          </w:p>
        </w:tc>
        <w:tc>
          <w:tcPr>
            <w:tcW w:w="4860" w:type="dxa"/>
            <w:tcBorders>
              <w:top w:val="nil"/>
              <w:left w:val="nil"/>
              <w:bottom w:val="nil"/>
              <w:right w:val="nil"/>
            </w:tcBorders>
            <w:tcMar>
              <w:top w:w="0" w:type="dxa"/>
              <w:left w:w="62" w:type="dxa"/>
              <w:bottom w:w="0" w:type="dxa"/>
              <w:right w:w="62" w:type="dxa"/>
            </w:tcMar>
          </w:tcPr>
          <w:p w:rsidR="00000000" w:rsidP="00B36B2A">
            <w:pPr>
              <w:pStyle w:val="BodyText"/>
              <w:rPr>
                <w:lang w:val="en-NZ"/>
              </w:rPr>
            </w:pPr>
            <w:r w:rsidRPr="00B36B2A">
              <w:t>Programming and commissioning activities are carried out efficiently without waste of materials or damage to apparatus and the surrounding environment or services and using sustainable energy practices.</w:t>
            </w:r>
          </w:p>
        </w:tc>
      </w:tr>
      <w:tr w:rsidTr="00DE68EB">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B36B2A">
            <w:pPr>
              <w:pStyle w:val="BodyText"/>
              <w:rPr>
                <w:lang w:val="en-NZ"/>
              </w:rPr>
            </w:pPr>
            <w:r w:rsidRPr="00B36B2A">
              <w:t>3</w:t>
            </w:r>
          </w:p>
        </w:tc>
        <w:tc>
          <w:tcPr>
            <w:tcW w:w="2340" w:type="dxa"/>
            <w:vMerge w:val="restart"/>
            <w:tcBorders>
              <w:top w:val="nil"/>
              <w:left w:val="nil"/>
              <w:bottom w:val="nil"/>
              <w:right w:val="nil"/>
            </w:tcBorders>
            <w:tcMar>
              <w:top w:w="0" w:type="dxa"/>
              <w:left w:w="62" w:type="dxa"/>
              <w:bottom w:w="0" w:type="dxa"/>
              <w:right w:w="62" w:type="dxa"/>
            </w:tcMar>
          </w:tcPr>
          <w:p w:rsidR="00000000" w:rsidP="00B36B2A">
            <w:pPr>
              <w:pStyle w:val="BodyText"/>
              <w:rPr>
                <w:lang w:val="en-NZ"/>
              </w:rPr>
            </w:pPr>
            <w:r w:rsidRPr="00B36B2A">
              <w:t xml:space="preserve">Complete and report programming and commissioning </w:t>
            </w:r>
            <w:r w:rsidRPr="00B36B2A">
              <w:t>activities.</w:t>
            </w:r>
          </w:p>
        </w:tc>
        <w:tc>
          <w:tcPr>
            <w:tcW w:w="900" w:type="dxa"/>
            <w:tcBorders>
              <w:top w:val="nil"/>
              <w:left w:val="nil"/>
              <w:bottom w:val="nil"/>
              <w:right w:val="nil"/>
            </w:tcBorders>
            <w:tcMar>
              <w:top w:w="0" w:type="dxa"/>
              <w:left w:w="62" w:type="dxa"/>
              <w:bottom w:w="0" w:type="dxa"/>
              <w:right w:w="62" w:type="dxa"/>
            </w:tcMar>
          </w:tcPr>
          <w:p w:rsidR="00000000" w:rsidP="00B36B2A">
            <w:pPr>
              <w:pStyle w:val="BodyText"/>
              <w:rPr>
                <w:lang w:val="en-NZ"/>
              </w:rPr>
            </w:pPr>
            <w:r w:rsidRPr="00B36B2A">
              <w:t>3.1</w:t>
            </w:r>
          </w:p>
        </w:tc>
        <w:tc>
          <w:tcPr>
            <w:tcW w:w="4860" w:type="dxa"/>
            <w:tcBorders>
              <w:top w:val="nil"/>
              <w:left w:val="nil"/>
              <w:bottom w:val="nil"/>
              <w:right w:val="nil"/>
            </w:tcBorders>
            <w:tcMar>
              <w:top w:w="0" w:type="dxa"/>
              <w:left w:w="62" w:type="dxa"/>
              <w:bottom w:w="0" w:type="dxa"/>
              <w:right w:w="62" w:type="dxa"/>
            </w:tcMar>
          </w:tcPr>
          <w:p w:rsidR="00000000" w:rsidP="00B36B2A">
            <w:pPr>
              <w:pStyle w:val="BodyText"/>
              <w:rPr>
                <w:lang w:val="en-NZ"/>
              </w:rPr>
            </w:pPr>
            <w:r w:rsidRPr="00B36B2A">
              <w:t>OHS work completion risk control measures and procedures are followed.</w:t>
            </w:r>
          </w:p>
        </w:tc>
      </w:tr>
      <w:tr w:rsidTr="00DE68EB">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36B2A">
            <w:pPr>
              <w:pStyle w:val="BodyText"/>
              <w:rPr>
                <w:lang w:val="en-NZ"/>
              </w:rPr>
            </w:pPr>
            <w:r w:rsidRPr="00B36B2A">
              <w:t>3.2</w:t>
            </w:r>
          </w:p>
        </w:tc>
        <w:tc>
          <w:tcPr>
            <w:tcW w:w="4860" w:type="dxa"/>
            <w:tcBorders>
              <w:top w:val="nil"/>
              <w:left w:val="nil"/>
              <w:bottom w:val="nil"/>
              <w:right w:val="nil"/>
            </w:tcBorders>
            <w:tcMar>
              <w:top w:w="0" w:type="dxa"/>
              <w:left w:w="62" w:type="dxa"/>
              <w:bottom w:w="0" w:type="dxa"/>
              <w:right w:w="62" w:type="dxa"/>
            </w:tcMar>
          </w:tcPr>
          <w:p w:rsidR="00000000" w:rsidP="00B36B2A">
            <w:pPr>
              <w:pStyle w:val="BodyText"/>
              <w:rPr>
                <w:lang w:val="en-NZ"/>
              </w:rPr>
            </w:pPr>
            <w:r w:rsidRPr="00B36B2A">
              <w:t>Work site is made safe in accordance with established safety procedures.</w:t>
            </w:r>
          </w:p>
        </w:tc>
      </w:tr>
      <w:tr w:rsidTr="00DE68EB">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36B2A">
            <w:pPr>
              <w:pStyle w:val="BodyText"/>
              <w:rPr>
                <w:lang w:val="en-NZ"/>
              </w:rPr>
            </w:pPr>
            <w:r w:rsidRPr="00B36B2A">
              <w:t>3.3</w:t>
            </w:r>
          </w:p>
        </w:tc>
        <w:tc>
          <w:tcPr>
            <w:tcW w:w="4860" w:type="dxa"/>
            <w:tcBorders>
              <w:top w:val="nil"/>
              <w:left w:val="nil"/>
              <w:bottom w:val="nil"/>
              <w:right w:val="nil"/>
            </w:tcBorders>
            <w:tcMar>
              <w:top w:w="0" w:type="dxa"/>
              <w:left w:w="62" w:type="dxa"/>
              <w:bottom w:w="0" w:type="dxa"/>
              <w:right w:w="62" w:type="dxa"/>
            </w:tcMar>
          </w:tcPr>
          <w:p w:rsidR="00000000" w:rsidRPr="00B36B2A" w:rsidP="00B36B2A">
            <w:pPr>
              <w:pStyle w:val="BodyText"/>
            </w:pPr>
            <w:r w:rsidRPr="00B36B2A">
              <w:t>'As-installed' security alarm system is documented and an appropriate person or persons notified in accordance with established procedures.</w:t>
            </w:r>
          </w:p>
        </w:tc>
      </w:tr>
    </w:tbl>
    <w:p w:rsidR="00DE68EB" w:rsidP="00B36B2A">
      <w:pPr>
        <w:pStyle w:val="BodyText"/>
      </w:pPr>
    </w:p>
    <w:p w:rsidR="00DE68EB" w:rsidP="00B36B2A">
      <w:pPr>
        <w:pStyle w:val="BodyText"/>
      </w:pPr>
    </w:p>
    <w:p w:rsidR="00000000" w:rsidRPr="00B36B2A" w:rsidP="00B36B2A">
      <w:pPr>
        <w:pStyle w:val="Heading1"/>
      </w:pPr>
      <w:bookmarkStart w:id="9" w:name="O_263242"/>
      <w:bookmarkEnd w:id="9"/>
      <w:r w:rsidRPr="00B36B2A">
        <w:t>Required Skills and Knowledge</w:t>
      </w:r>
    </w:p>
    <w:tbl>
      <w:tblPr>
        <w:tblW w:w="0" w:type="auto"/>
        <w:tblLayout w:type="fixed"/>
        <w:tblCellMar>
          <w:left w:w="62" w:type="dxa"/>
          <w:right w:w="62" w:type="dxa"/>
        </w:tblCellMar>
        <w:tblLook w:val="0000"/>
      </w:tblPr>
      <w:tblGrid>
        <w:gridCol w:w="2700"/>
        <w:gridCol w:w="1080"/>
        <w:gridCol w:w="4680"/>
      </w:tblGrid>
      <w:tr w:rsidTr="00DE68EB">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B36B2A">
            <w:pPr>
              <w:pStyle w:val="BodyText"/>
              <w:rPr>
                <w:lang w:val="en-NZ"/>
              </w:rPr>
            </w:pPr>
            <w:r w:rsidRPr="00B36B2A">
              <w:rPr>
                <w:rStyle w:val="SpecialBold"/>
              </w:rPr>
              <w:t>REQUIRED SKILLS AND KNOWLEDGE</w:t>
            </w:r>
          </w:p>
        </w:tc>
      </w:tr>
      <w:tr w:rsidTr="00DE68EB">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B36B2A">
            <w:pPr>
              <w:pStyle w:val="BodyText"/>
              <w:rPr>
                <w:lang w:val="en-NZ"/>
              </w:rPr>
            </w:pPr>
            <w:r w:rsidRPr="00B36B2A">
              <w:rPr>
                <w:rStyle w:val="SpecialBold"/>
              </w:rPr>
              <w:t>7</w:t>
            </w:r>
            <w:r w:rsidRPr="00B36B2A">
              <w:t>) This describes the essential skills and knowledge and their level, required for this unit.</w:t>
            </w:r>
          </w:p>
        </w:tc>
      </w:tr>
      <w:tr w:rsidTr="00DE68EB">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B36B2A" w:rsidP="00B36B2A">
            <w:pPr>
              <w:pStyle w:val="BodyText"/>
            </w:pPr>
            <w:r w:rsidRPr="00B36B2A">
              <w:t>Evidence shall show that knowledge has been acquired of safe working practices and programming and commissioning commercial security alarm systems.</w:t>
            </w:r>
          </w:p>
          <w:p w:rsidR="00000000" w:rsidRPr="00B36B2A" w:rsidP="00B36B2A">
            <w:pPr>
              <w:pStyle w:val="BodyText"/>
            </w:pPr>
            <w:r w:rsidRPr="00B36B2A">
              <w:t>All knowledg</w:t>
            </w:r>
            <w:r w:rsidRPr="00B36B2A">
              <w:t>e and skills detailed in this unit should be contextualised to current industry practices and technologies.</w:t>
            </w:r>
          </w:p>
          <w:p w:rsidR="00000000" w:rsidP="00B36B2A">
            <w:pPr>
              <w:pStyle w:val="BodyText"/>
              <w:rPr>
                <w:lang w:val="en-NZ"/>
              </w:rPr>
            </w:pPr>
            <w:r w:rsidRPr="00B36B2A">
              <w:t>The extent of the essential knowledge and associated skills (EKAS) required is given in Volume 2 - Part 2.2 EKAS.  It forms an integral part of this</w:t>
            </w:r>
            <w:r w:rsidRPr="00B36B2A">
              <w:t xml:space="preserve"> unit.</w:t>
            </w:r>
          </w:p>
        </w:tc>
      </w:tr>
      <w:tr w:rsidTr="00DE68E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36B2A">
            <w:pPr>
              <w:pStyle w:val="BodyText"/>
              <w:rPr>
                <w:lang w:val="en-NZ"/>
              </w:rPr>
            </w:pPr>
            <w:r w:rsidRPr="00B36B2A">
              <w:t>2.4.48</w:t>
            </w:r>
          </w:p>
        </w:tc>
        <w:tc>
          <w:tcPr>
            <w:tcW w:w="4680" w:type="dxa"/>
            <w:tcBorders>
              <w:top w:val="nil"/>
              <w:left w:val="nil"/>
              <w:bottom w:val="nil"/>
              <w:right w:val="nil"/>
            </w:tcBorders>
            <w:tcMar>
              <w:top w:w="0" w:type="dxa"/>
              <w:left w:w="62" w:type="dxa"/>
              <w:bottom w:w="0" w:type="dxa"/>
              <w:right w:w="62" w:type="dxa"/>
            </w:tcMar>
          </w:tcPr>
          <w:p w:rsidR="00000000" w:rsidRPr="00B36B2A" w:rsidP="00B36B2A">
            <w:pPr>
              <w:pStyle w:val="BodyText"/>
            </w:pPr>
            <w:r w:rsidRPr="00B36B2A">
              <w:t>Security systems alarms programming</w:t>
            </w:r>
          </w:p>
        </w:tc>
      </w:tr>
    </w:tbl>
    <w:p w:rsidR="00DE68EB" w:rsidP="00B36B2A">
      <w:pPr>
        <w:pStyle w:val="BodyText"/>
      </w:pPr>
    </w:p>
    <w:p w:rsidR="00DE68EB" w:rsidP="00B36B2A">
      <w:pPr>
        <w:pStyle w:val="BodyText"/>
      </w:pPr>
    </w:p>
    <w:p w:rsidR="00000000" w:rsidRPr="00B36B2A" w:rsidP="00B36B2A">
      <w:pPr>
        <w:pStyle w:val="Heading1"/>
      </w:pPr>
      <w:bookmarkStart w:id="10" w:name="O_247435"/>
      <w:bookmarkEnd w:id="10"/>
      <w:r w:rsidRPr="00B36B2A">
        <w:t>Evidence Guide</w:t>
      </w:r>
    </w:p>
    <w:tbl>
      <w:tblPr>
        <w:tblW w:w="0" w:type="auto"/>
        <w:tblLayout w:type="fixed"/>
        <w:tblCellMar>
          <w:left w:w="62" w:type="dxa"/>
          <w:right w:w="62" w:type="dxa"/>
        </w:tblCellMar>
        <w:tblLook w:val="0000"/>
      </w:tblPr>
      <w:tblGrid>
        <w:gridCol w:w="2160"/>
        <w:gridCol w:w="720"/>
        <w:gridCol w:w="540"/>
        <w:gridCol w:w="900"/>
        <w:gridCol w:w="4140"/>
      </w:tblGrid>
      <w:tr w:rsidTr="00DE68EB">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B36B2A">
            <w:pPr>
              <w:pStyle w:val="BodyText"/>
              <w:rPr>
                <w:lang w:val="en-NZ"/>
              </w:rPr>
            </w:pPr>
            <w:r w:rsidRPr="00B36B2A">
              <w:rPr>
                <w:rStyle w:val="SpecialBold"/>
              </w:rPr>
              <w:t>EVIDENCE GUIDE</w:t>
            </w:r>
          </w:p>
        </w:tc>
      </w:tr>
      <w:tr w:rsidTr="00DE68EB">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B36B2A" w:rsidP="00B36B2A">
            <w:pPr>
              <w:pStyle w:val="BodyText"/>
            </w:pPr>
            <w:r w:rsidRPr="00B36B2A">
              <w:rPr>
                <w:rStyle w:val="SpecialBold"/>
              </w:rPr>
              <w:t>9</w:t>
            </w:r>
            <w:r w:rsidRPr="00B36B2A">
              <w:t xml:space="preserve">) The evidence guide provides advice on assessment and must be read in conjunction with the Performance </w:t>
            </w:r>
            <w:r w:rsidRPr="00B36B2A">
              <w:t>Criteria, Required Skills and Knowledge, the Range Statement and the Assessment Guidelines for this Training Package. .</w:t>
            </w:r>
          </w:p>
          <w:p w:rsidR="00000000" w:rsidP="00B36B2A">
            <w:pPr>
              <w:pStyle w:val="BodyText"/>
              <w:rPr>
                <w:lang w:val="en-NZ"/>
              </w:rPr>
            </w:pPr>
            <w:r w:rsidRPr="00B36B2A">
              <w:t>The Evidence Guide forms an integral part of this unit. It must be used in conjunction with all parts of the unit and performed in accor</w:t>
            </w:r>
            <w:r w:rsidRPr="00B36B2A">
              <w:t>dance with the Assessment Guidelines of this Training Package.</w:t>
            </w:r>
          </w:p>
        </w:tc>
      </w:tr>
      <w:tr w:rsidTr="00DE68E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B36B2A" w:rsidP="00B36B2A">
            <w:pPr>
              <w:pStyle w:val="BodyText"/>
            </w:pPr>
            <w:r w:rsidRPr="00B36B2A">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B36B2A" w:rsidP="00B36B2A">
            <w:pPr>
              <w:pStyle w:val="BodyText"/>
            </w:pPr>
            <w:r w:rsidRPr="00B36B2A">
              <w:rPr>
                <w:rStyle w:val="SpecialBold"/>
              </w:rPr>
              <w:t>9</w:t>
            </w:r>
            <w:r w:rsidRPr="00B36B2A">
              <w:t>.</w:t>
            </w:r>
            <w:r w:rsidRPr="00B36B2A">
              <w:rPr>
                <w:rStyle w:val="SpecialBold"/>
              </w:rPr>
              <w:t>1</w:t>
            </w:r>
            <w:r w:rsidRPr="00B36B2A">
              <w:t xml:space="preserve">) </w:t>
            </w:r>
          </w:p>
          <w:p w:rsidR="00000000" w:rsidRPr="00B36B2A" w:rsidP="00B36B2A">
            <w:pPr>
              <w:pStyle w:val="BodyText"/>
            </w:pPr>
            <w:r w:rsidRPr="00B36B2A">
              <w:t>Longitudinal competency development approaches to assessment, such as Profiling, require data to b</w:t>
            </w:r>
            <w:r w:rsidRPr="00B36B2A">
              <w:t>e reliably gathered in a form that can be consistently interpreted over time. This approach is best utilised in Apprenticeship programs and reduces assessment intervention. It is the Industry-preferred model for apprenticeships. However, where summative (o</w:t>
            </w:r>
            <w:r w:rsidRPr="00B36B2A">
              <w:t>r final) assessment is used it must include the application of the competency in the normal work environment or, at a minimum, the application of the competency in a realistically simulated work environment. It is recognised that, in some circumstances, as</w:t>
            </w:r>
            <w:r w:rsidRPr="00B36B2A">
              <w:t>sessment in part or full can occur outside the workplace. However, it must be in accord with industry and regulatory policy.</w:t>
            </w:r>
          </w:p>
          <w:p w:rsidR="00000000" w:rsidRPr="00B36B2A" w:rsidP="00B36B2A">
            <w:pPr>
              <w:pStyle w:val="BodyText"/>
            </w:pPr>
            <w:r w:rsidRPr="00B36B2A">
              <w:t>Methods chosen for a particular assessment will be influenced by various factors. These include the extent of the assessment, the m</w:t>
            </w:r>
            <w:r w:rsidRPr="00B36B2A">
              <w:t>ost effective locations for the assessment activities to take place, access to physical resources, additional safety measures that may be required and the critical nature of the competencies being assessed.</w:t>
            </w:r>
          </w:p>
          <w:p w:rsidR="00000000" w:rsidRPr="00B36B2A" w:rsidP="00B36B2A">
            <w:pPr>
              <w:pStyle w:val="BodyText"/>
            </w:pPr>
            <w:r w:rsidRPr="00B36B2A">
              <w:t>The critical safety nature of working with electr</w:t>
            </w:r>
            <w:r w:rsidRPr="00B36B2A">
              <w:t>icity, electrical equipment, gas or any other hazardous substance/material carries risk in deeming a person competent. Sources of evidence need to be 'rich' in nature to minimise error in judgment.</w:t>
            </w:r>
          </w:p>
          <w:p w:rsidR="00000000" w:rsidP="00B36B2A">
            <w:pPr>
              <w:pStyle w:val="BodyText"/>
              <w:rPr>
                <w:lang w:val="en-NZ"/>
              </w:rPr>
            </w:pPr>
            <w:r w:rsidRPr="00B36B2A">
              <w:t xml:space="preserve">Activities associated with normal everyday work influence </w:t>
            </w:r>
            <w:r w:rsidRPr="00B36B2A">
              <w:t>decisions about how/how much the data gathered will contribute to its 'richness'. Some skills are more critical to safety and operational requirements while the same skills may be more or less frequently practised. These points are raised for the assessors</w:t>
            </w:r>
            <w:r w:rsidRPr="00B36B2A">
              <w:t xml:space="preserve"> to consider when choosing an assessment method and developing assessment instruments. Sample assessment instruments are included for Assessors in the Assessment Guidelines of this Training Package.</w:t>
            </w:r>
          </w:p>
        </w:tc>
      </w:tr>
      <w:tr w:rsidTr="00DE68EB">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B36B2A" w:rsidP="00B36B2A">
            <w:pPr>
              <w:pStyle w:val="BodyText"/>
            </w:pPr>
            <w:r w:rsidRPr="00B36B2A">
              <w:rPr>
                <w:rStyle w:val="SpecialBold"/>
              </w:rPr>
              <w:t xml:space="preserve">Critical aspects of evidence required to demonstrate </w:t>
            </w:r>
            <w:r w:rsidRPr="00B36B2A">
              <w:rPr>
                <w:rStyle w:val="SpecialBold"/>
              </w:rPr>
              <w:t>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B36B2A" w:rsidP="00B36B2A">
            <w:pPr>
              <w:pStyle w:val="BodyText"/>
            </w:pPr>
            <w:r w:rsidRPr="00B36B2A">
              <w:rPr>
                <w:rStyle w:val="SpecialBold"/>
              </w:rPr>
              <w:t>9</w:t>
            </w:r>
            <w:r w:rsidRPr="00B36B2A">
              <w:t>.</w:t>
            </w:r>
            <w:r w:rsidRPr="00B36B2A">
              <w:rPr>
                <w:rStyle w:val="SpecialBold"/>
              </w:rPr>
              <w:t>2</w:t>
            </w:r>
            <w:r w:rsidRPr="00B36B2A">
              <w:t xml:space="preserve">) </w:t>
            </w:r>
          </w:p>
          <w:p w:rsidR="00000000" w:rsidP="00B36B2A">
            <w:pPr>
              <w:pStyle w:val="BodyText"/>
              <w:rPr>
                <w:lang w:val="en-NZ"/>
              </w:rPr>
            </w:pPr>
            <w:r w:rsidRPr="00B36B2A">
              <w:t>Before the critical aspects of evidence are considered all prerequisites shall be met.</w:t>
            </w:r>
          </w:p>
        </w:tc>
      </w:tr>
      <w:tr w:rsidTr="00DE68EB">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B36B2A" w:rsidP="00B36B2A">
            <w:pPr>
              <w:pStyle w:val="BodyText"/>
            </w:pPr>
            <w:r w:rsidRPr="00B36B2A">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B36B2A">
            <w:pPr>
              <w:pStyle w:val="ListBullet"/>
              <w:rPr>
                <w:lang w:val="en-NZ"/>
              </w:rPr>
            </w:pPr>
            <w:r w:rsidRPr="00B36B2A">
              <w:t>A representative body of work performance demonstrated within the timeframes typically expected of the discipline, work function and industrial environment. In particular this shall incorporate evidence that shows a candidate is able to:</w:t>
            </w:r>
          </w:p>
        </w:tc>
      </w:tr>
      <w:tr w:rsidTr="00DE68E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36B2A">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B36B2A" w:rsidP="00B36B2A">
            <w:pPr>
              <w:pStyle w:val="ListBullet2"/>
            </w:pPr>
            <w:r w:rsidRPr="00B36B2A">
              <w:t>Implement Occupational Health and Safety workplace procedures and practices, including the use of risk control measures as specified in the performance criteria and range statement</w:t>
            </w:r>
          </w:p>
          <w:p w:rsidR="00000000" w:rsidRPr="00B36B2A" w:rsidP="00B36B2A">
            <w:pPr>
              <w:pStyle w:val="ListBullet2"/>
            </w:pPr>
            <w:r w:rsidRPr="00B36B2A">
              <w:t>Apply sustainable energy principles and practices as specified in the perfo</w:t>
            </w:r>
            <w:r w:rsidRPr="00B36B2A">
              <w:t>rmance criteria and range statement</w:t>
            </w:r>
          </w:p>
          <w:p w:rsidR="00000000" w:rsidRPr="00B36B2A" w:rsidP="00B36B2A">
            <w:pPr>
              <w:pStyle w:val="ListBullet2"/>
            </w:pPr>
            <w:r w:rsidRPr="00B36B2A">
              <w:t>Demonstrate an understanding of the essential knowledge and associated skills as described in this unit.  It may be required by some jurisdictions that RTOs provide a percentile graded result for the purpose of regulator</w:t>
            </w:r>
            <w:r w:rsidRPr="00B36B2A">
              <w:t>y or licensing requirements.</w:t>
            </w:r>
          </w:p>
          <w:p w:rsidR="00000000" w:rsidRPr="00B36B2A" w:rsidP="00B36B2A">
            <w:pPr>
              <w:pStyle w:val="ListBullet2"/>
            </w:pPr>
            <w:r w:rsidRPr="00B36B2A">
              <w:t>Demonstrate an appropriate level of skills enabling employment</w:t>
            </w:r>
          </w:p>
          <w:p w:rsidR="00000000" w:rsidP="00B36B2A">
            <w:pPr>
              <w:pStyle w:val="ListBullet2"/>
              <w:rPr>
                <w:lang w:val="en-NZ"/>
              </w:rPr>
            </w:pPr>
            <w:r w:rsidRPr="00B36B2A">
              <w:t>Conduct work observing the relevant Anti Discrimination legislation, regulations, polices and workplace procedures</w:t>
            </w:r>
          </w:p>
        </w:tc>
      </w:tr>
      <w:tr w:rsidTr="00DE68E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36B2A">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B36B2A">
            <w:pPr>
              <w:pStyle w:val="ListBullet"/>
              <w:rPr>
                <w:lang w:val="en-NZ"/>
              </w:rPr>
            </w:pPr>
            <w:r w:rsidRPr="00B36B2A">
              <w:t>Demonstrated consistent performance across a representative range of contexts from the prescribed items below:</w:t>
            </w:r>
          </w:p>
        </w:tc>
      </w:tr>
      <w:tr w:rsidTr="00DE68E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36B2A">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B36B2A">
            <w:pPr>
              <w:pStyle w:val="ListBullet2"/>
              <w:rPr>
                <w:lang w:val="en-NZ"/>
              </w:rPr>
            </w:pPr>
            <w:r w:rsidRPr="00B36B2A">
              <w:t>Program and commission commercial security alarm systems as described in 8) and including:</w:t>
            </w:r>
          </w:p>
        </w:tc>
      </w:tr>
      <w:tr w:rsidTr="00DE68E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36B2A">
            <w:pPr>
              <w:pStyle w:val="BodyText"/>
              <w:rPr>
                <w:lang w:val="en-NZ"/>
              </w:rPr>
            </w:pPr>
            <w:r w:rsidRPr="00B36B2A">
              <w:t>A</w:t>
            </w:r>
          </w:p>
        </w:tc>
        <w:tc>
          <w:tcPr>
            <w:tcW w:w="5040" w:type="dxa"/>
            <w:gridSpan w:val="2"/>
            <w:tcBorders>
              <w:top w:val="nil"/>
              <w:left w:val="nil"/>
              <w:bottom w:val="nil"/>
              <w:right w:val="nil"/>
            </w:tcBorders>
            <w:tcMar>
              <w:top w:w="0" w:type="dxa"/>
              <w:left w:w="62" w:type="dxa"/>
              <w:bottom w:w="0" w:type="dxa"/>
              <w:right w:w="62" w:type="dxa"/>
            </w:tcMar>
          </w:tcPr>
          <w:p w:rsidR="00000000" w:rsidP="00B36B2A">
            <w:pPr>
              <w:pStyle w:val="BodyText"/>
              <w:rPr>
                <w:lang w:val="en-NZ"/>
              </w:rPr>
            </w:pPr>
            <w:r w:rsidRPr="00B36B2A">
              <w:t>Entering system functions.</w:t>
            </w:r>
          </w:p>
        </w:tc>
      </w:tr>
      <w:tr w:rsidTr="00DE68E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36B2A">
            <w:pPr>
              <w:pStyle w:val="BodyText"/>
              <w:rPr>
                <w:lang w:val="en-NZ"/>
              </w:rPr>
            </w:pPr>
            <w:r w:rsidRPr="00B36B2A">
              <w:t>B</w:t>
            </w:r>
          </w:p>
        </w:tc>
        <w:tc>
          <w:tcPr>
            <w:tcW w:w="5040" w:type="dxa"/>
            <w:gridSpan w:val="2"/>
            <w:tcBorders>
              <w:top w:val="nil"/>
              <w:left w:val="nil"/>
              <w:bottom w:val="nil"/>
              <w:right w:val="nil"/>
            </w:tcBorders>
            <w:tcMar>
              <w:top w:w="0" w:type="dxa"/>
              <w:left w:w="62" w:type="dxa"/>
              <w:bottom w:w="0" w:type="dxa"/>
              <w:right w:w="62" w:type="dxa"/>
            </w:tcMar>
          </w:tcPr>
          <w:p w:rsidR="00000000" w:rsidP="00B36B2A">
            <w:pPr>
              <w:pStyle w:val="BodyText"/>
              <w:rPr>
                <w:lang w:val="en-NZ"/>
              </w:rPr>
            </w:pPr>
            <w:r w:rsidRPr="00B36B2A">
              <w:t>Testing system functions.</w:t>
            </w:r>
          </w:p>
        </w:tc>
      </w:tr>
      <w:tr w:rsidTr="00DE68E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36B2A">
            <w:pPr>
              <w:pStyle w:val="BodyText"/>
              <w:rPr>
                <w:lang w:val="en-NZ"/>
              </w:rPr>
            </w:pPr>
            <w:r w:rsidRPr="00B36B2A">
              <w:t>C</w:t>
            </w:r>
          </w:p>
        </w:tc>
        <w:tc>
          <w:tcPr>
            <w:tcW w:w="5040" w:type="dxa"/>
            <w:gridSpan w:val="2"/>
            <w:tcBorders>
              <w:top w:val="nil"/>
              <w:left w:val="nil"/>
              <w:bottom w:val="nil"/>
              <w:right w:val="nil"/>
            </w:tcBorders>
            <w:tcMar>
              <w:top w:w="0" w:type="dxa"/>
              <w:left w:w="62" w:type="dxa"/>
              <w:bottom w:w="0" w:type="dxa"/>
              <w:right w:w="62" w:type="dxa"/>
            </w:tcMar>
          </w:tcPr>
          <w:p w:rsidR="00000000" w:rsidP="00B36B2A">
            <w:pPr>
              <w:pStyle w:val="BodyText"/>
              <w:rPr>
                <w:lang w:val="en-NZ"/>
              </w:rPr>
            </w:pPr>
            <w:r w:rsidRPr="00B36B2A">
              <w:t>Identifying and correcting function anomalies.</w:t>
            </w:r>
          </w:p>
        </w:tc>
      </w:tr>
      <w:tr w:rsidTr="00DE68E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36B2A">
            <w:pPr>
              <w:pStyle w:val="BodyText"/>
              <w:rPr>
                <w:lang w:val="en-NZ"/>
              </w:rPr>
            </w:pPr>
            <w:r w:rsidRPr="00B36B2A">
              <w:t>D</w:t>
            </w:r>
          </w:p>
        </w:tc>
        <w:tc>
          <w:tcPr>
            <w:tcW w:w="5040" w:type="dxa"/>
            <w:gridSpan w:val="2"/>
            <w:tcBorders>
              <w:top w:val="nil"/>
              <w:left w:val="nil"/>
              <w:bottom w:val="nil"/>
              <w:right w:val="nil"/>
            </w:tcBorders>
            <w:tcMar>
              <w:top w:w="0" w:type="dxa"/>
              <w:left w:w="62" w:type="dxa"/>
              <w:bottom w:w="0" w:type="dxa"/>
              <w:right w:w="62" w:type="dxa"/>
            </w:tcMar>
          </w:tcPr>
          <w:p w:rsidR="00000000" w:rsidP="00B36B2A">
            <w:pPr>
              <w:pStyle w:val="BodyText"/>
              <w:rPr>
                <w:lang w:val="en-NZ"/>
              </w:rPr>
            </w:pPr>
            <w:r w:rsidRPr="00B36B2A">
              <w:t>Documenting 'as-installed' system correctly.</w:t>
            </w:r>
          </w:p>
        </w:tc>
      </w:tr>
      <w:tr w:rsidTr="00DE68E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36B2A">
            <w:pPr>
              <w:pStyle w:val="BodyText"/>
              <w:rPr>
                <w:lang w:val="en-NZ"/>
              </w:rPr>
            </w:pPr>
            <w:r w:rsidRPr="00B36B2A">
              <w:t>E</w:t>
            </w:r>
          </w:p>
        </w:tc>
        <w:tc>
          <w:tcPr>
            <w:tcW w:w="5040" w:type="dxa"/>
            <w:gridSpan w:val="2"/>
            <w:tcBorders>
              <w:top w:val="nil"/>
              <w:left w:val="nil"/>
              <w:bottom w:val="nil"/>
              <w:right w:val="nil"/>
            </w:tcBorders>
            <w:tcMar>
              <w:top w:w="0" w:type="dxa"/>
              <w:left w:w="62" w:type="dxa"/>
              <w:bottom w:w="0" w:type="dxa"/>
              <w:right w:w="62" w:type="dxa"/>
            </w:tcMar>
          </w:tcPr>
          <w:p w:rsidR="00000000" w:rsidP="00B36B2A">
            <w:pPr>
              <w:pStyle w:val="BodyText"/>
              <w:rPr>
                <w:lang w:val="en-NZ"/>
              </w:rPr>
            </w:pPr>
            <w:r w:rsidRPr="00B36B2A">
              <w:t>Dealing with unplanned events by drawing on essential knowledge and skills to provide appropriate solutions incorporated in a holistic assessment with the above listed items.</w:t>
            </w:r>
          </w:p>
        </w:tc>
      </w:tr>
      <w:tr w:rsidTr="00DE68E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B36B2A">
            <w:pPr>
              <w:pStyle w:val="BodyText"/>
              <w:rPr>
                <w:lang w:val="en-NZ"/>
              </w:rPr>
            </w:pPr>
            <w:r w:rsidRPr="00B36B2A">
              <w:t>Note:</w:t>
            </w:r>
            <w:r w:rsidRPr="00B36B2A">
              <w:br/>
              <w:t>Successful completion of relevant vendor training may be used to contrib</w:t>
            </w:r>
            <w:r w:rsidRPr="00B36B2A">
              <w:t>ute to evidence on which competency is deemed. In these cases the alignment of outcomes of vendor training with performance criteria and critical aspects of evidence shall be clearly identified.</w:t>
            </w:r>
          </w:p>
        </w:tc>
      </w:tr>
      <w:tr w:rsidTr="00DE68E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B36B2A" w:rsidP="00B36B2A">
            <w:pPr>
              <w:pStyle w:val="BodyText"/>
            </w:pPr>
            <w:r w:rsidRPr="00B36B2A">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B36B2A" w:rsidP="00B36B2A">
            <w:pPr>
              <w:pStyle w:val="BodyText"/>
            </w:pPr>
            <w:r w:rsidRPr="00B36B2A">
              <w:rPr>
                <w:rStyle w:val="SpecialBold"/>
              </w:rPr>
              <w:t>9</w:t>
            </w:r>
            <w:r w:rsidRPr="00B36B2A">
              <w:t>.</w:t>
            </w:r>
            <w:r w:rsidRPr="00B36B2A">
              <w:rPr>
                <w:rStyle w:val="SpecialBold"/>
              </w:rPr>
              <w:t>3</w:t>
            </w:r>
            <w:r w:rsidRPr="00B36B2A">
              <w:t xml:space="preserve">) </w:t>
            </w:r>
          </w:p>
          <w:p w:rsidR="00000000" w:rsidRPr="00B36B2A" w:rsidP="00B36B2A">
            <w:pPr>
              <w:pStyle w:val="BodyText"/>
            </w:pPr>
            <w:r w:rsidRPr="00B36B2A">
              <w:t>Th</w:t>
            </w:r>
            <w:r w:rsidRPr="00B36B2A">
              <w:t>is unit should be assessed as it relates to normal work practice using procedures, information and resources typical of a workplace. This should include:</w:t>
            </w:r>
          </w:p>
          <w:p w:rsidR="00000000" w:rsidRPr="00B36B2A" w:rsidP="00B36B2A">
            <w:pPr>
              <w:pStyle w:val="ListBullet"/>
            </w:pPr>
            <w:r w:rsidRPr="00B36B2A">
              <w:t>OHS policy and work procedures and instructions.</w:t>
            </w:r>
          </w:p>
          <w:p w:rsidR="00000000" w:rsidRPr="00B36B2A" w:rsidP="00B36B2A">
            <w:pPr>
              <w:pStyle w:val="ListBullet"/>
            </w:pPr>
            <w:r w:rsidRPr="00B36B2A">
              <w:t>Suitable work environment, facilities, equipment and materials to undertake actual work as prescribed by this unit.</w:t>
            </w:r>
          </w:p>
          <w:p w:rsidR="00000000" w:rsidRPr="00B36B2A" w:rsidP="00B36B2A">
            <w:pPr>
              <w:pStyle w:val="BodyText"/>
            </w:pPr>
            <w:r w:rsidRPr="00B36B2A">
              <w:t>These should be part of the formal learning/assessment environment.</w:t>
            </w:r>
          </w:p>
          <w:p w:rsidR="00000000" w:rsidRPr="00B36B2A" w:rsidP="00B36B2A">
            <w:pPr>
              <w:pStyle w:val="BodyText"/>
            </w:pPr>
            <w:r w:rsidRPr="00B36B2A">
              <w:t>Note:</w:t>
            </w:r>
          </w:p>
          <w:p w:rsidR="00000000" w:rsidP="00B36B2A">
            <w:pPr>
              <w:pStyle w:val="BodyText"/>
              <w:rPr>
                <w:lang w:val="en-NZ"/>
              </w:rPr>
            </w:pPr>
            <w:r w:rsidRPr="00B36B2A">
              <w:t>Where simulation is considered a suitable strategy for assessment,</w:t>
            </w:r>
            <w:r w:rsidRPr="00B36B2A">
              <w:t xml:space="preserve"> conditions must be authentic and as far as possible reproduce and replicate the workplace and be consistent with the approved industry simulation policy.</w:t>
            </w:r>
          </w:p>
        </w:tc>
      </w:tr>
      <w:tr w:rsidTr="00DE68E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B36B2A">
            <w:pPr>
              <w:pStyle w:val="BodyText"/>
              <w:rPr>
                <w:lang w:val="en-NZ"/>
              </w:rPr>
            </w:pPr>
            <w:r w:rsidRPr="00B36B2A">
              <w:t>The resources used for assessment should reflect current industry practices in relation to progr</w:t>
            </w:r>
            <w:r w:rsidRPr="00B36B2A">
              <w:t>amming and commissioning commercial security alarm systems.</w:t>
            </w:r>
          </w:p>
        </w:tc>
      </w:tr>
      <w:tr w:rsidTr="00DE68E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B36B2A" w:rsidP="00B36B2A">
            <w:pPr>
              <w:pStyle w:val="BodyText"/>
            </w:pPr>
            <w:r w:rsidRPr="00B36B2A">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B36B2A" w:rsidP="00B36B2A">
            <w:pPr>
              <w:pStyle w:val="BodyText"/>
            </w:pPr>
            <w:r w:rsidRPr="00B36B2A">
              <w:rPr>
                <w:rStyle w:val="SpecialBold"/>
              </w:rPr>
              <w:t>9</w:t>
            </w:r>
            <w:r w:rsidRPr="00B36B2A">
              <w:t>.</w:t>
            </w:r>
            <w:r w:rsidRPr="00B36B2A">
              <w:rPr>
                <w:rStyle w:val="SpecialBold"/>
              </w:rPr>
              <w:t>4</w:t>
            </w:r>
            <w:r w:rsidRPr="00B36B2A">
              <w:t xml:space="preserve">) </w:t>
            </w:r>
          </w:p>
          <w:p w:rsidR="00000000" w:rsidRPr="00B36B2A" w:rsidP="00B36B2A">
            <w:pPr>
              <w:pStyle w:val="BodyText"/>
            </w:pPr>
            <w:r w:rsidRPr="00B36B2A">
              <w:t>This unit shall be assessed by methods given in Volume 1, Part 3 'Assessment Guidelines'.</w:t>
            </w:r>
          </w:p>
          <w:p w:rsidR="00000000" w:rsidP="00B36B2A">
            <w:pPr>
              <w:pStyle w:val="BodyText"/>
              <w:rPr>
                <w:lang w:val="en-NZ"/>
              </w:rPr>
            </w:pPr>
            <w:r w:rsidRPr="00B36B2A">
              <w:t>Note:</w:t>
            </w:r>
            <w:r w:rsidRPr="00B36B2A">
              <w:br/>
              <w:t xml:space="preserve">Competent </w:t>
            </w:r>
            <w:r w:rsidRPr="00B36B2A">
              <w:t>performance with inherent safe working practices is expected in the industry to which this unit applies. This requires that the specified essential knowledge and associated skills are assessed in a structured environment which is primarily intended for lea</w:t>
            </w:r>
            <w:r w:rsidRPr="00B36B2A">
              <w:t>rning/assessment and incorporates all necessary equipment and facilities for learners to develop and demonstrate the essential knowledge and skills described in this unit.</w:t>
            </w:r>
          </w:p>
        </w:tc>
      </w:tr>
      <w:tr w:rsidTr="00DE68EB">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B36B2A" w:rsidP="00B36B2A">
            <w:pPr>
              <w:pStyle w:val="BodyText"/>
            </w:pPr>
            <w:r w:rsidRPr="00B36B2A">
              <w:rPr>
                <w:rStyle w:val="SpecialBold"/>
              </w:rPr>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B36B2A">
            <w:pPr>
              <w:pStyle w:val="BodyText"/>
              <w:rPr>
                <w:lang w:val="en-NZ"/>
              </w:rPr>
            </w:pPr>
            <w:r w:rsidRPr="00B36B2A">
              <w:rPr>
                <w:rStyle w:val="SpecialBold"/>
              </w:rPr>
              <w:t>9</w:t>
            </w:r>
            <w:r w:rsidRPr="00B36B2A">
              <w:t>.</w:t>
            </w:r>
            <w:r w:rsidRPr="00B36B2A">
              <w:rPr>
                <w:rStyle w:val="SpecialBold"/>
              </w:rPr>
              <w:t>5</w:t>
            </w:r>
            <w:r w:rsidRPr="00B36B2A">
              <w:t>)</w:t>
            </w:r>
          </w:p>
        </w:tc>
      </w:tr>
      <w:tr w:rsidTr="00DE68EB">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B36B2A">
            <w:pPr>
              <w:pStyle w:val="BodyText"/>
              <w:rPr>
                <w:lang w:val="en-NZ"/>
              </w:rPr>
            </w:pPr>
            <w:r w:rsidRPr="00B36B2A">
              <w:t>For optimisation of training and assessment effort, competency development in this unit may be arranged concurrently with unit:</w:t>
            </w:r>
          </w:p>
        </w:tc>
      </w:tr>
      <w:tr w:rsidTr="00DE68E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gridSpan w:val="3"/>
            <w:tcBorders>
              <w:top w:val="nil"/>
              <w:left w:val="nil"/>
              <w:bottom w:val="nil"/>
              <w:right w:val="nil"/>
            </w:tcBorders>
            <w:tcMar>
              <w:top w:w="0" w:type="dxa"/>
              <w:left w:w="62" w:type="dxa"/>
              <w:bottom w:w="0" w:type="dxa"/>
              <w:right w:w="62" w:type="dxa"/>
            </w:tcMar>
          </w:tcPr>
          <w:p w:rsidR="00000000" w:rsidP="00B36B2A">
            <w:pPr>
              <w:pStyle w:val="BodyText"/>
              <w:rPr>
                <w:lang w:val="en-NZ"/>
              </w:rPr>
            </w:pPr>
            <w:r w:rsidRPr="00B36B2A">
              <w:t>UEENEEH053B</w:t>
            </w:r>
          </w:p>
        </w:tc>
        <w:tc>
          <w:tcPr>
            <w:tcW w:w="4140" w:type="dxa"/>
            <w:tcBorders>
              <w:top w:val="nil"/>
              <w:left w:val="nil"/>
              <w:bottom w:val="nil"/>
              <w:right w:val="nil"/>
            </w:tcBorders>
            <w:tcMar>
              <w:top w:w="0" w:type="dxa"/>
              <w:left w:w="62" w:type="dxa"/>
              <w:bottom w:w="0" w:type="dxa"/>
              <w:right w:w="62" w:type="dxa"/>
            </w:tcMar>
          </w:tcPr>
          <w:p w:rsidR="00000000" w:rsidP="00B36B2A">
            <w:pPr>
              <w:pStyle w:val="BodyText"/>
              <w:rPr>
                <w:lang w:val="en-NZ"/>
              </w:rPr>
            </w:pPr>
            <w:r w:rsidRPr="00B36B2A">
              <w:t>Program large wired and wireless security systems</w:t>
            </w:r>
          </w:p>
        </w:tc>
      </w:tr>
      <w:tr w:rsidTr="00DE68E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gridSpan w:val="3"/>
            <w:tcBorders>
              <w:top w:val="nil"/>
              <w:left w:val="nil"/>
              <w:bottom w:val="nil"/>
              <w:right w:val="nil"/>
            </w:tcBorders>
            <w:tcMar>
              <w:top w:w="0" w:type="dxa"/>
              <w:left w:w="62" w:type="dxa"/>
              <w:bottom w:w="0" w:type="dxa"/>
              <w:right w:w="62" w:type="dxa"/>
            </w:tcMar>
          </w:tcPr>
          <w:p w:rsidR="00000000" w:rsidP="00B36B2A">
            <w:pPr>
              <w:pStyle w:val="BodyText"/>
              <w:rPr>
                <w:lang w:val="en-NZ"/>
              </w:rPr>
            </w:pPr>
            <w:r w:rsidRPr="00B36B2A">
              <w:t>UEENEEH055B</w:t>
            </w:r>
          </w:p>
        </w:tc>
        <w:tc>
          <w:tcPr>
            <w:tcW w:w="4140" w:type="dxa"/>
            <w:tcBorders>
              <w:top w:val="nil"/>
              <w:left w:val="nil"/>
              <w:bottom w:val="nil"/>
              <w:right w:val="nil"/>
            </w:tcBorders>
            <w:tcMar>
              <w:top w:w="0" w:type="dxa"/>
              <w:left w:w="62" w:type="dxa"/>
              <w:bottom w:w="0" w:type="dxa"/>
              <w:right w:w="62" w:type="dxa"/>
            </w:tcMar>
          </w:tcPr>
          <w:p w:rsidR="00000000" w:rsidP="00B36B2A">
            <w:pPr>
              <w:pStyle w:val="BodyText"/>
              <w:rPr>
                <w:lang w:val="en-NZ"/>
              </w:rPr>
            </w:pPr>
            <w:r w:rsidRPr="00B36B2A">
              <w:t>Program and commission commercial security access control systems</w:t>
            </w:r>
          </w:p>
        </w:tc>
      </w:tr>
      <w:tr w:rsidTr="00DE68E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gridSpan w:val="3"/>
            <w:tcBorders>
              <w:top w:val="nil"/>
              <w:left w:val="nil"/>
              <w:bottom w:val="nil"/>
              <w:right w:val="nil"/>
            </w:tcBorders>
            <w:tcMar>
              <w:top w:w="0" w:type="dxa"/>
              <w:left w:w="62" w:type="dxa"/>
              <w:bottom w:w="0" w:type="dxa"/>
              <w:right w:w="62" w:type="dxa"/>
            </w:tcMar>
          </w:tcPr>
          <w:p w:rsidR="00000000" w:rsidP="00B36B2A">
            <w:pPr>
              <w:pStyle w:val="BodyText"/>
              <w:rPr>
                <w:lang w:val="en-NZ"/>
              </w:rPr>
            </w:pPr>
            <w:r w:rsidRPr="00B36B2A">
              <w:t>UEENEEH056B</w:t>
            </w:r>
          </w:p>
        </w:tc>
        <w:tc>
          <w:tcPr>
            <w:tcW w:w="4140" w:type="dxa"/>
            <w:tcBorders>
              <w:top w:val="nil"/>
              <w:left w:val="nil"/>
              <w:bottom w:val="nil"/>
              <w:right w:val="nil"/>
            </w:tcBorders>
            <w:tcMar>
              <w:top w:w="0" w:type="dxa"/>
              <w:left w:w="62" w:type="dxa"/>
              <w:bottom w:w="0" w:type="dxa"/>
              <w:right w:w="62" w:type="dxa"/>
            </w:tcMar>
          </w:tcPr>
          <w:p w:rsidR="00000000" w:rsidP="00B36B2A">
            <w:pPr>
              <w:pStyle w:val="BodyText"/>
              <w:rPr>
                <w:lang w:val="en-NZ"/>
              </w:rPr>
            </w:pPr>
            <w:r w:rsidRPr="00B36B2A">
              <w:t>Program and commission commercial security closed circuit television (CCTV) systems</w:t>
            </w:r>
          </w:p>
        </w:tc>
      </w:tr>
      <w:tr w:rsidTr="00DE68E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B36B2A" w:rsidP="00B36B2A">
            <w:pPr>
              <w:pStyle w:val="BodyText"/>
            </w:pPr>
            <w:r w:rsidRPr="00B36B2A">
              <w:t>The critical aspects of occupational health and safety covered in unit UEENEEE001B and o</w:t>
            </w:r>
            <w:r w:rsidRPr="00B36B2A">
              <w:t>ther discipline specific occupational health and safety units shall be incorporated in relation to this unit.</w:t>
            </w:r>
          </w:p>
        </w:tc>
      </w:tr>
    </w:tbl>
    <w:p w:rsidR="00DE68EB" w:rsidP="00B36B2A">
      <w:pPr>
        <w:pStyle w:val="BodyText"/>
      </w:pPr>
    </w:p>
    <w:p w:rsidR="00DE68EB" w:rsidP="00B36B2A">
      <w:pPr>
        <w:pStyle w:val="BodyText"/>
      </w:pPr>
    </w:p>
    <w:p w:rsidR="00000000" w:rsidRPr="00B36B2A" w:rsidP="00B36B2A">
      <w:pPr>
        <w:pStyle w:val="Heading1"/>
      </w:pPr>
      <w:bookmarkStart w:id="11" w:name="O_255418"/>
      <w:bookmarkEnd w:id="11"/>
      <w:r w:rsidRPr="00B36B2A">
        <w:t>Range Statement</w:t>
      </w:r>
    </w:p>
    <w:tbl>
      <w:tblPr>
        <w:tblW w:w="0" w:type="auto"/>
        <w:tblLayout w:type="fixed"/>
        <w:tblCellMar>
          <w:left w:w="62" w:type="dxa"/>
          <w:right w:w="62" w:type="dxa"/>
        </w:tblCellMar>
        <w:tblLook w:val="0000"/>
      </w:tblPr>
      <w:tblGrid>
        <w:gridCol w:w="8460"/>
      </w:tblGrid>
      <w:tr w:rsidTr="00DE68EB">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36B2A">
            <w:pPr>
              <w:pStyle w:val="BodyText"/>
              <w:rPr>
                <w:lang w:val="en-NZ"/>
              </w:rPr>
            </w:pPr>
            <w:r w:rsidRPr="00B36B2A">
              <w:rPr>
                <w:rStyle w:val="SpecialBold"/>
              </w:rPr>
              <w:t>RANGE STATEMENT</w:t>
            </w:r>
          </w:p>
        </w:tc>
      </w:tr>
      <w:tr w:rsidTr="00DE68E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B36B2A">
            <w:pPr>
              <w:pStyle w:val="BodyText"/>
              <w:rPr>
                <w:lang w:val="en-NZ"/>
              </w:rPr>
            </w:pPr>
            <w:r w:rsidRPr="00B36B2A">
              <w:rPr>
                <w:rStyle w:val="SpecialBold"/>
              </w:rPr>
              <w:t>8</w:t>
            </w:r>
            <w:r w:rsidRPr="00B36B2A">
              <w:t>) This relates to the unit as a whole providing the range of contexts and conditions to which the performance criteria apply. It allows for different work environments and situations that will affect performance.</w:t>
            </w:r>
          </w:p>
        </w:tc>
      </w:tr>
      <w:tr w:rsidTr="00DE68E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B36B2A">
            <w:pPr>
              <w:pStyle w:val="BodyText"/>
              <w:rPr>
                <w:lang w:val="en-NZ"/>
              </w:rPr>
            </w:pPr>
            <w:r w:rsidRPr="00B36B2A">
              <w:t>This unit shall be demonstrated using a representative range of commercial security alarm systems by programming and commissioning at least two different commercial security alarm systems.</w:t>
            </w:r>
          </w:p>
        </w:tc>
      </w:tr>
      <w:tr w:rsidTr="00DE68E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36B2A" w:rsidP="00B36B2A">
            <w:pPr>
              <w:pStyle w:val="BodyText"/>
            </w:pPr>
            <w:r w:rsidRPr="00B36B2A">
              <w:t>Generic terms used throughout this Vocational Standard shall be re</w:t>
            </w:r>
            <w:r w:rsidRPr="00B36B2A">
              <w:t>garded as part of the Range Statement in which competency is demonstrated. The definition of these and other terms that apply are given in Volume 2, Part 2.1.</w:t>
            </w:r>
          </w:p>
        </w:tc>
      </w:tr>
    </w:tbl>
    <w:p w:rsidR="00DE68EB" w:rsidP="00B36B2A">
      <w:pPr>
        <w:pStyle w:val="BodyText"/>
      </w:pPr>
    </w:p>
    <w:p w:rsidR="00DE68EB" w:rsidP="00B36B2A">
      <w:pPr>
        <w:pStyle w:val="BodyText"/>
      </w:pPr>
    </w:p>
    <w:p w:rsidR="00000000" w:rsidRPr="00B36B2A" w:rsidP="00B36B2A">
      <w:pPr>
        <w:pStyle w:val="Heading1"/>
      </w:pPr>
      <w:bookmarkStart w:id="12" w:name="O_296431"/>
      <w:bookmarkEnd w:id="12"/>
      <w:r w:rsidRPr="00B36B2A">
        <w:t>Unit Sector(s)</w:t>
      </w:r>
    </w:p>
    <w:p w:rsidR="00000000" w:rsidRPr="00B36B2A" w:rsidP="00B36B2A">
      <w:pPr>
        <w:pStyle w:val="BodyText"/>
      </w:pPr>
      <w:r w:rsidRPr="00B36B2A">
        <w:t>Not Applicable</w:t>
      </w:r>
    </w:p>
    <w:p w:rsidR="00000000" w:rsidRPr="00B36B2A" w:rsidP="00B36B2A">
      <w:pPr>
        <w:pStyle w:val="AllowPageBreak"/>
      </w:pPr>
    </w:p>
    <w:p w:rsidR="00000000" w:rsidRPr="00B36B2A" w:rsidP="00B36B2A">
      <w:pPr>
        <w:pStyle w:val="Heading1"/>
      </w:pPr>
      <w:bookmarkStart w:id="13" w:name="O_226918"/>
      <w:bookmarkEnd w:id="13"/>
      <w:r w:rsidRPr="00B36B2A">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DE68EB">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B36B2A" w:rsidP="00B36B2A">
            <w:pPr>
              <w:pStyle w:val="BodyText"/>
            </w:pPr>
            <w:r w:rsidRPr="00B36B2A">
              <w:rPr>
                <w:rStyle w:val="SpecialBold"/>
              </w:rPr>
              <w:t>2</w:t>
            </w:r>
            <w:r w:rsidRPr="00B36B2A">
              <w:t>.</w:t>
            </w:r>
            <w:r w:rsidRPr="00B36B2A">
              <w:rPr>
                <w:rStyle w:val="SpecialBold"/>
              </w:rPr>
              <w:t>2</w:t>
            </w:r>
            <w:r w:rsidRPr="00B36B2A">
              <w:t xml:space="preserve">) </w:t>
            </w:r>
            <w:r w:rsidRPr="00B36B2A">
              <w:rPr>
                <w:rStyle w:val="SpecialBold"/>
              </w:rPr>
              <w:t>Literacy</w:t>
            </w:r>
            <w:r w:rsidRPr="00B36B2A">
              <w:rPr>
                <w:rStyle w:val="SpecialBold"/>
              </w:rPr>
              <w:t xml:space="preserve"> and numeracy skills</w:t>
            </w:r>
          </w:p>
          <w:p w:rsidR="00000000" w:rsidP="00B36B2A">
            <w:pPr>
              <w:pStyle w:val="BodyText"/>
              <w:rPr>
                <w:lang w:val="en-NZ"/>
              </w:rPr>
            </w:pPr>
            <w:r w:rsidRPr="00B36B2A">
              <w:t>Participants are best equipped to achieve competency in this unit if they have reading, writing and numeracy skills indicated by the following scales. Description of each scale is given in Volume 2, Part 3 'Literacy and Numeracy'</w:t>
            </w:r>
          </w:p>
        </w:tc>
      </w:tr>
      <w:tr w:rsidTr="00DE68EB">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B36B2A">
            <w:pPr>
              <w:pStyle w:val="BodyText"/>
              <w:rPr>
                <w:lang w:val="en-NZ"/>
              </w:rPr>
            </w:pPr>
            <w:r w:rsidRPr="00B36B2A">
              <w:t>Reading</w:t>
            </w:r>
          </w:p>
        </w:tc>
        <w:tc>
          <w:tcPr>
            <w:tcW w:w="1182" w:type="dxa"/>
            <w:tcBorders>
              <w:top w:val="nil"/>
              <w:left w:val="nil"/>
              <w:bottom w:val="nil"/>
              <w:right w:val="nil"/>
            </w:tcBorders>
            <w:tcMar>
              <w:top w:w="0" w:type="dxa"/>
              <w:left w:w="62" w:type="dxa"/>
              <w:bottom w:w="0" w:type="dxa"/>
              <w:right w:w="62" w:type="dxa"/>
            </w:tcMar>
          </w:tcPr>
          <w:p w:rsidR="00000000" w:rsidP="00B36B2A">
            <w:pPr>
              <w:pStyle w:val="BodyText"/>
              <w:rPr>
                <w:lang w:val="en-NZ"/>
              </w:rPr>
            </w:pPr>
            <w:r w:rsidRPr="00B36B2A">
              <w:t>4</w:t>
            </w:r>
          </w:p>
        </w:tc>
        <w:tc>
          <w:tcPr>
            <w:tcW w:w="1739" w:type="dxa"/>
            <w:tcBorders>
              <w:top w:val="nil"/>
              <w:left w:val="nil"/>
              <w:bottom w:val="nil"/>
              <w:right w:val="nil"/>
            </w:tcBorders>
            <w:tcMar>
              <w:top w:w="0" w:type="dxa"/>
              <w:left w:w="62" w:type="dxa"/>
              <w:bottom w:w="0" w:type="dxa"/>
              <w:right w:w="62" w:type="dxa"/>
            </w:tcMar>
          </w:tcPr>
          <w:p w:rsidR="00000000" w:rsidP="00B36B2A">
            <w:pPr>
              <w:pStyle w:val="BodyText"/>
              <w:rPr>
                <w:lang w:val="en-NZ"/>
              </w:rPr>
            </w:pPr>
            <w:r w:rsidRPr="00B36B2A">
              <w:t>Writing</w:t>
            </w:r>
          </w:p>
        </w:tc>
        <w:tc>
          <w:tcPr>
            <w:tcW w:w="1182" w:type="dxa"/>
            <w:tcBorders>
              <w:top w:val="nil"/>
              <w:left w:val="nil"/>
              <w:bottom w:val="nil"/>
              <w:right w:val="nil"/>
            </w:tcBorders>
            <w:tcMar>
              <w:top w:w="0" w:type="dxa"/>
              <w:left w:w="62" w:type="dxa"/>
              <w:bottom w:w="0" w:type="dxa"/>
              <w:right w:w="62" w:type="dxa"/>
            </w:tcMar>
          </w:tcPr>
          <w:p w:rsidR="00000000" w:rsidP="00B36B2A">
            <w:pPr>
              <w:pStyle w:val="BodyText"/>
              <w:rPr>
                <w:lang w:val="en-NZ"/>
              </w:rPr>
            </w:pPr>
            <w:r w:rsidRPr="00B36B2A">
              <w:t>4</w:t>
            </w:r>
          </w:p>
        </w:tc>
        <w:tc>
          <w:tcPr>
            <w:tcW w:w="1721" w:type="dxa"/>
            <w:tcBorders>
              <w:top w:val="nil"/>
              <w:left w:val="nil"/>
              <w:bottom w:val="nil"/>
              <w:right w:val="nil"/>
            </w:tcBorders>
            <w:tcMar>
              <w:top w:w="0" w:type="dxa"/>
              <w:left w:w="62" w:type="dxa"/>
              <w:bottom w:w="0" w:type="dxa"/>
              <w:right w:w="62" w:type="dxa"/>
            </w:tcMar>
          </w:tcPr>
          <w:p w:rsidR="00000000" w:rsidP="00B36B2A">
            <w:pPr>
              <w:pStyle w:val="BodyText"/>
              <w:rPr>
                <w:lang w:val="en-NZ"/>
              </w:rPr>
            </w:pPr>
            <w:r w:rsidRPr="00B36B2A">
              <w:t>Numeracy</w:t>
            </w:r>
          </w:p>
        </w:tc>
        <w:tc>
          <w:tcPr>
            <w:tcW w:w="1182" w:type="dxa"/>
            <w:tcBorders>
              <w:top w:val="nil"/>
              <w:left w:val="nil"/>
              <w:bottom w:val="nil"/>
              <w:right w:val="nil"/>
            </w:tcBorders>
            <w:tcMar>
              <w:top w:w="0" w:type="dxa"/>
              <w:left w:w="62" w:type="dxa"/>
              <w:bottom w:w="0" w:type="dxa"/>
              <w:right w:w="62" w:type="dxa"/>
            </w:tcMar>
          </w:tcPr>
          <w:p w:rsidR="00000000" w:rsidRPr="00B36B2A" w:rsidP="00B36B2A">
            <w:pPr>
              <w:pStyle w:val="BodyText"/>
            </w:pPr>
            <w:r w:rsidRPr="00B36B2A">
              <w:t>4</w:t>
            </w:r>
          </w:p>
        </w:tc>
      </w:tr>
    </w:tbl>
    <w:p w:rsidR="00DE68EB" w:rsidP="00B36B2A">
      <w:pPr>
        <w:pStyle w:val="BodyText"/>
      </w:pPr>
    </w:p>
    <w:p w:rsidR="00DE68EB" w:rsidP="00B36B2A">
      <w:pPr>
        <w:pStyle w:val="BodyText"/>
      </w:pPr>
    </w:p>
    <w:p w:rsidR="00000000" w:rsidRPr="00B36B2A" w:rsidP="00B36B2A">
      <w:pPr>
        <w:pStyle w:val="Heading1"/>
      </w:pPr>
      <w:bookmarkStart w:id="14" w:name="O_226921"/>
      <w:bookmarkEnd w:id="14"/>
      <w:r w:rsidRPr="00B36B2A">
        <w:t>2.2) Literacy and numeracy skills</w:t>
      </w:r>
    </w:p>
    <w:tbl>
      <w:tblPr>
        <w:tblW w:w="0" w:type="auto"/>
        <w:tblLayout w:type="fixed"/>
        <w:tblCellMar>
          <w:left w:w="62" w:type="dxa"/>
          <w:right w:w="62" w:type="dxa"/>
        </w:tblCellMar>
        <w:tblLook w:val="0000"/>
      </w:tblPr>
      <w:tblGrid>
        <w:gridCol w:w="2700"/>
        <w:gridCol w:w="5760"/>
      </w:tblGrid>
      <w:tr w:rsidTr="00DE68E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36B2A" w:rsidP="00B36B2A">
            <w:pPr>
              <w:pStyle w:val="BodyText"/>
            </w:pPr>
            <w:r w:rsidRPr="00B36B2A">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B36B2A">
            <w:pPr>
              <w:pStyle w:val="BodyText"/>
              <w:rPr>
                <w:lang w:val="en-NZ"/>
              </w:rPr>
            </w:pPr>
            <w:r w:rsidRPr="00B36B2A">
              <w:rPr>
                <w:rStyle w:val="SpecialBold"/>
              </w:rPr>
              <w:t>5</w:t>
            </w:r>
            <w:r w:rsidRPr="00B36B2A">
              <w:t>)</w:t>
            </w:r>
          </w:p>
        </w:tc>
      </w:tr>
      <w:tr w:rsidTr="00DE68E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36B2A" w:rsidP="00B36B2A">
            <w:pPr>
              <w:pStyle w:val="BodyText"/>
            </w:pPr>
            <w:r w:rsidRPr="00B36B2A">
              <w:t>Electronics</w:t>
            </w:r>
          </w:p>
        </w:tc>
      </w:tr>
    </w:tbl>
    <w:p w:rsidR="00DE68EB" w:rsidP="00B36B2A">
      <w:pPr>
        <w:pStyle w:val="BodyText"/>
      </w:pPr>
    </w:p>
    <w:p w:rsidR="00DE68EB" w:rsidP="00B36B2A">
      <w:pPr>
        <w:pStyle w:val="BodyText"/>
      </w:pPr>
    </w:p>
    <w:p w:rsidR="00000000" w:rsidRPr="00B36B2A" w:rsidP="00B36B2A"/>
    <w:sectPr w:rsidSect="00B36B2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6B2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E68EB" w:rsidP="00DE68E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6B2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8EB" w:rsidP="00B36B2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DE68EB" w:rsidP="00B36B2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DE68EB" w:rsidP="00B36B2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6B2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E68EB" w:rsidP="00DE68E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6B2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8EB" w:rsidP="00B36B2A">
    <w:pPr>
      <w:pStyle w:val="Header"/>
      <w:framePr w:wrap="around"/>
    </w:pPr>
    <w:r>
      <w:fldChar w:fldCharType="begin"/>
    </w:r>
    <w:r>
      <w:instrText xml:space="preserve"> TITLE   \* MERGEFORMAT </w:instrText>
    </w:r>
    <w:r>
      <w:fldChar w:fldCharType="separate"/>
    </w:r>
    <w:r>
      <w:t>UEENEEH054B Program and commission commercial security alarm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E68EB" w:rsidP="00B36B2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6C684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2B64A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100A1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6B2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36B2A"/>
    <w:pPr>
      <w:spacing w:before="360" w:after="60"/>
      <w:outlineLvl w:val="0"/>
    </w:pPr>
    <w:rPr>
      <w:sz w:val="32"/>
    </w:rPr>
  </w:style>
  <w:style w:type="paragraph" w:styleId="Heading2">
    <w:name w:val="heading 2"/>
    <w:basedOn w:val="HeadingBase"/>
    <w:next w:val="BodyText"/>
    <w:link w:val="Heading2Char"/>
    <w:qFormat/>
    <w:rsid w:val="00B36B2A"/>
    <w:pPr>
      <w:keepLines/>
      <w:spacing w:before="240" w:after="120"/>
      <w:outlineLvl w:val="1"/>
    </w:pPr>
    <w:rPr>
      <w:sz w:val="28"/>
      <w:szCs w:val="40"/>
    </w:rPr>
  </w:style>
  <w:style w:type="paragraph" w:styleId="Heading3">
    <w:name w:val="heading 3"/>
    <w:basedOn w:val="HeadingBase"/>
    <w:next w:val="BodyText"/>
    <w:link w:val="Heading3Char"/>
    <w:qFormat/>
    <w:rsid w:val="00B36B2A"/>
    <w:pPr>
      <w:spacing w:before="180" w:after="120"/>
      <w:outlineLvl w:val="2"/>
    </w:pPr>
    <w:rPr>
      <w:spacing w:val="-10"/>
      <w:kern w:val="32"/>
    </w:rPr>
  </w:style>
  <w:style w:type="paragraph" w:styleId="Heading4">
    <w:name w:val="heading 4"/>
    <w:basedOn w:val="HeadingBase"/>
    <w:next w:val="BodyText"/>
    <w:link w:val="Heading4Char"/>
    <w:qFormat/>
    <w:rsid w:val="00B36B2A"/>
    <w:pPr>
      <w:spacing w:before="160" w:after="120"/>
      <w:outlineLvl w:val="3"/>
    </w:pPr>
    <w:rPr>
      <w:sz w:val="22"/>
    </w:rPr>
  </w:style>
  <w:style w:type="paragraph" w:styleId="Heading5">
    <w:name w:val="heading 5"/>
    <w:basedOn w:val="HeadingBase"/>
    <w:next w:val="Normal"/>
    <w:link w:val="Heading5Char"/>
    <w:qFormat/>
    <w:rsid w:val="00B36B2A"/>
    <w:pPr>
      <w:spacing w:before="80"/>
      <w:outlineLvl w:val="4"/>
    </w:pPr>
    <w:rPr>
      <w:color w:val="918585"/>
      <w:sz w:val="20"/>
    </w:rPr>
  </w:style>
  <w:style w:type="paragraph" w:styleId="Heading6">
    <w:name w:val="heading 6"/>
    <w:basedOn w:val="HeadingBase"/>
    <w:next w:val="Normal"/>
    <w:link w:val="Heading6Char"/>
    <w:qFormat/>
    <w:rsid w:val="00B36B2A"/>
    <w:pPr>
      <w:spacing w:before="60"/>
      <w:outlineLvl w:val="5"/>
    </w:pPr>
    <w:rPr>
      <w:color w:val="918585"/>
      <w:sz w:val="20"/>
    </w:rPr>
  </w:style>
  <w:style w:type="paragraph" w:styleId="Heading7">
    <w:name w:val="heading 7"/>
    <w:basedOn w:val="Normal"/>
    <w:next w:val="Normal"/>
    <w:link w:val="Heading7Char"/>
    <w:qFormat/>
    <w:rsid w:val="00B36B2A"/>
    <w:pPr>
      <w:ind w:left="720"/>
      <w:outlineLvl w:val="6"/>
    </w:pPr>
    <w:rPr>
      <w:i/>
    </w:rPr>
  </w:style>
  <w:style w:type="paragraph" w:styleId="Heading8">
    <w:name w:val="heading 8"/>
    <w:basedOn w:val="Normal"/>
    <w:next w:val="Normal"/>
    <w:link w:val="Heading8Char"/>
    <w:qFormat/>
    <w:rsid w:val="00B36B2A"/>
    <w:pPr>
      <w:ind w:left="720"/>
      <w:outlineLvl w:val="7"/>
    </w:pPr>
    <w:rPr>
      <w:i/>
    </w:rPr>
  </w:style>
  <w:style w:type="paragraph" w:styleId="Heading9">
    <w:name w:val="heading 9"/>
    <w:basedOn w:val="Normal"/>
    <w:next w:val="Normal"/>
    <w:link w:val="Heading9Char"/>
    <w:qFormat/>
    <w:rsid w:val="00B36B2A"/>
    <w:pPr>
      <w:ind w:left="720"/>
      <w:outlineLvl w:val="8"/>
    </w:pPr>
    <w:rPr>
      <w:i/>
    </w:rPr>
  </w:style>
  <w:style w:type="character" w:default="1" w:styleId="DefaultParagraphFont">
    <w:name w:val="Default Paragraph Font"/>
    <w:uiPriority w:val="1"/>
    <w:unhideWhenUsed/>
    <w:rsid w:val="00B36B2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36B2A"/>
  </w:style>
  <w:style w:type="character" w:customStyle="1" w:styleId="Heading1Char">
    <w:name w:val="Heading 1 Char"/>
    <w:basedOn w:val="DefaultParagraphFont"/>
    <w:link w:val="Heading1"/>
    <w:rsid w:val="00B36B2A"/>
    <w:rPr>
      <w:rFonts w:ascii="Times New Roman" w:eastAsia="Times New Roman" w:hAnsi="Times New Roman" w:cs="Times New Roman"/>
      <w:b/>
      <w:sz w:val="32"/>
      <w:szCs w:val="20"/>
      <w:lang w:eastAsia="en-US"/>
    </w:rPr>
  </w:style>
  <w:style w:type="paragraph" w:styleId="BodyText">
    <w:name w:val="Body Text"/>
    <w:basedOn w:val="Normal"/>
    <w:link w:val="BodyTextChar"/>
    <w:rsid w:val="00B36B2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36B2A"/>
    <w:rPr>
      <w:rFonts w:ascii="Times New Roman" w:eastAsia="Times New Roman" w:hAnsi="Times New Roman" w:cs="Times New Roman"/>
      <w:sz w:val="24"/>
      <w:lang w:val="en-US" w:eastAsia="en-US"/>
    </w:rPr>
  </w:style>
  <w:style w:type="paragraph" w:styleId="Footer">
    <w:name w:val="footer"/>
    <w:basedOn w:val="Normal"/>
    <w:link w:val="FooterChar"/>
    <w:rsid w:val="00B36B2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36B2A"/>
    <w:rPr>
      <w:rFonts w:ascii="Times New Roman" w:eastAsia="Times New Roman" w:hAnsi="Times New Roman" w:cs="Times New Roman"/>
      <w:sz w:val="16"/>
      <w:lang w:val="en-US" w:eastAsia="en-US"/>
    </w:rPr>
  </w:style>
  <w:style w:type="paragraph" w:styleId="ListBullet">
    <w:name w:val="List Bullet"/>
    <w:basedOn w:val="List"/>
    <w:rsid w:val="00B36B2A"/>
    <w:pPr>
      <w:numPr>
        <w:numId w:val="13"/>
      </w:numPr>
      <w:tabs>
        <w:tab w:val="clear" w:pos="340"/>
      </w:tabs>
      <w:spacing w:before="40" w:after="40"/>
    </w:pPr>
  </w:style>
  <w:style w:type="character" w:customStyle="1" w:styleId="SpecialBold">
    <w:name w:val="Special Bold"/>
    <w:basedOn w:val="DefaultParagraphFont"/>
    <w:rsid w:val="00B36B2A"/>
    <w:rPr>
      <w:b/>
      <w:spacing w:val="0"/>
    </w:rPr>
  </w:style>
  <w:style w:type="paragraph" w:styleId="ListBullet2">
    <w:name w:val="List Bullet 2"/>
    <w:basedOn w:val="List2"/>
    <w:rsid w:val="00B36B2A"/>
    <w:pPr>
      <w:numPr>
        <w:numId w:val="14"/>
      </w:numPr>
      <w:tabs>
        <w:tab w:val="clear" w:pos="680"/>
      </w:tabs>
    </w:pPr>
  </w:style>
  <w:style w:type="paragraph" w:styleId="Header">
    <w:name w:val="header"/>
    <w:basedOn w:val="Normal"/>
    <w:link w:val="HeaderChar"/>
    <w:rsid w:val="00B36B2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36B2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36B2A"/>
    <w:pPr>
      <w:spacing w:before="240" w:after="120"/>
      <w:outlineLvl w:val="0"/>
    </w:pPr>
    <w:rPr>
      <w:rFonts w:ascii="Times New Roman" w:hAnsi="Times New Roman"/>
      <w:b/>
      <w:sz w:val="28"/>
    </w:rPr>
  </w:style>
  <w:style w:type="paragraph" w:customStyle="1" w:styleId="AllowPageBreak">
    <w:name w:val="AllowPageBreak"/>
    <w:rsid w:val="00B36B2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36B2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36B2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36B2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36B2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36B2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36B2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36B2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36B2A"/>
    <w:rPr>
      <w:rFonts w:ascii="Courier New" w:eastAsia="Times New Roman" w:hAnsi="Courier New" w:cs="Times New Roman"/>
      <w:i/>
      <w:szCs w:val="20"/>
      <w:lang w:val="en-US" w:eastAsia="en-US"/>
    </w:rPr>
  </w:style>
  <w:style w:type="paragraph" w:customStyle="1" w:styleId="HeadingBase">
    <w:name w:val="Heading Base"/>
    <w:rsid w:val="00B36B2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36B2A"/>
    <w:pPr>
      <w:tabs>
        <w:tab w:val="right" w:leader="dot" w:pos="9072"/>
      </w:tabs>
      <w:ind w:left="567"/>
    </w:pPr>
    <w:rPr>
      <w:szCs w:val="22"/>
    </w:rPr>
  </w:style>
  <w:style w:type="paragraph" w:customStyle="1" w:styleId="TOCBase">
    <w:name w:val="TOC Base"/>
    <w:rsid w:val="00B36B2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36B2A"/>
    <w:pPr>
      <w:tabs>
        <w:tab w:val="right" w:leader="dot" w:pos="9072"/>
      </w:tabs>
      <w:spacing w:before="40" w:after="40"/>
      <w:ind w:left="284"/>
    </w:pPr>
    <w:rPr>
      <w:rFonts w:ascii="Times New Roman" w:hAnsi="Times New Roman"/>
    </w:rPr>
  </w:style>
  <w:style w:type="paragraph" w:styleId="TOC1">
    <w:name w:val="toc 1"/>
    <w:basedOn w:val="TOCBase"/>
    <w:next w:val="Normal"/>
    <w:rsid w:val="00B36B2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36B2A"/>
    <w:pPr>
      <w:spacing w:before="5040"/>
      <w:jc w:val="center"/>
    </w:pPr>
    <w:rPr>
      <w:sz w:val="48"/>
      <w:szCs w:val="72"/>
      <w:lang w:val="en-US"/>
    </w:rPr>
  </w:style>
  <w:style w:type="character" w:customStyle="1" w:styleId="TitleChar">
    <w:name w:val="Title Char"/>
    <w:basedOn w:val="DefaultParagraphFont"/>
    <w:link w:val="Title"/>
    <w:rsid w:val="00B36B2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36B2A"/>
    <w:pPr>
      <w:tabs>
        <w:tab w:val="left" w:pos="3600"/>
        <w:tab w:val="left" w:pos="3958"/>
      </w:tabs>
    </w:pPr>
  </w:style>
  <w:style w:type="paragraph" w:styleId="List">
    <w:name w:val="List"/>
    <w:basedOn w:val="BodyText"/>
    <w:next w:val="BodyText"/>
    <w:rsid w:val="00B36B2A"/>
    <w:pPr>
      <w:tabs>
        <w:tab w:val="left" w:pos="340"/>
      </w:tabs>
      <w:spacing w:before="60" w:after="60"/>
      <w:ind w:left="340" w:hanging="340"/>
    </w:pPr>
  </w:style>
  <w:style w:type="paragraph" w:customStyle="1" w:styleId="Note">
    <w:name w:val="Note"/>
    <w:basedOn w:val="BodyText"/>
    <w:rsid w:val="00B36B2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36B2A"/>
    <w:pPr>
      <w:framePr w:wrap="auto" w:hAnchor="text" w:y="6049"/>
    </w:pPr>
    <w:rPr>
      <w:color w:val="000000"/>
      <w:sz w:val="40"/>
    </w:rPr>
  </w:style>
  <w:style w:type="paragraph" w:customStyle="1" w:styleId="TOCTitle">
    <w:name w:val="TOCTitle"/>
    <w:basedOn w:val="Heading1"/>
    <w:rsid w:val="00B36B2A"/>
    <w:pPr>
      <w:spacing w:after="240"/>
      <w:jc w:val="center"/>
      <w:outlineLvl w:val="9"/>
    </w:pPr>
    <w:rPr>
      <w:caps/>
    </w:rPr>
  </w:style>
  <w:style w:type="paragraph" w:customStyle="1" w:styleId="Version">
    <w:name w:val="Version"/>
    <w:rsid w:val="00B36B2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36B2A"/>
    <w:pPr>
      <w:keepNext w:val="0"/>
      <w:tabs>
        <w:tab w:val="right" w:pos="4176"/>
      </w:tabs>
      <w:ind w:left="198" w:hanging="198"/>
    </w:pPr>
    <w:rPr>
      <w:rFonts w:ascii="Garamond" w:hAnsi="Garamond"/>
    </w:rPr>
  </w:style>
  <w:style w:type="paragraph" w:styleId="IndexHeading">
    <w:name w:val="index heading"/>
    <w:basedOn w:val="Normal"/>
    <w:next w:val="Index1"/>
    <w:semiHidden/>
    <w:rsid w:val="00B36B2A"/>
    <w:pPr>
      <w:spacing w:before="120" w:after="120"/>
    </w:pPr>
    <w:rPr>
      <w:rFonts w:ascii="Arial" w:hAnsi="Arial"/>
      <w:b/>
      <w:color w:val="918585"/>
      <w:sz w:val="24"/>
    </w:rPr>
  </w:style>
  <w:style w:type="paragraph" w:customStyle="1" w:styleId="Chapter">
    <w:name w:val="Chapter"/>
    <w:basedOn w:val="Normal"/>
    <w:rsid w:val="00B36B2A"/>
    <w:pPr>
      <w:spacing w:before="240"/>
    </w:pPr>
    <w:rPr>
      <w:rFonts w:ascii="Times New Roman" w:hAnsi="Times New Roman"/>
      <w:smallCaps/>
      <w:spacing w:val="80"/>
      <w:sz w:val="28"/>
    </w:rPr>
  </w:style>
  <w:style w:type="paragraph" w:customStyle="1" w:styleId="InChapter">
    <w:name w:val="InChapter"/>
    <w:basedOn w:val="Heading3"/>
    <w:rsid w:val="00B36B2A"/>
    <w:pPr>
      <w:spacing w:after="240"/>
      <w:outlineLvl w:val="9"/>
    </w:pPr>
    <w:rPr>
      <w:noProof/>
    </w:rPr>
  </w:style>
  <w:style w:type="paragraph" w:styleId="Index2">
    <w:name w:val="index 2"/>
    <w:basedOn w:val="Normal"/>
    <w:next w:val="Normal"/>
    <w:semiHidden/>
    <w:rsid w:val="00B36B2A"/>
    <w:pPr>
      <w:tabs>
        <w:tab w:val="right" w:pos="4176"/>
      </w:tabs>
      <w:ind w:left="568" w:hanging="284"/>
    </w:pPr>
    <w:rPr>
      <w:rFonts w:ascii="Garamond" w:hAnsi="Garamond"/>
    </w:rPr>
  </w:style>
  <w:style w:type="paragraph" w:customStyle="1" w:styleId="Byline">
    <w:name w:val="Byline"/>
    <w:rsid w:val="00B36B2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36B2A"/>
    <w:pPr>
      <w:tabs>
        <w:tab w:val="clear" w:pos="3600"/>
        <w:tab w:val="clear" w:pos="3958"/>
      </w:tabs>
      <w:jc w:val="right"/>
    </w:pPr>
  </w:style>
  <w:style w:type="character" w:styleId="Emphasis">
    <w:name w:val="Emphasis"/>
    <w:basedOn w:val="DefaultParagraphFont"/>
    <w:qFormat/>
    <w:rsid w:val="00B36B2A"/>
    <w:rPr>
      <w:i/>
    </w:rPr>
  </w:style>
  <w:style w:type="paragraph" w:styleId="Caption">
    <w:name w:val="caption"/>
    <w:basedOn w:val="BodyText"/>
    <w:next w:val="Normal"/>
    <w:qFormat/>
    <w:rsid w:val="00B36B2A"/>
    <w:pPr>
      <w:framePr w:w="2268" w:hSpace="181" w:vSpace="181" w:wrap="around" w:vAnchor="text" w:hAnchor="page" w:x="1135" w:y="285" w:anchorLock="1"/>
    </w:pPr>
    <w:rPr>
      <w:i/>
    </w:rPr>
  </w:style>
  <w:style w:type="paragraph" w:customStyle="1" w:styleId="MiniTOCTitle">
    <w:name w:val="MiniTOCTitle"/>
    <w:basedOn w:val="Heading4"/>
    <w:rsid w:val="00B36B2A"/>
    <w:pPr>
      <w:spacing w:before="240"/>
      <w:outlineLvl w:val="9"/>
    </w:pPr>
    <w:rPr>
      <w:noProof/>
      <w:sz w:val="24"/>
    </w:rPr>
  </w:style>
  <w:style w:type="paragraph" w:customStyle="1" w:styleId="MiniTOCItem">
    <w:name w:val="MiniTOCItem"/>
    <w:basedOn w:val="ListBullet"/>
    <w:rsid w:val="00B36B2A"/>
    <w:pPr>
      <w:numPr>
        <w:numId w:val="0"/>
      </w:numPr>
      <w:tabs>
        <w:tab w:val="right" w:leader="dot" w:pos="6521"/>
      </w:tabs>
      <w:spacing w:before="0" w:after="0"/>
    </w:pPr>
  </w:style>
  <w:style w:type="paragraph" w:customStyle="1" w:styleId="TOFTitle">
    <w:name w:val="TOFTitle"/>
    <w:basedOn w:val="TOCTitle"/>
    <w:rsid w:val="00B36B2A"/>
  </w:style>
  <w:style w:type="paragraph" w:styleId="TableofFigures">
    <w:name w:val="table of figures"/>
    <w:basedOn w:val="Normal"/>
    <w:next w:val="Normal"/>
    <w:semiHidden/>
    <w:rsid w:val="00B36B2A"/>
    <w:pPr>
      <w:tabs>
        <w:tab w:val="right" w:leader="dot" w:pos="9072"/>
      </w:tabs>
      <w:ind w:left="970" w:hanging="403"/>
    </w:pPr>
    <w:rPr>
      <w:rFonts w:ascii="Times New Roman" w:hAnsi="Times New Roman"/>
      <w:b/>
    </w:rPr>
  </w:style>
  <w:style w:type="paragraph" w:styleId="ListNumber">
    <w:name w:val="List Number"/>
    <w:basedOn w:val="List"/>
    <w:rsid w:val="00B36B2A"/>
    <w:pPr>
      <w:numPr>
        <w:numId w:val="11"/>
      </w:numPr>
    </w:pPr>
  </w:style>
  <w:style w:type="character" w:customStyle="1" w:styleId="WingdingSymbols">
    <w:name w:val="Wingding Symbols"/>
    <w:rsid w:val="00B36B2A"/>
    <w:rPr>
      <w:rFonts w:ascii="Wingdings" w:hAnsi="Wingdings"/>
    </w:rPr>
  </w:style>
  <w:style w:type="paragraph" w:customStyle="1" w:styleId="TableHeading">
    <w:name w:val="Table Heading"/>
    <w:basedOn w:val="HeadingBase"/>
    <w:rsid w:val="00B36B2A"/>
    <w:pPr>
      <w:keepLines/>
      <w:pBdr>
        <w:bottom w:val="single" w:sz="6" w:space="1" w:color="918585"/>
      </w:pBdr>
      <w:spacing w:before="240"/>
    </w:pPr>
  </w:style>
  <w:style w:type="character" w:customStyle="1" w:styleId="HotSpot">
    <w:name w:val="HotSpot"/>
    <w:rsid w:val="00B36B2A"/>
    <w:rPr>
      <w:color w:val="0033CC"/>
      <w:u w:val="none"/>
    </w:rPr>
  </w:style>
  <w:style w:type="paragraph" w:customStyle="1" w:styleId="BodyTextRight">
    <w:name w:val="Body Text Right"/>
    <w:basedOn w:val="BodyText"/>
    <w:rsid w:val="00B36B2A"/>
    <w:pPr>
      <w:spacing w:before="0" w:after="0"/>
      <w:jc w:val="right"/>
    </w:pPr>
  </w:style>
  <w:style w:type="paragraph" w:styleId="Index3">
    <w:name w:val="index 3"/>
    <w:basedOn w:val="ListNumber2"/>
    <w:next w:val="Normal"/>
    <w:semiHidden/>
    <w:rsid w:val="00B36B2A"/>
    <w:pPr>
      <w:numPr>
        <w:numId w:val="0"/>
      </w:numPr>
      <w:tabs>
        <w:tab w:val="right" w:leader="dot" w:pos="4176"/>
      </w:tabs>
    </w:pPr>
  </w:style>
  <w:style w:type="paragraph" w:styleId="ListNumber2">
    <w:name w:val="List Number 2"/>
    <w:basedOn w:val="List2"/>
    <w:rsid w:val="00B36B2A"/>
    <w:pPr>
      <w:numPr>
        <w:numId w:val="10"/>
      </w:numPr>
      <w:tabs>
        <w:tab w:val="clear" w:pos="1060"/>
      </w:tabs>
    </w:pPr>
  </w:style>
  <w:style w:type="paragraph" w:customStyle="1" w:styleId="MarginNote">
    <w:name w:val="Margin Note"/>
    <w:basedOn w:val="BodyText"/>
    <w:rsid w:val="00B36B2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36B2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36B2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36B2A"/>
    <w:rPr>
      <w:sz w:val="32"/>
    </w:rPr>
  </w:style>
  <w:style w:type="paragraph" w:customStyle="1" w:styleId="HeadingProcedure">
    <w:name w:val="Heading Procedure"/>
    <w:basedOn w:val="HeadingBase"/>
    <w:next w:val="Normal"/>
    <w:rsid w:val="00B36B2A"/>
    <w:pPr>
      <w:tabs>
        <w:tab w:val="left" w:pos="0"/>
      </w:tabs>
      <w:spacing w:before="120" w:after="60"/>
    </w:pPr>
    <w:rPr>
      <w:i/>
      <w:color w:val="918585"/>
      <w:sz w:val="22"/>
    </w:rPr>
  </w:style>
  <w:style w:type="paragraph" w:customStyle="1" w:styleId="TableBodyText">
    <w:name w:val="Table Body Text"/>
    <w:basedOn w:val="BodyText"/>
    <w:rsid w:val="00B36B2A"/>
    <w:pPr>
      <w:spacing w:before="60" w:after="60"/>
    </w:pPr>
  </w:style>
  <w:style w:type="paragraph" w:styleId="ListContinue">
    <w:name w:val="List Continue"/>
    <w:basedOn w:val="List"/>
    <w:rsid w:val="00B36B2A"/>
    <w:pPr>
      <w:ind w:firstLine="0"/>
    </w:pPr>
  </w:style>
  <w:style w:type="paragraph" w:customStyle="1" w:styleId="ListNote">
    <w:name w:val="List Note"/>
    <w:basedOn w:val="List"/>
    <w:rsid w:val="00B36B2A"/>
    <w:pPr>
      <w:pBdr>
        <w:top w:val="single" w:sz="6" w:space="2" w:color="918585"/>
        <w:bottom w:val="single" w:sz="6" w:space="2" w:color="918585"/>
      </w:pBdr>
      <w:tabs>
        <w:tab w:val="left" w:pos="1021"/>
      </w:tabs>
      <w:ind w:firstLine="0"/>
    </w:pPr>
  </w:style>
  <w:style w:type="paragraph" w:customStyle="1" w:styleId="Warning">
    <w:name w:val="Warning"/>
    <w:basedOn w:val="BodyText"/>
    <w:rsid w:val="00B36B2A"/>
    <w:pPr>
      <w:shd w:val="clear" w:color="auto" w:fill="D9D9D9"/>
      <w:tabs>
        <w:tab w:val="left" w:pos="992"/>
      </w:tabs>
      <w:ind w:left="119" w:right="119"/>
    </w:pPr>
    <w:rPr>
      <w:sz w:val="20"/>
    </w:rPr>
  </w:style>
  <w:style w:type="paragraph" w:customStyle="1" w:styleId="MarginIcons">
    <w:name w:val="Margin Icons"/>
    <w:basedOn w:val="BodyText"/>
    <w:rsid w:val="00B36B2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36B2A"/>
    <w:rPr>
      <w:rFonts w:ascii="Courier New" w:hAnsi="Courier New"/>
    </w:rPr>
  </w:style>
  <w:style w:type="paragraph" w:customStyle="1" w:styleId="NoteBullet">
    <w:name w:val="Note Bullet"/>
    <w:basedOn w:val="Note"/>
    <w:rsid w:val="00B36B2A"/>
    <w:pPr>
      <w:tabs>
        <w:tab w:val="clear" w:pos="680"/>
      </w:tabs>
      <w:spacing w:before="60" w:after="60"/>
    </w:pPr>
  </w:style>
  <w:style w:type="paragraph" w:customStyle="1" w:styleId="SubHeading2">
    <w:name w:val="SubHeading2"/>
    <w:basedOn w:val="HeadingBase"/>
    <w:rsid w:val="00B36B2A"/>
    <w:pPr>
      <w:spacing w:before="240" w:after="60"/>
    </w:pPr>
    <w:rPr>
      <w:sz w:val="20"/>
    </w:rPr>
  </w:style>
  <w:style w:type="paragraph" w:customStyle="1" w:styleId="SubHeading1">
    <w:name w:val="SubHeading1"/>
    <w:basedOn w:val="HeadingBase"/>
    <w:rsid w:val="00B36B2A"/>
    <w:pPr>
      <w:spacing w:before="240" w:after="60"/>
    </w:pPr>
    <w:rPr>
      <w:color w:val="918585"/>
      <w:sz w:val="22"/>
    </w:rPr>
  </w:style>
  <w:style w:type="paragraph" w:customStyle="1" w:styleId="SideHeading">
    <w:name w:val="Side Heading"/>
    <w:basedOn w:val="HeadingBase"/>
    <w:rsid w:val="00B36B2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36B2A"/>
    <w:pPr>
      <w:numPr>
        <w:numId w:val="12"/>
      </w:numPr>
    </w:pPr>
  </w:style>
  <w:style w:type="paragraph" w:styleId="PlainText">
    <w:name w:val="Plain Text"/>
    <w:basedOn w:val="Normal"/>
    <w:link w:val="PlainTextChar"/>
    <w:rsid w:val="00B36B2A"/>
    <w:rPr>
      <w:sz w:val="20"/>
    </w:rPr>
  </w:style>
  <w:style w:type="character" w:customStyle="1" w:styleId="PlainTextChar">
    <w:name w:val="Plain Text Char"/>
    <w:basedOn w:val="DefaultParagraphFont"/>
    <w:link w:val="PlainText"/>
    <w:rsid w:val="00B36B2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36B2A"/>
    <w:rPr>
      <w:b/>
      <w:smallCaps/>
    </w:rPr>
  </w:style>
  <w:style w:type="paragraph" w:customStyle="1" w:styleId="TableListNumber">
    <w:name w:val="Table List Number"/>
    <w:basedOn w:val="ListNumber"/>
    <w:rsid w:val="00B36B2A"/>
    <w:pPr>
      <w:numPr>
        <w:numId w:val="0"/>
      </w:numPr>
    </w:pPr>
  </w:style>
  <w:style w:type="paragraph" w:styleId="TOC4">
    <w:name w:val="toc 4"/>
    <w:basedOn w:val="TOCBase"/>
    <w:next w:val="Normal"/>
    <w:semiHidden/>
    <w:rsid w:val="00B36B2A"/>
    <w:pPr>
      <w:tabs>
        <w:tab w:val="right" w:leader="dot" w:pos="9071"/>
      </w:tabs>
      <w:ind w:left="1701"/>
    </w:pPr>
  </w:style>
  <w:style w:type="paragraph" w:customStyle="1" w:styleId="ListAlpha">
    <w:name w:val="List Alpha"/>
    <w:basedOn w:val="List"/>
    <w:rsid w:val="00B36B2A"/>
    <w:pPr>
      <w:numPr>
        <w:numId w:val="9"/>
      </w:numPr>
    </w:pPr>
  </w:style>
  <w:style w:type="paragraph" w:customStyle="1" w:styleId="ListAlpha2">
    <w:name w:val="List Alpha 2"/>
    <w:basedOn w:val="List2"/>
    <w:rsid w:val="00B36B2A"/>
    <w:pPr>
      <w:numPr>
        <w:numId w:val="8"/>
      </w:numPr>
    </w:pPr>
  </w:style>
  <w:style w:type="paragraph" w:styleId="List2">
    <w:name w:val="List 2"/>
    <w:basedOn w:val="BodyText"/>
    <w:rsid w:val="00B36B2A"/>
    <w:pPr>
      <w:tabs>
        <w:tab w:val="left" w:pos="680"/>
      </w:tabs>
      <w:spacing w:before="60" w:after="60"/>
      <w:ind w:left="680" w:hanging="340"/>
    </w:pPr>
  </w:style>
  <w:style w:type="paragraph" w:styleId="List3">
    <w:name w:val="List 3"/>
    <w:basedOn w:val="BodyText"/>
    <w:rsid w:val="00B36B2A"/>
    <w:pPr>
      <w:tabs>
        <w:tab w:val="left" w:pos="1021"/>
      </w:tabs>
      <w:spacing w:before="60" w:after="60"/>
      <w:ind w:left="1020" w:hanging="340"/>
    </w:pPr>
  </w:style>
  <w:style w:type="paragraph" w:styleId="List4">
    <w:name w:val="List 4"/>
    <w:basedOn w:val="BodyText"/>
    <w:rsid w:val="00B36B2A"/>
    <w:pPr>
      <w:tabs>
        <w:tab w:val="left" w:pos="1361"/>
      </w:tabs>
      <w:spacing w:before="60" w:after="60"/>
      <w:ind w:left="1361" w:hanging="340"/>
    </w:pPr>
  </w:style>
  <w:style w:type="paragraph" w:styleId="List5">
    <w:name w:val="List 5"/>
    <w:basedOn w:val="BodyText"/>
    <w:rsid w:val="00B36B2A"/>
    <w:pPr>
      <w:tabs>
        <w:tab w:val="left" w:pos="1701"/>
      </w:tabs>
      <w:spacing w:before="60" w:after="60"/>
      <w:ind w:left="1701" w:hanging="340"/>
    </w:pPr>
  </w:style>
  <w:style w:type="paragraph" w:styleId="ListBullet3">
    <w:name w:val="List Bullet 3"/>
    <w:basedOn w:val="List3"/>
    <w:rsid w:val="00B36B2A"/>
    <w:pPr>
      <w:numPr>
        <w:numId w:val="15"/>
      </w:numPr>
      <w:tabs>
        <w:tab w:val="clear" w:pos="1021"/>
      </w:tabs>
      <w:ind w:left="1037" w:hanging="357"/>
    </w:pPr>
  </w:style>
  <w:style w:type="paragraph" w:styleId="ListBullet4">
    <w:name w:val="List Bullet 4"/>
    <w:basedOn w:val="List4"/>
    <w:rsid w:val="00B36B2A"/>
    <w:pPr>
      <w:numPr>
        <w:numId w:val="3"/>
      </w:numPr>
    </w:pPr>
  </w:style>
  <w:style w:type="paragraph" w:styleId="ListBullet5">
    <w:name w:val="List Bullet 5"/>
    <w:basedOn w:val="List5"/>
    <w:rsid w:val="00B36B2A"/>
    <w:pPr>
      <w:numPr>
        <w:numId w:val="4"/>
      </w:numPr>
    </w:pPr>
  </w:style>
  <w:style w:type="paragraph" w:styleId="ListContinue2">
    <w:name w:val="List Continue 2"/>
    <w:basedOn w:val="List2"/>
    <w:rsid w:val="00B36B2A"/>
    <w:pPr>
      <w:ind w:firstLine="0"/>
    </w:pPr>
  </w:style>
  <w:style w:type="paragraph" w:styleId="ListContinue3">
    <w:name w:val="List Continue 3"/>
    <w:basedOn w:val="List3"/>
    <w:rsid w:val="00B36B2A"/>
    <w:pPr>
      <w:ind w:left="1021" w:firstLine="0"/>
    </w:pPr>
  </w:style>
  <w:style w:type="paragraph" w:styleId="ListContinue4">
    <w:name w:val="List Continue 4"/>
    <w:basedOn w:val="List4"/>
    <w:rsid w:val="00B36B2A"/>
    <w:pPr>
      <w:ind w:firstLine="0"/>
    </w:pPr>
  </w:style>
  <w:style w:type="paragraph" w:styleId="ListContinue5">
    <w:name w:val="List Continue 5"/>
    <w:basedOn w:val="List5"/>
    <w:rsid w:val="00B36B2A"/>
    <w:pPr>
      <w:ind w:firstLine="0"/>
    </w:pPr>
  </w:style>
  <w:style w:type="paragraph" w:styleId="ListNumber3">
    <w:name w:val="List Number 3"/>
    <w:basedOn w:val="List3"/>
    <w:rsid w:val="00B36B2A"/>
    <w:pPr>
      <w:numPr>
        <w:numId w:val="5"/>
      </w:numPr>
    </w:pPr>
  </w:style>
  <w:style w:type="paragraph" w:styleId="ListNumber4">
    <w:name w:val="List Number 4"/>
    <w:basedOn w:val="List4"/>
    <w:rsid w:val="00B36B2A"/>
    <w:pPr>
      <w:numPr>
        <w:numId w:val="6"/>
      </w:numPr>
    </w:pPr>
  </w:style>
  <w:style w:type="paragraph" w:styleId="ListNumber5">
    <w:name w:val="List Number 5"/>
    <w:basedOn w:val="List5"/>
    <w:rsid w:val="00B36B2A"/>
    <w:pPr>
      <w:numPr>
        <w:numId w:val="7"/>
      </w:numPr>
    </w:pPr>
  </w:style>
  <w:style w:type="paragraph" w:styleId="BlockText">
    <w:name w:val="Block Text"/>
    <w:basedOn w:val="Normal"/>
    <w:rsid w:val="00B36B2A"/>
    <w:pPr>
      <w:spacing w:after="120"/>
      <w:ind w:left="1440" w:right="1440"/>
    </w:pPr>
  </w:style>
  <w:style w:type="character" w:customStyle="1" w:styleId="Subscript">
    <w:name w:val="Subscript"/>
    <w:basedOn w:val="DefaultParagraphFont"/>
    <w:rsid w:val="00B36B2A"/>
    <w:rPr>
      <w:sz w:val="16"/>
      <w:vertAlign w:val="subscript"/>
    </w:rPr>
  </w:style>
  <w:style w:type="character" w:customStyle="1" w:styleId="Superscript">
    <w:name w:val="Superscript"/>
    <w:basedOn w:val="DefaultParagraphFont"/>
    <w:rsid w:val="00B36B2A"/>
    <w:rPr>
      <w:sz w:val="16"/>
      <w:vertAlign w:val="superscript"/>
    </w:rPr>
  </w:style>
  <w:style w:type="character" w:customStyle="1" w:styleId="Symbols">
    <w:name w:val="Symbols"/>
    <w:basedOn w:val="DefaultParagraphFont"/>
    <w:rsid w:val="00B36B2A"/>
    <w:rPr>
      <w:rFonts w:ascii="Symbol" w:hAnsi="Symbol"/>
    </w:rPr>
  </w:style>
  <w:style w:type="character" w:customStyle="1" w:styleId="MenuOptions">
    <w:name w:val="Menu Options"/>
    <w:basedOn w:val="DefaultParagraphFont"/>
    <w:rsid w:val="00B36B2A"/>
    <w:rPr>
      <w:rFonts w:ascii="Arial Narrow" w:hAnsi="Arial Narrow"/>
      <w:smallCaps/>
    </w:rPr>
  </w:style>
  <w:style w:type="character" w:customStyle="1" w:styleId="Buttons">
    <w:name w:val="Buttons"/>
    <w:basedOn w:val="DefaultParagraphFont"/>
    <w:rsid w:val="00B36B2A"/>
    <w:rPr>
      <w:b/>
    </w:rPr>
  </w:style>
  <w:style w:type="character" w:customStyle="1" w:styleId="Underlined">
    <w:name w:val="Underlined"/>
    <w:basedOn w:val="DefaultParagraphFont"/>
    <w:rsid w:val="00B36B2A"/>
    <w:rPr>
      <w:u w:val="single"/>
    </w:rPr>
  </w:style>
  <w:style w:type="paragraph" w:customStyle="1" w:styleId="TableBodyTextRight">
    <w:name w:val="Table Body Text Right"/>
    <w:basedOn w:val="TableBodyText"/>
    <w:rsid w:val="00B36B2A"/>
    <w:pPr>
      <w:widowControl w:val="0"/>
      <w:autoSpaceDE w:val="0"/>
      <w:autoSpaceDN w:val="0"/>
      <w:adjustRightInd w:val="0"/>
      <w:jc w:val="right"/>
    </w:pPr>
    <w:rPr>
      <w:rFonts w:cs="Arial"/>
      <w:szCs w:val="18"/>
    </w:rPr>
  </w:style>
  <w:style w:type="paragraph" w:customStyle="1" w:styleId="CopyrightText">
    <w:name w:val="Copyright Text"/>
    <w:basedOn w:val="BodyText"/>
    <w:rsid w:val="00B36B2A"/>
    <w:rPr>
      <w:sz w:val="18"/>
    </w:rPr>
  </w:style>
  <w:style w:type="paragraph" w:customStyle="1" w:styleId="BodySmallRight">
    <w:name w:val="Body Small Right"/>
    <w:basedOn w:val="BodyTextRight"/>
    <w:rsid w:val="00B36B2A"/>
    <w:rPr>
      <w:sz w:val="18"/>
      <w:szCs w:val="18"/>
    </w:rPr>
  </w:style>
  <w:style w:type="paragraph" w:customStyle="1" w:styleId="MarginEdition">
    <w:name w:val="Margin Edition"/>
    <w:basedOn w:val="MarginNote"/>
    <w:rsid w:val="00B36B2A"/>
    <w:pPr>
      <w:spacing w:before="0" w:after="0"/>
    </w:pPr>
    <w:rPr>
      <w:rFonts w:ascii="Times New Roman" w:hAnsi="Times New Roman"/>
      <w:color w:val="999999"/>
    </w:rPr>
  </w:style>
  <w:style w:type="paragraph" w:customStyle="1" w:styleId="Spacer">
    <w:name w:val="Spacer"/>
    <w:basedOn w:val="Normal"/>
    <w:rsid w:val="00B36B2A"/>
    <w:rPr>
      <w:sz w:val="2"/>
      <w:szCs w:val="2"/>
    </w:rPr>
  </w:style>
  <w:style w:type="character" w:customStyle="1" w:styleId="Small">
    <w:name w:val="Small"/>
    <w:basedOn w:val="DefaultParagraphFont"/>
    <w:rsid w:val="00B36B2A"/>
    <w:rPr>
      <w:sz w:val="16"/>
    </w:rPr>
  </w:style>
  <w:style w:type="paragraph" w:customStyle="1" w:styleId="WideTable">
    <w:name w:val="Wide Table"/>
    <w:basedOn w:val="Normal"/>
    <w:rsid w:val="00B36B2A"/>
    <w:pPr>
      <w:ind w:left="-1418"/>
    </w:pPr>
    <w:rPr>
      <w:sz w:val="2"/>
      <w:szCs w:val="2"/>
    </w:rPr>
  </w:style>
  <w:style w:type="character" w:styleId="PageNumber">
    <w:name w:val="page number"/>
    <w:basedOn w:val="DefaultParagraphFont"/>
    <w:rsid w:val="00B36B2A"/>
  </w:style>
  <w:style w:type="paragraph" w:styleId="Quote">
    <w:name w:val="Quote"/>
    <w:basedOn w:val="Heading1"/>
    <w:link w:val="QuoteChar"/>
    <w:qFormat/>
    <w:rsid w:val="00B36B2A"/>
    <w:rPr>
      <w:b w:val="0"/>
      <w:sz w:val="72"/>
      <w:szCs w:val="72"/>
      <w:lang w:val="en-NZ"/>
    </w:rPr>
  </w:style>
  <w:style w:type="character" w:customStyle="1" w:styleId="QuoteChar">
    <w:name w:val="Quote Char"/>
    <w:basedOn w:val="DefaultParagraphFont"/>
    <w:link w:val="Quote"/>
    <w:rsid w:val="00B36B2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36B2A"/>
    <w:pPr>
      <w:pageBreakBefore/>
    </w:pPr>
  </w:style>
  <w:style w:type="paragraph" w:customStyle="1" w:styleId="Border">
    <w:name w:val="Border"/>
    <w:basedOn w:val="Normal"/>
    <w:qFormat/>
    <w:rsid w:val="00B36B2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36B2A"/>
    <w:rPr>
      <w:b/>
      <w:bCs/>
      <w:i/>
      <w:iCs/>
      <w:color w:val="auto"/>
    </w:rPr>
  </w:style>
  <w:style w:type="paragraph" w:styleId="IntenseQuote">
    <w:name w:val="Intense Quote"/>
    <w:basedOn w:val="Normal"/>
    <w:next w:val="Normal"/>
    <w:link w:val="IntenseQuoteChar"/>
    <w:uiPriority w:val="30"/>
    <w:qFormat/>
    <w:rsid w:val="00B36B2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36B2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36B2A"/>
    <w:rPr>
      <w:smallCaps/>
      <w:color w:val="auto"/>
      <w:u w:val="single"/>
    </w:rPr>
  </w:style>
  <w:style w:type="character" w:styleId="IntenseReference">
    <w:name w:val="Intense Reference"/>
    <w:basedOn w:val="DefaultParagraphFont"/>
    <w:uiPriority w:val="32"/>
    <w:qFormat/>
    <w:rsid w:val="00B36B2A"/>
    <w:rPr>
      <w:b/>
      <w:bCs/>
      <w:smallCaps/>
      <w:color w:val="auto"/>
      <w:spacing w:val="5"/>
      <w:u w:val="single"/>
    </w:rPr>
  </w:style>
  <w:style w:type="paragraph" w:customStyle="1" w:styleId="2ColumnHeading">
    <w:name w:val="2Column Heading"/>
    <w:basedOn w:val="BodyText"/>
    <w:qFormat/>
    <w:rsid w:val="00B36B2A"/>
    <w:pPr>
      <w:spacing w:after="60"/>
      <w:ind w:left="-2268"/>
    </w:pPr>
    <w:rPr>
      <w:b/>
    </w:rPr>
  </w:style>
  <w:style w:type="paragraph" w:customStyle="1" w:styleId="Heading1TOC">
    <w:name w:val="Heading1 TOC"/>
    <w:basedOn w:val="Normal"/>
    <w:qFormat/>
    <w:rsid w:val="00B36B2A"/>
    <w:pPr>
      <w:spacing w:before="240" w:after="120"/>
    </w:pPr>
    <w:rPr>
      <w:rFonts w:ascii="Times New Roman" w:hAnsi="Times New Roman"/>
      <w:b/>
      <w:sz w:val="32"/>
    </w:rPr>
  </w:style>
  <w:style w:type="paragraph" w:customStyle="1" w:styleId="Heading2TOC">
    <w:name w:val="Heading2 TOC"/>
    <w:basedOn w:val="Normal"/>
    <w:qFormat/>
    <w:rsid w:val="00B36B2A"/>
    <w:pPr>
      <w:spacing w:before="240" w:after="60"/>
    </w:pPr>
    <w:rPr>
      <w:rFonts w:ascii="Times New Roman" w:hAnsi="Times New Roman"/>
      <w:b/>
      <w:sz w:val="28"/>
    </w:rPr>
  </w:style>
  <w:style w:type="character" w:customStyle="1" w:styleId="Underline">
    <w:name w:val="Underline"/>
    <w:basedOn w:val="DefaultParagraphFont"/>
    <w:qFormat/>
    <w:rsid w:val="00B36B2A"/>
    <w:rPr>
      <w:u w:val="single"/>
    </w:rPr>
  </w:style>
  <w:style w:type="character" w:customStyle="1" w:styleId="BoldandItalics">
    <w:name w:val="Bold and Italics"/>
    <w:qFormat/>
    <w:rsid w:val="00B36B2A"/>
    <w:rPr>
      <w:b/>
      <w:i/>
      <w:u w:val="none"/>
    </w:rPr>
  </w:style>
  <w:style w:type="paragraph" w:styleId="BalloonText">
    <w:name w:val="Balloon Text"/>
    <w:basedOn w:val="Normal"/>
    <w:link w:val="BalloonTextChar"/>
    <w:rsid w:val="00B36B2A"/>
    <w:rPr>
      <w:rFonts w:ascii="Tahoma" w:hAnsi="Tahoma" w:cs="Tahoma"/>
      <w:sz w:val="16"/>
      <w:szCs w:val="16"/>
    </w:rPr>
  </w:style>
  <w:style w:type="character" w:customStyle="1" w:styleId="BalloonTextChar">
    <w:name w:val="Balloon Text Char"/>
    <w:basedOn w:val="DefaultParagraphFont"/>
    <w:link w:val="BalloonText"/>
    <w:rsid w:val="00B36B2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36B2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36B2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1956</Words>
  <Characters>11685</Characters>
  <Application>Microsoft Office Word</Application>
  <DocSecurity>0</DocSecurity>
  <Lines>441</Lines>
  <Paragraphs>164</Paragraphs>
  <ScaleCrop>false</ScaleCrop>
  <Company>Author-it Software Corporation Ltd.</Company>
  <LinksUpToDate>false</LinksUpToDate>
  <CharactersWithSpaces>13496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UEENEEH054B Program and commission commercial security alarm systems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2012-05-26T11:13:00Z</dcterms:created>
  <dcterms:modified xsi:type="dcterms:W3CDTF">2012-05-26T11:13:00Z</dcterms:modified>
</cp:coreProperties>
</file>