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38F9" w:rsidP="005238F9">
      <w:pPr>
        <w:pStyle w:val="Title"/>
      </w:pPr>
      <w:bookmarkStart w:id="0" w:name="_GoBack"/>
      <w:bookmarkEnd w:id="0"/>
      <w:r>
        <w:fldChar w:fldCharType="begin"/>
      </w:r>
      <w:r>
        <w:instrText xml:space="preserve"> TITLE   \* MERGEFORMAT </w:instrText>
      </w:r>
      <w:r>
        <w:fldChar w:fldCharType="separate"/>
      </w:r>
      <w:r>
        <w:t>UEENEEH033B Diagnose and rectify faults in telecommunication apparatus and systems</w:t>
      </w:r>
      <w:r>
        <w:fldChar w:fldCharType="end"/>
      </w:r>
    </w:p>
    <w:p w:rsidR="005238F9" w:rsidP="005238F9">
      <w:pPr>
        <w:pStyle w:val="Version"/>
        <w:sectPr w:rsidSect="00F1216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2165" w:rsidP="00F12165">
      <w:pPr>
        <w:pStyle w:val="SuperHeading"/>
      </w:pPr>
      <w:r w:rsidRPr="00F12165">
        <w:t>UEENEEH033B Diagnose and rectify faults in telecommunication apparatus and systems</w:t>
      </w:r>
    </w:p>
    <w:p w:rsidR="00000000" w:rsidRPr="00F12165" w:rsidP="00F12165">
      <w:pPr>
        <w:pStyle w:val="Heading1"/>
      </w:pPr>
      <w:bookmarkStart w:id="1" w:name="O_274716"/>
      <w:bookmarkEnd w:id="1"/>
      <w:r w:rsidRPr="00F12165">
        <w:t>Modification History</w:t>
      </w:r>
    </w:p>
    <w:p w:rsidR="00000000" w:rsidRPr="00F12165" w:rsidP="00F12165">
      <w:pPr>
        <w:pStyle w:val="BodyText"/>
      </w:pPr>
      <w:r w:rsidRPr="00F12165">
        <w:t>Not Applicable</w:t>
      </w:r>
    </w:p>
    <w:p w:rsidR="00000000" w:rsidRPr="00F12165" w:rsidP="00F12165">
      <w:pPr>
        <w:pStyle w:val="AllowPageBreak"/>
      </w:pPr>
    </w:p>
    <w:p w:rsidR="00000000" w:rsidRPr="00F12165" w:rsidP="00F12165">
      <w:pPr>
        <w:pStyle w:val="Heading1"/>
      </w:pPr>
      <w:bookmarkStart w:id="2" w:name="O_226768"/>
      <w:bookmarkEnd w:id="2"/>
      <w:r w:rsidRPr="00F12165">
        <w:t>Unit Descriptor</w:t>
      </w:r>
    </w:p>
    <w:tbl>
      <w:tblPr>
        <w:tblW w:w="0" w:type="auto"/>
        <w:tblLayout w:type="fixed"/>
        <w:tblCellMar>
          <w:left w:w="62" w:type="dxa"/>
          <w:right w:w="62" w:type="dxa"/>
        </w:tblCellMar>
        <w:tblLook w:val="0000"/>
      </w:tblPr>
      <w:tblGrid>
        <w:gridCol w:w="2700"/>
        <w:gridCol w:w="5760"/>
      </w:tblGrid>
      <w:tr w:rsidTr="005238F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12165" w:rsidP="00F12165">
            <w:pPr>
              <w:pStyle w:val="BodyText"/>
            </w:pPr>
            <w:r w:rsidRPr="00F12165">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F12165" w:rsidP="00F12165">
            <w:pPr>
              <w:pStyle w:val="BodyText"/>
            </w:pPr>
            <w:r w:rsidRPr="00F12165">
              <w:rPr>
                <w:rStyle w:val="SpecialBold"/>
              </w:rPr>
              <w:t>1</w:t>
            </w:r>
            <w:r w:rsidRPr="00F12165">
              <w:t>)</w:t>
            </w:r>
          </w:p>
          <w:p w:rsidR="00000000" w:rsidP="00F12165">
            <w:pPr>
              <w:pStyle w:val="BodyText"/>
              <w:rPr>
                <w:lang w:val="en-NZ"/>
              </w:rPr>
            </w:pPr>
            <w:r w:rsidRPr="00F12165">
              <w:rPr>
                <w:rStyle w:val="SpecialBold"/>
              </w:rPr>
              <w:t>1</w:t>
            </w:r>
            <w:r w:rsidRPr="00F12165">
              <w:t>.</w:t>
            </w:r>
            <w:r w:rsidRPr="00F12165">
              <w:rPr>
                <w:rStyle w:val="SpecialBold"/>
              </w:rPr>
              <w:t>1</w:t>
            </w:r>
            <w:r w:rsidRPr="00F12165">
              <w:t xml:space="preserve">) </w:t>
            </w:r>
            <w:r w:rsidRPr="00F12165">
              <w:rPr>
                <w:rStyle w:val="SpecialBold"/>
              </w:rPr>
              <w:t>Descriptor</w:t>
            </w:r>
          </w:p>
        </w:tc>
      </w:tr>
      <w:tr w:rsidTr="005238F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12165" w:rsidP="00F12165">
            <w:pPr>
              <w:pStyle w:val="BodyText"/>
            </w:pPr>
            <w:r w:rsidRPr="00F12165">
              <w:t>This unit covers fault diagnosis and rectification in telecommunication apparatus and systems. The unit encompasses safe working practices, interpreting diagrams, applying logical diagnostic methods and knowledge of telecommunication system components, rec</w:t>
            </w:r>
            <w:r w:rsidRPr="00F12165">
              <w:t>tifying faults, safety and functional testing and completing the necessary service documentation.</w:t>
            </w:r>
          </w:p>
        </w:tc>
      </w:tr>
    </w:tbl>
    <w:p w:rsidR="005238F9" w:rsidP="00F12165">
      <w:pPr>
        <w:pStyle w:val="BodyText"/>
      </w:pPr>
    </w:p>
    <w:p w:rsidR="005238F9" w:rsidP="00F12165">
      <w:pPr>
        <w:pStyle w:val="BodyText"/>
      </w:pPr>
    </w:p>
    <w:p w:rsidR="00000000" w:rsidRPr="00F12165" w:rsidP="00F12165">
      <w:pPr>
        <w:pStyle w:val="Heading1"/>
      </w:pPr>
      <w:bookmarkStart w:id="3" w:name="O_226773"/>
      <w:bookmarkEnd w:id="3"/>
      <w:r w:rsidRPr="00F12165">
        <w:t>Application of the Unit</w:t>
      </w:r>
    </w:p>
    <w:tbl>
      <w:tblPr>
        <w:tblW w:w="0" w:type="auto"/>
        <w:tblLayout w:type="fixed"/>
        <w:tblCellMar>
          <w:left w:w="62" w:type="dxa"/>
          <w:right w:w="62" w:type="dxa"/>
        </w:tblCellMar>
        <w:tblLook w:val="0000"/>
      </w:tblPr>
      <w:tblGrid>
        <w:gridCol w:w="2700"/>
        <w:gridCol w:w="5760"/>
      </w:tblGrid>
      <w:tr w:rsidTr="005238F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12165" w:rsidP="00F12165">
            <w:pPr>
              <w:pStyle w:val="BodyText"/>
            </w:pPr>
            <w:r w:rsidRPr="00F12165">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F12165">
            <w:pPr>
              <w:pStyle w:val="BodyText"/>
              <w:rPr>
                <w:lang w:val="en-NZ"/>
              </w:rPr>
            </w:pPr>
            <w:r w:rsidRPr="00F12165">
              <w:rPr>
                <w:rStyle w:val="SpecialBold"/>
              </w:rPr>
              <w:t>4</w:t>
            </w:r>
            <w:r w:rsidRPr="00F12165">
              <w:t>)</w:t>
            </w:r>
          </w:p>
        </w:tc>
      </w:tr>
      <w:tr w:rsidTr="005238F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12165" w:rsidP="00F12165">
            <w:pPr>
              <w:pStyle w:val="BodyText"/>
            </w:pPr>
            <w:r w:rsidRPr="00F12165">
              <w:t>This unit is intended as an additional competency to relevant competencies previously</w:t>
            </w:r>
            <w:r w:rsidRPr="00F12165">
              <w:t xml:space="preserve"> acquired. It is suitable for employment-based programs under an approved contract of training at the aligned AQF 4 level or higher.</w:t>
            </w:r>
          </w:p>
        </w:tc>
      </w:tr>
    </w:tbl>
    <w:p w:rsidR="005238F9" w:rsidP="00F12165">
      <w:pPr>
        <w:pStyle w:val="BodyText"/>
      </w:pPr>
    </w:p>
    <w:p w:rsidR="005238F9" w:rsidP="00F12165">
      <w:pPr>
        <w:pStyle w:val="BodyText"/>
      </w:pPr>
    </w:p>
    <w:p w:rsidR="00000000" w:rsidRPr="00F12165" w:rsidP="00F12165">
      <w:pPr>
        <w:pStyle w:val="Heading1"/>
      </w:pPr>
      <w:bookmarkStart w:id="4" w:name="O_226769"/>
      <w:bookmarkEnd w:id="4"/>
      <w:r w:rsidRPr="00F12165">
        <w:t>Licensing/Regulatory Information</w:t>
      </w:r>
    </w:p>
    <w:tbl>
      <w:tblPr>
        <w:tblW w:w="0" w:type="auto"/>
        <w:tblLayout w:type="fixed"/>
        <w:tblCellMar>
          <w:left w:w="62" w:type="dxa"/>
          <w:right w:w="62" w:type="dxa"/>
        </w:tblCellMar>
        <w:tblLook w:val="0000"/>
      </w:tblPr>
      <w:tblGrid>
        <w:gridCol w:w="8460"/>
      </w:tblGrid>
      <w:tr w:rsidTr="005238F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12165">
            <w:pPr>
              <w:pStyle w:val="BodyText"/>
              <w:rPr>
                <w:lang w:val="en-NZ"/>
              </w:rPr>
            </w:pPr>
            <w:r w:rsidRPr="00F12165">
              <w:rPr>
                <w:rStyle w:val="SpecialBold"/>
              </w:rPr>
              <w:t>1</w:t>
            </w:r>
            <w:r w:rsidRPr="00F12165">
              <w:t>.</w:t>
            </w:r>
            <w:r w:rsidRPr="00F12165">
              <w:rPr>
                <w:rStyle w:val="SpecialBold"/>
              </w:rPr>
              <w:t>2</w:t>
            </w:r>
            <w:r w:rsidRPr="00F12165">
              <w:t xml:space="preserve">) </w:t>
            </w:r>
            <w:r w:rsidRPr="00F12165">
              <w:rPr>
                <w:rStyle w:val="SpecialBold"/>
              </w:rPr>
              <w:t>License to practice</w:t>
            </w:r>
          </w:p>
        </w:tc>
      </w:tr>
      <w:tr w:rsidTr="005238F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12165" w:rsidP="00F12165">
            <w:pPr>
              <w:pStyle w:val="BodyText"/>
            </w:pPr>
            <w:r w:rsidRPr="00F12165">
              <w:t>The skil</w:t>
            </w:r>
            <w:r w:rsidRPr="00F12165">
              <w:t>ls and knowledge described in this unit require a license to practice in the workplace where plant and equipment operate at voltage above 50 V a.c. or 120 V d.c. However other conditions may apply in some jurisdictions subject to regulations related to ele</w:t>
            </w:r>
            <w:r w:rsidRPr="00F12165">
              <w:t>ctrical work. Practice in the workplace and during training is also subject to regulations directly related to occupational health and safety and where applicable contracts of training such as apprenticeships.</w:t>
            </w:r>
          </w:p>
          <w:p w:rsidR="00000000" w:rsidRPr="00F12165" w:rsidP="00F12165">
            <w:pPr>
              <w:pStyle w:val="BodyText"/>
            </w:pPr>
            <w:r w:rsidRPr="00F12165">
              <w:t>Note:</w:t>
            </w:r>
            <w:r w:rsidRPr="00F12165">
              <w:br/>
              <w:t>1. Compliance with permits may be requir</w:t>
            </w:r>
            <w:r w:rsidRPr="00F12165">
              <w:t>ed in various jurisdictions and typically relates to the operation of plant, machinery and equipment such as elevating work platforms, powder operated fixing tools, power operated tools, vehicles, road signage and traffic control, lifting equipment and the</w:t>
            </w:r>
            <w:r w:rsidRPr="00F12165">
              <w:t xml:space="preserve"> like. Permits may also be required for some work environments such as confined spaces, working aloft, near live electrical apparatus and site rehabilitation.</w:t>
            </w:r>
            <w:r w:rsidRPr="00F12165">
              <w:br/>
              <w:t>2. Compliance may be required in various jurisdictions relating to currency in First Aid, confine</w:t>
            </w:r>
            <w:r w:rsidRPr="00F12165">
              <w:t>d space, lifting and risk safety measures.</w:t>
            </w:r>
          </w:p>
        </w:tc>
      </w:tr>
    </w:tbl>
    <w:p w:rsidR="005238F9" w:rsidP="00F12165">
      <w:pPr>
        <w:pStyle w:val="BodyText"/>
      </w:pPr>
    </w:p>
    <w:p w:rsidR="005238F9" w:rsidP="00F12165">
      <w:pPr>
        <w:pStyle w:val="BodyText"/>
      </w:pPr>
    </w:p>
    <w:p w:rsidR="00000000" w:rsidRPr="00F12165" w:rsidP="00F12165">
      <w:pPr>
        <w:pStyle w:val="Heading1"/>
      </w:pPr>
      <w:bookmarkStart w:id="5" w:name="O_226770"/>
      <w:bookmarkEnd w:id="5"/>
      <w:r w:rsidRPr="00F12165">
        <w:t>Pre-Requisites</w:t>
      </w:r>
    </w:p>
    <w:tbl>
      <w:tblPr>
        <w:tblW w:w="0" w:type="auto"/>
        <w:tblLayout w:type="fixed"/>
        <w:tblCellMar>
          <w:left w:w="62" w:type="dxa"/>
          <w:right w:w="62" w:type="dxa"/>
        </w:tblCellMar>
        <w:tblLook w:val="0000"/>
      </w:tblPr>
      <w:tblGrid>
        <w:gridCol w:w="2700"/>
        <w:gridCol w:w="5760"/>
      </w:tblGrid>
      <w:tr w:rsidTr="005238F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12165" w:rsidP="00F12165">
            <w:pPr>
              <w:pStyle w:val="BodyText"/>
            </w:pPr>
            <w:r w:rsidRPr="00F12165">
              <w:rPr>
                <w:rStyle w:val="SpecialBold"/>
              </w:rPr>
              <w:t>Prerequisite Unit</w:t>
            </w:r>
            <w:r w:rsidRPr="00F12165">
              <w:t>(</w:t>
            </w:r>
            <w:r w:rsidRPr="00F12165">
              <w:rPr>
                <w:rStyle w:val="SpecialBold"/>
              </w:rPr>
              <w:t>s</w:t>
            </w:r>
            <w:r w:rsidRPr="00F12165">
              <w:t>)</w:t>
            </w:r>
          </w:p>
        </w:tc>
        <w:tc>
          <w:tcPr>
            <w:tcW w:w="5760" w:type="dxa"/>
            <w:tcBorders>
              <w:top w:val="nil"/>
              <w:left w:val="nil"/>
              <w:bottom w:val="nil"/>
              <w:right w:val="nil"/>
            </w:tcBorders>
            <w:tcMar>
              <w:top w:w="0" w:type="dxa"/>
              <w:left w:w="62" w:type="dxa"/>
              <w:bottom w:w="0" w:type="dxa"/>
              <w:right w:w="62" w:type="dxa"/>
            </w:tcMar>
          </w:tcPr>
          <w:p w:rsidR="00000000" w:rsidP="00F12165">
            <w:pPr>
              <w:pStyle w:val="BodyText"/>
              <w:rPr>
                <w:lang w:val="en-NZ"/>
              </w:rPr>
            </w:pPr>
            <w:r w:rsidRPr="00F12165">
              <w:rPr>
                <w:rStyle w:val="SpecialBold"/>
              </w:rPr>
              <w:t>2</w:t>
            </w:r>
            <w:r w:rsidRPr="00F12165">
              <w:t>)</w:t>
            </w:r>
          </w:p>
        </w:tc>
      </w:tr>
      <w:tr w:rsidTr="005238F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12165">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F12165">
            <w:pPr>
              <w:pStyle w:val="BodyText"/>
              <w:rPr>
                <w:lang w:val="en-NZ"/>
              </w:rPr>
            </w:pPr>
            <w:r w:rsidRPr="00F12165">
              <w:rPr>
                <w:rStyle w:val="SpecialBold"/>
              </w:rPr>
              <w:t>2</w:t>
            </w:r>
            <w:r w:rsidRPr="00F12165">
              <w:t>.</w:t>
            </w:r>
            <w:r w:rsidRPr="00F12165">
              <w:rPr>
                <w:rStyle w:val="SpecialBold"/>
              </w:rPr>
              <w:t>1</w:t>
            </w:r>
            <w:r w:rsidRPr="00F12165">
              <w:t xml:space="preserve">) </w:t>
            </w:r>
            <w:r w:rsidRPr="00F12165">
              <w:rPr>
                <w:rStyle w:val="SpecialBold"/>
              </w:rPr>
              <w:t>Competencies</w:t>
            </w:r>
          </w:p>
        </w:tc>
      </w:tr>
      <w:tr w:rsidTr="005238F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12165" w:rsidP="00F12165">
            <w:pPr>
              <w:pStyle w:val="BodyText"/>
            </w:pPr>
            <w:r w:rsidRPr="00F12165">
              <w:t>Granting competency in this unit shall be made only after competency in the following unit(s) has/have been confirmed.</w:t>
            </w:r>
          </w:p>
          <w:p w:rsidR="00000000" w:rsidRPr="00F12165" w:rsidP="00F12165">
            <w:pPr>
              <w:pStyle w:val="BodyText"/>
            </w:pPr>
            <w:r w:rsidRPr="00F12165">
              <w:t>UEENEEH012B Troubleshoot digital subsystems</w:t>
            </w:r>
          </w:p>
          <w:p w:rsidR="00000000" w:rsidRPr="00F12165" w:rsidP="00F12165">
            <w:pPr>
              <w:pStyle w:val="BodyText"/>
            </w:pPr>
            <w:r w:rsidRPr="00F12165">
              <w:t>UEENEEH013B Troubleshoot amplifiers</w:t>
            </w:r>
          </w:p>
          <w:p w:rsidR="00000000" w:rsidRPr="00F12165" w:rsidP="00F12165">
            <w:pPr>
              <w:pStyle w:val="BodyText"/>
            </w:pPr>
            <w:r w:rsidRPr="00F12165">
              <w:t>UEENEEH015B Develop software solutions in microprocessor based systems</w:t>
            </w:r>
          </w:p>
          <w:p w:rsidR="00000000" w:rsidRPr="00F12165" w:rsidP="00F12165">
            <w:pPr>
              <w:pStyle w:val="BodyText"/>
            </w:pPr>
            <w:r w:rsidRPr="00F12165">
              <w:t>For the full prerequisite chain details for this unit please refer to Table 2 in Volume 1, Part 2</w:t>
            </w:r>
          </w:p>
        </w:tc>
      </w:tr>
    </w:tbl>
    <w:p w:rsidR="005238F9" w:rsidP="00F12165">
      <w:pPr>
        <w:pStyle w:val="BodyText"/>
      </w:pPr>
    </w:p>
    <w:p w:rsidR="005238F9" w:rsidP="00F12165">
      <w:pPr>
        <w:pStyle w:val="BodyText"/>
      </w:pPr>
    </w:p>
    <w:p w:rsidR="00000000" w:rsidRPr="00F12165" w:rsidP="00F12165">
      <w:pPr>
        <w:pStyle w:val="Heading1"/>
      </w:pPr>
      <w:bookmarkStart w:id="6" w:name="O_226772"/>
      <w:bookmarkEnd w:id="6"/>
      <w:r w:rsidRPr="00F12165">
        <w:t>Employability Skills Information</w:t>
      </w:r>
    </w:p>
    <w:tbl>
      <w:tblPr>
        <w:tblW w:w="0" w:type="auto"/>
        <w:tblLayout w:type="fixed"/>
        <w:tblCellMar>
          <w:left w:w="62" w:type="dxa"/>
          <w:right w:w="62" w:type="dxa"/>
        </w:tblCellMar>
        <w:tblLook w:val="0000"/>
      </w:tblPr>
      <w:tblGrid>
        <w:gridCol w:w="2700"/>
        <w:gridCol w:w="5760"/>
      </w:tblGrid>
      <w:tr w:rsidTr="005238F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12165" w:rsidP="00F12165">
            <w:pPr>
              <w:pStyle w:val="BodyText"/>
            </w:pPr>
            <w:r w:rsidRPr="00F12165">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F12165" w:rsidP="00F12165">
            <w:pPr>
              <w:pStyle w:val="BodyText"/>
            </w:pPr>
            <w:r w:rsidRPr="00F12165">
              <w:rPr>
                <w:rStyle w:val="SpecialBold"/>
              </w:rPr>
              <w:t>3</w:t>
            </w:r>
            <w:r w:rsidRPr="00F12165">
              <w:t>)</w:t>
            </w:r>
          </w:p>
          <w:p w:rsidR="00000000" w:rsidRPr="00F12165" w:rsidP="00F12165">
            <w:pPr>
              <w:pStyle w:val="BodyText"/>
            </w:pPr>
            <w:r w:rsidRPr="00F12165">
              <w:t>This unit contains Employability Skills</w:t>
            </w:r>
          </w:p>
          <w:p w:rsidR="00000000" w:rsidRPr="00F12165" w:rsidP="00F12165">
            <w:pPr>
              <w:pStyle w:val="BodyText"/>
            </w:pPr>
            <w:r w:rsidRPr="00F12165">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F12165">
              <w:t>requirements.</w:t>
            </w:r>
          </w:p>
        </w:tc>
      </w:tr>
    </w:tbl>
    <w:p w:rsidR="005238F9" w:rsidP="00F12165">
      <w:pPr>
        <w:pStyle w:val="BodyText"/>
      </w:pPr>
    </w:p>
    <w:p w:rsidR="005238F9" w:rsidP="00F12165">
      <w:pPr>
        <w:pStyle w:val="BodyText"/>
      </w:pPr>
    </w:p>
    <w:p w:rsidR="00000000" w:rsidRPr="00F12165" w:rsidP="00F12165">
      <w:pPr>
        <w:pStyle w:val="Heading1"/>
      </w:pPr>
      <w:bookmarkStart w:id="7" w:name="O_292762"/>
      <w:bookmarkEnd w:id="7"/>
      <w:r w:rsidRPr="00F12165">
        <w:t>Elements and Performance Criteria Pre-Content</w:t>
      </w:r>
    </w:p>
    <w:tbl>
      <w:tblPr>
        <w:tblW w:w="0" w:type="auto"/>
        <w:tblLayout w:type="fixed"/>
        <w:tblCellMar>
          <w:left w:w="62" w:type="dxa"/>
          <w:right w:w="62" w:type="dxa"/>
        </w:tblCellMar>
        <w:tblLook w:val="0000"/>
      </w:tblPr>
      <w:tblGrid>
        <w:gridCol w:w="2700"/>
        <w:gridCol w:w="5760"/>
      </w:tblGrid>
      <w:tr w:rsidTr="005238F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12165">
            <w:pPr>
              <w:pStyle w:val="BodyText"/>
              <w:rPr>
                <w:lang w:val="en-NZ"/>
              </w:rPr>
            </w:pPr>
            <w:r w:rsidRPr="00F12165">
              <w:rPr>
                <w:rStyle w:val="SpecialBold"/>
              </w:rPr>
              <w:t>6</w:t>
            </w:r>
            <w:r w:rsidRPr="00F12165">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F12165" w:rsidP="00F12165">
            <w:pPr>
              <w:pStyle w:val="BodyText"/>
            </w:pPr>
            <w:r w:rsidRPr="00F12165">
              <w:t>Performance criteria describe the required performance needed to demonstrate achievement of the Element. Ass</w:t>
            </w:r>
            <w:r w:rsidRPr="00F12165">
              <w:t>essment of performance is to be consistent with the evidence guide.</w:t>
            </w:r>
          </w:p>
        </w:tc>
      </w:tr>
    </w:tbl>
    <w:p w:rsidR="00000000" w:rsidRPr="00F12165" w:rsidP="00F12165">
      <w:pPr>
        <w:pStyle w:val="BodyText"/>
      </w:pPr>
    </w:p>
    <w:p w:rsidR="00000000" w:rsidRPr="00F12165" w:rsidP="00F12165">
      <w:pPr>
        <w:pStyle w:val="AllowPageBreak"/>
      </w:pPr>
    </w:p>
    <w:p w:rsidR="00000000" w:rsidRPr="00F12165" w:rsidP="00F12165">
      <w:pPr>
        <w:pStyle w:val="Heading1"/>
      </w:pPr>
      <w:bookmarkStart w:id="8" w:name="O_239430"/>
      <w:bookmarkEnd w:id="8"/>
      <w:r w:rsidRPr="00F12165">
        <w:t>Elements and Performance Criteria</w:t>
      </w:r>
    </w:p>
    <w:tbl>
      <w:tblPr>
        <w:tblW w:w="0" w:type="auto"/>
        <w:tblLayout w:type="fixed"/>
        <w:tblCellMar>
          <w:left w:w="62" w:type="dxa"/>
          <w:right w:w="62" w:type="dxa"/>
        </w:tblCellMar>
        <w:tblLook w:val="0000"/>
      </w:tblPr>
      <w:tblGrid>
        <w:gridCol w:w="360"/>
        <w:gridCol w:w="2340"/>
        <w:gridCol w:w="900"/>
        <w:gridCol w:w="4860"/>
      </w:tblGrid>
      <w:tr w:rsidTr="005238F9">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F12165" w:rsidP="00F12165">
            <w:pPr>
              <w:pStyle w:val="BodyText"/>
            </w:pPr>
            <w:r w:rsidRPr="00F12165">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F12165">
            <w:pPr>
              <w:pStyle w:val="BodyText"/>
              <w:rPr>
                <w:lang w:val="en-NZ"/>
              </w:rPr>
            </w:pPr>
            <w:r w:rsidRPr="00F12165">
              <w:rPr>
                <w:rStyle w:val="SpecialBold"/>
              </w:rPr>
              <w:t>PERFORMANCE CRITERIA</w:t>
            </w:r>
          </w:p>
        </w:tc>
      </w:tr>
      <w:tr w:rsidTr="005238F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F12165">
            <w:pPr>
              <w:pStyle w:val="BodyText"/>
              <w:rPr>
                <w:lang w:val="en-NZ"/>
              </w:rPr>
            </w:pPr>
            <w:r w:rsidRPr="00F12165">
              <w:t>1</w:t>
            </w:r>
          </w:p>
        </w:tc>
        <w:tc>
          <w:tcPr>
            <w:tcW w:w="2340" w:type="dxa"/>
            <w:vMerge w:val="restart"/>
            <w:tcBorders>
              <w:top w:val="nil"/>
              <w:left w:val="nil"/>
              <w:bottom w:val="nil"/>
              <w:right w:val="nil"/>
            </w:tcBorders>
            <w:tcMar>
              <w:top w:w="0" w:type="dxa"/>
              <w:left w:w="62" w:type="dxa"/>
              <w:bottom w:w="0" w:type="dxa"/>
              <w:right w:w="62" w:type="dxa"/>
            </w:tcMar>
          </w:tcPr>
          <w:p w:rsidR="00000000" w:rsidP="00F12165">
            <w:pPr>
              <w:pStyle w:val="BodyText"/>
              <w:rPr>
                <w:lang w:val="en-NZ"/>
              </w:rPr>
            </w:pPr>
            <w:r w:rsidRPr="00F12165">
              <w:t>Prepare to diagnose and rectify faults.</w:t>
            </w:r>
          </w:p>
        </w:tc>
        <w:tc>
          <w:tcPr>
            <w:tcW w:w="900" w:type="dxa"/>
            <w:tcBorders>
              <w:top w:val="nil"/>
              <w:left w:val="nil"/>
              <w:bottom w:val="nil"/>
              <w:right w:val="nil"/>
            </w:tcBorders>
            <w:tcMar>
              <w:top w:w="0" w:type="dxa"/>
              <w:left w:w="62" w:type="dxa"/>
              <w:bottom w:w="0" w:type="dxa"/>
              <w:right w:w="62" w:type="dxa"/>
            </w:tcMar>
          </w:tcPr>
          <w:p w:rsidR="00000000" w:rsidP="00F12165">
            <w:pPr>
              <w:pStyle w:val="BodyText"/>
              <w:rPr>
                <w:lang w:val="en-NZ"/>
              </w:rPr>
            </w:pPr>
            <w:r w:rsidRPr="00F12165">
              <w:t>1.1</w:t>
            </w:r>
          </w:p>
        </w:tc>
        <w:tc>
          <w:tcPr>
            <w:tcW w:w="4860" w:type="dxa"/>
            <w:tcBorders>
              <w:top w:val="nil"/>
              <w:left w:val="nil"/>
              <w:bottom w:val="nil"/>
              <w:right w:val="nil"/>
            </w:tcBorders>
            <w:tcMar>
              <w:top w:w="0" w:type="dxa"/>
              <w:left w:w="62" w:type="dxa"/>
              <w:bottom w:w="0" w:type="dxa"/>
              <w:right w:w="62" w:type="dxa"/>
            </w:tcMar>
          </w:tcPr>
          <w:p w:rsidR="00000000" w:rsidP="00F12165">
            <w:pPr>
              <w:pStyle w:val="BodyText"/>
              <w:rPr>
                <w:lang w:val="en-NZ"/>
              </w:rPr>
            </w:pPr>
            <w:r w:rsidRPr="00F12165">
              <w:t>OHS procedures for a given work area are obtained and understood.</w:t>
            </w:r>
          </w:p>
        </w:tc>
      </w:tr>
      <w:tr w:rsidTr="005238F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12165">
            <w:pPr>
              <w:pStyle w:val="BodyText"/>
              <w:rPr>
                <w:lang w:val="en-NZ"/>
              </w:rPr>
            </w:pPr>
            <w:r w:rsidRPr="00F12165">
              <w:t>1.2</w:t>
            </w:r>
          </w:p>
        </w:tc>
        <w:tc>
          <w:tcPr>
            <w:tcW w:w="4860" w:type="dxa"/>
            <w:tcBorders>
              <w:top w:val="nil"/>
              <w:left w:val="nil"/>
              <w:bottom w:val="nil"/>
              <w:right w:val="nil"/>
            </w:tcBorders>
            <w:tcMar>
              <w:top w:w="0" w:type="dxa"/>
              <w:left w:w="62" w:type="dxa"/>
              <w:bottom w:w="0" w:type="dxa"/>
              <w:right w:w="62" w:type="dxa"/>
            </w:tcMar>
          </w:tcPr>
          <w:p w:rsidR="00000000" w:rsidP="00F12165">
            <w:pPr>
              <w:pStyle w:val="BodyText"/>
              <w:rPr>
                <w:lang w:val="en-NZ"/>
              </w:rPr>
            </w:pPr>
            <w:r w:rsidRPr="00F12165">
              <w:t>Established OHS risk control measures and procedures are followed in preparation for the work.</w:t>
            </w:r>
          </w:p>
        </w:tc>
      </w:tr>
      <w:tr w:rsidTr="005238F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12165">
            <w:pPr>
              <w:pStyle w:val="BodyText"/>
              <w:rPr>
                <w:lang w:val="en-NZ"/>
              </w:rPr>
            </w:pPr>
            <w:r w:rsidRPr="00F12165">
              <w:t>1.3</w:t>
            </w:r>
          </w:p>
        </w:tc>
        <w:tc>
          <w:tcPr>
            <w:tcW w:w="4860" w:type="dxa"/>
            <w:tcBorders>
              <w:top w:val="nil"/>
              <w:left w:val="nil"/>
              <w:bottom w:val="nil"/>
              <w:right w:val="nil"/>
            </w:tcBorders>
            <w:tcMar>
              <w:top w:w="0" w:type="dxa"/>
              <w:left w:w="62" w:type="dxa"/>
              <w:bottom w:w="0" w:type="dxa"/>
              <w:right w:w="62" w:type="dxa"/>
            </w:tcMar>
          </w:tcPr>
          <w:p w:rsidR="00000000" w:rsidP="00F12165">
            <w:pPr>
              <w:pStyle w:val="BodyText"/>
              <w:rPr>
                <w:lang w:val="en-NZ"/>
              </w:rPr>
            </w:pPr>
            <w:r w:rsidRPr="00F12165">
              <w:t>Safety hazards that have not previously been identified are documented and risk control measures devised and implemented in consultation with appropriate personnel.</w:t>
            </w:r>
          </w:p>
        </w:tc>
      </w:tr>
      <w:tr w:rsidTr="005238F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12165">
            <w:pPr>
              <w:pStyle w:val="BodyText"/>
              <w:rPr>
                <w:lang w:val="en-NZ"/>
              </w:rPr>
            </w:pPr>
            <w:r w:rsidRPr="00F12165">
              <w:t>1.4</w:t>
            </w:r>
          </w:p>
        </w:tc>
        <w:tc>
          <w:tcPr>
            <w:tcW w:w="4860" w:type="dxa"/>
            <w:tcBorders>
              <w:top w:val="nil"/>
              <w:left w:val="nil"/>
              <w:bottom w:val="nil"/>
              <w:right w:val="nil"/>
            </w:tcBorders>
            <w:tcMar>
              <w:top w:w="0" w:type="dxa"/>
              <w:left w:w="62" w:type="dxa"/>
              <w:bottom w:w="0" w:type="dxa"/>
              <w:right w:w="62" w:type="dxa"/>
            </w:tcMar>
          </w:tcPr>
          <w:p w:rsidR="00000000" w:rsidP="00F12165">
            <w:pPr>
              <w:pStyle w:val="BodyText"/>
              <w:rPr>
                <w:lang w:val="en-NZ"/>
              </w:rPr>
            </w:pPr>
            <w:r w:rsidRPr="00F12165">
              <w:t>The extent of faults is determined from reports and other documentation and from dis</w:t>
            </w:r>
            <w:r w:rsidRPr="00F12165">
              <w:t>cussion with appropriate personnel.</w:t>
            </w:r>
          </w:p>
        </w:tc>
      </w:tr>
      <w:tr w:rsidTr="005238F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12165">
            <w:pPr>
              <w:pStyle w:val="BodyText"/>
              <w:rPr>
                <w:lang w:val="en-NZ"/>
              </w:rPr>
            </w:pPr>
            <w:r w:rsidRPr="00F12165">
              <w:t>1.5</w:t>
            </w:r>
          </w:p>
        </w:tc>
        <w:tc>
          <w:tcPr>
            <w:tcW w:w="4860" w:type="dxa"/>
            <w:tcBorders>
              <w:top w:val="nil"/>
              <w:left w:val="nil"/>
              <w:bottom w:val="nil"/>
              <w:right w:val="nil"/>
            </w:tcBorders>
            <w:tcMar>
              <w:top w:w="0" w:type="dxa"/>
              <w:left w:w="62" w:type="dxa"/>
              <w:bottom w:w="0" w:type="dxa"/>
              <w:right w:w="62" w:type="dxa"/>
            </w:tcMar>
          </w:tcPr>
          <w:p w:rsidR="00000000" w:rsidP="00F12165">
            <w:pPr>
              <w:pStyle w:val="BodyText"/>
              <w:rPr>
                <w:lang w:val="en-NZ"/>
              </w:rPr>
            </w:pPr>
            <w:r w:rsidRPr="00F12165">
              <w:t>Appropriate personnel are consulted to ensure the work is co-ordinated effectively with others involved on the work site.</w:t>
            </w:r>
          </w:p>
        </w:tc>
      </w:tr>
      <w:tr w:rsidTr="005238F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12165">
            <w:pPr>
              <w:pStyle w:val="BodyText"/>
              <w:rPr>
                <w:lang w:val="en-NZ"/>
              </w:rPr>
            </w:pPr>
            <w:r w:rsidRPr="00F12165">
              <w:t>1.6</w:t>
            </w:r>
          </w:p>
        </w:tc>
        <w:tc>
          <w:tcPr>
            <w:tcW w:w="4860" w:type="dxa"/>
            <w:tcBorders>
              <w:top w:val="nil"/>
              <w:left w:val="nil"/>
              <w:bottom w:val="nil"/>
              <w:right w:val="nil"/>
            </w:tcBorders>
            <w:tcMar>
              <w:top w:w="0" w:type="dxa"/>
              <w:left w:w="62" w:type="dxa"/>
              <w:bottom w:w="0" w:type="dxa"/>
              <w:right w:w="62" w:type="dxa"/>
            </w:tcMar>
          </w:tcPr>
          <w:p w:rsidR="00000000" w:rsidP="00F12165">
            <w:pPr>
              <w:pStyle w:val="BodyText"/>
              <w:rPr>
                <w:lang w:val="en-NZ"/>
              </w:rPr>
            </w:pPr>
            <w:r w:rsidRPr="00F12165">
              <w:t>Tools, equipment and testing devices needed to diagnose faults are obtained in accordance with established procedures and checked for correct operation and safety.</w:t>
            </w:r>
          </w:p>
        </w:tc>
      </w:tr>
      <w:tr w:rsidTr="005238F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F12165">
            <w:pPr>
              <w:pStyle w:val="BodyText"/>
              <w:rPr>
                <w:lang w:val="en-NZ"/>
              </w:rPr>
            </w:pPr>
            <w:r w:rsidRPr="00F12165">
              <w:t>2</w:t>
            </w:r>
          </w:p>
        </w:tc>
        <w:tc>
          <w:tcPr>
            <w:tcW w:w="2340" w:type="dxa"/>
            <w:vMerge w:val="restart"/>
            <w:tcBorders>
              <w:top w:val="nil"/>
              <w:left w:val="nil"/>
              <w:bottom w:val="nil"/>
              <w:right w:val="nil"/>
            </w:tcBorders>
            <w:tcMar>
              <w:top w:w="0" w:type="dxa"/>
              <w:left w:w="62" w:type="dxa"/>
              <w:bottom w:w="0" w:type="dxa"/>
              <w:right w:w="62" w:type="dxa"/>
            </w:tcMar>
          </w:tcPr>
          <w:p w:rsidR="00000000" w:rsidP="00F12165">
            <w:pPr>
              <w:pStyle w:val="BodyText"/>
              <w:rPr>
                <w:lang w:val="en-NZ"/>
              </w:rPr>
            </w:pPr>
            <w:r w:rsidRPr="00F12165">
              <w:t>Diagnose and rectify faults.</w:t>
            </w:r>
          </w:p>
        </w:tc>
        <w:tc>
          <w:tcPr>
            <w:tcW w:w="900" w:type="dxa"/>
            <w:tcBorders>
              <w:top w:val="nil"/>
              <w:left w:val="nil"/>
              <w:bottom w:val="nil"/>
              <w:right w:val="nil"/>
            </w:tcBorders>
            <w:tcMar>
              <w:top w:w="0" w:type="dxa"/>
              <w:left w:w="62" w:type="dxa"/>
              <w:bottom w:w="0" w:type="dxa"/>
              <w:right w:w="62" w:type="dxa"/>
            </w:tcMar>
          </w:tcPr>
          <w:p w:rsidR="00000000" w:rsidP="00F12165">
            <w:pPr>
              <w:pStyle w:val="BodyText"/>
              <w:rPr>
                <w:lang w:val="en-NZ"/>
              </w:rPr>
            </w:pPr>
            <w:r w:rsidRPr="00F12165">
              <w:t>2.1</w:t>
            </w:r>
          </w:p>
        </w:tc>
        <w:tc>
          <w:tcPr>
            <w:tcW w:w="4860" w:type="dxa"/>
            <w:tcBorders>
              <w:top w:val="nil"/>
              <w:left w:val="nil"/>
              <w:bottom w:val="nil"/>
              <w:right w:val="nil"/>
            </w:tcBorders>
            <w:tcMar>
              <w:top w:w="0" w:type="dxa"/>
              <w:left w:w="62" w:type="dxa"/>
              <w:bottom w:w="0" w:type="dxa"/>
              <w:right w:w="62" w:type="dxa"/>
            </w:tcMar>
          </w:tcPr>
          <w:p w:rsidR="00000000" w:rsidP="00F12165">
            <w:pPr>
              <w:pStyle w:val="BodyText"/>
              <w:rPr>
                <w:lang w:val="en-NZ"/>
              </w:rPr>
            </w:pPr>
            <w:r w:rsidRPr="00F12165">
              <w:t>OHS risk control measures and procedures for carrying ou</w:t>
            </w:r>
            <w:r w:rsidRPr="00F12165">
              <w:t>t the work are followed.</w:t>
            </w:r>
          </w:p>
        </w:tc>
      </w:tr>
      <w:tr w:rsidTr="005238F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12165">
            <w:pPr>
              <w:pStyle w:val="BodyText"/>
              <w:rPr>
                <w:lang w:val="en-NZ"/>
              </w:rPr>
            </w:pPr>
            <w:r w:rsidRPr="00F12165">
              <w:t>2.2</w:t>
            </w:r>
          </w:p>
        </w:tc>
        <w:tc>
          <w:tcPr>
            <w:tcW w:w="4860" w:type="dxa"/>
            <w:tcBorders>
              <w:top w:val="nil"/>
              <w:left w:val="nil"/>
              <w:bottom w:val="nil"/>
              <w:right w:val="nil"/>
            </w:tcBorders>
            <w:tcMar>
              <w:top w:w="0" w:type="dxa"/>
              <w:left w:w="62" w:type="dxa"/>
              <w:bottom w:w="0" w:type="dxa"/>
              <w:right w:w="62" w:type="dxa"/>
            </w:tcMar>
          </w:tcPr>
          <w:p w:rsidR="00000000" w:rsidP="00F12165">
            <w:pPr>
              <w:pStyle w:val="BodyText"/>
              <w:rPr>
                <w:lang w:val="en-NZ"/>
              </w:rPr>
            </w:pPr>
            <w:r w:rsidRPr="00F12165">
              <w:t>The need to test or measure live is determined in strict accordance with OHS requirements and when necessary conducted within established safety procedures.</w:t>
            </w:r>
          </w:p>
        </w:tc>
      </w:tr>
      <w:tr w:rsidTr="005238F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12165">
            <w:pPr>
              <w:pStyle w:val="BodyText"/>
              <w:rPr>
                <w:lang w:val="en-NZ"/>
              </w:rPr>
            </w:pPr>
            <w:r w:rsidRPr="00F12165">
              <w:t>2.3</w:t>
            </w:r>
          </w:p>
        </w:tc>
        <w:tc>
          <w:tcPr>
            <w:tcW w:w="4860" w:type="dxa"/>
            <w:tcBorders>
              <w:top w:val="nil"/>
              <w:left w:val="nil"/>
              <w:bottom w:val="nil"/>
              <w:right w:val="nil"/>
            </w:tcBorders>
            <w:tcMar>
              <w:top w:w="0" w:type="dxa"/>
              <w:left w:w="62" w:type="dxa"/>
              <w:bottom w:w="0" w:type="dxa"/>
              <w:right w:w="62" w:type="dxa"/>
            </w:tcMar>
          </w:tcPr>
          <w:p w:rsidR="00000000" w:rsidP="00F12165">
            <w:pPr>
              <w:pStyle w:val="BodyText"/>
              <w:rPr>
                <w:lang w:val="en-NZ"/>
              </w:rPr>
            </w:pPr>
            <w:r w:rsidRPr="00F12165">
              <w:t>Circuits/machines/plant are checked as being isolated where necessary in strict accordance OHS requirements and procedures</w:t>
            </w:r>
          </w:p>
        </w:tc>
      </w:tr>
      <w:tr w:rsidTr="005238F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12165">
            <w:pPr>
              <w:pStyle w:val="BodyText"/>
              <w:rPr>
                <w:lang w:val="en-NZ"/>
              </w:rPr>
            </w:pPr>
            <w:r w:rsidRPr="00F12165">
              <w:t>2.4</w:t>
            </w:r>
          </w:p>
        </w:tc>
        <w:tc>
          <w:tcPr>
            <w:tcW w:w="4860" w:type="dxa"/>
            <w:tcBorders>
              <w:top w:val="nil"/>
              <w:left w:val="nil"/>
              <w:bottom w:val="nil"/>
              <w:right w:val="nil"/>
            </w:tcBorders>
            <w:tcMar>
              <w:top w:w="0" w:type="dxa"/>
              <w:left w:w="62" w:type="dxa"/>
              <w:bottom w:w="0" w:type="dxa"/>
              <w:right w:w="62" w:type="dxa"/>
            </w:tcMar>
          </w:tcPr>
          <w:p w:rsidR="00000000" w:rsidP="00F12165">
            <w:pPr>
              <w:pStyle w:val="BodyText"/>
              <w:rPr>
                <w:lang w:val="en-NZ"/>
              </w:rPr>
            </w:pPr>
            <w:r w:rsidRPr="00F12165">
              <w:t>Logical diagnostic methods are applied to diagnose telecommunication apparatus and systems em faults employing measurements an</w:t>
            </w:r>
            <w:r w:rsidRPr="00F12165">
              <w:t>d estimations of system operating parameters referenced to system operational requirements.</w:t>
            </w:r>
          </w:p>
        </w:tc>
      </w:tr>
      <w:tr w:rsidTr="005238F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12165">
            <w:pPr>
              <w:pStyle w:val="BodyText"/>
              <w:rPr>
                <w:lang w:val="en-NZ"/>
              </w:rPr>
            </w:pPr>
            <w:r w:rsidRPr="00F12165">
              <w:t>2.5</w:t>
            </w:r>
          </w:p>
        </w:tc>
        <w:tc>
          <w:tcPr>
            <w:tcW w:w="4860" w:type="dxa"/>
            <w:tcBorders>
              <w:top w:val="nil"/>
              <w:left w:val="nil"/>
              <w:bottom w:val="nil"/>
              <w:right w:val="nil"/>
            </w:tcBorders>
            <w:tcMar>
              <w:top w:w="0" w:type="dxa"/>
              <w:left w:w="62" w:type="dxa"/>
              <w:bottom w:w="0" w:type="dxa"/>
              <w:right w:w="62" w:type="dxa"/>
            </w:tcMar>
          </w:tcPr>
          <w:p w:rsidR="00000000" w:rsidP="00F12165">
            <w:pPr>
              <w:pStyle w:val="BodyText"/>
              <w:rPr>
                <w:lang w:val="en-NZ"/>
              </w:rPr>
            </w:pPr>
            <w:r w:rsidRPr="00F12165">
              <w:t>Suspected fault scenarios are tested as being the source of system problems.</w:t>
            </w:r>
          </w:p>
        </w:tc>
      </w:tr>
      <w:tr w:rsidTr="005238F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12165">
            <w:pPr>
              <w:pStyle w:val="BodyText"/>
              <w:rPr>
                <w:lang w:val="en-NZ"/>
              </w:rPr>
            </w:pPr>
            <w:r w:rsidRPr="00F12165">
              <w:t>2.6</w:t>
            </w:r>
          </w:p>
        </w:tc>
        <w:tc>
          <w:tcPr>
            <w:tcW w:w="4860" w:type="dxa"/>
            <w:tcBorders>
              <w:top w:val="nil"/>
              <w:left w:val="nil"/>
              <w:bottom w:val="nil"/>
              <w:right w:val="nil"/>
            </w:tcBorders>
            <w:tcMar>
              <w:top w:w="0" w:type="dxa"/>
              <w:left w:w="62" w:type="dxa"/>
              <w:bottom w:w="0" w:type="dxa"/>
              <w:right w:w="62" w:type="dxa"/>
            </w:tcMar>
          </w:tcPr>
          <w:p w:rsidR="00000000" w:rsidP="00F12165">
            <w:pPr>
              <w:pStyle w:val="BodyText"/>
              <w:rPr>
                <w:lang w:val="en-NZ"/>
              </w:rPr>
            </w:pPr>
            <w:r w:rsidRPr="00F12165">
              <w:t>Source of the fault is identified and appropriately competent persons are engaged to rectify the fault where it is outside the scope of electronics.</w:t>
            </w:r>
          </w:p>
        </w:tc>
      </w:tr>
      <w:tr w:rsidTr="005238F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12165">
            <w:pPr>
              <w:pStyle w:val="BodyText"/>
              <w:rPr>
                <w:lang w:val="en-NZ"/>
              </w:rPr>
            </w:pPr>
            <w:r w:rsidRPr="00F12165">
              <w:t>2.7</w:t>
            </w:r>
          </w:p>
        </w:tc>
        <w:tc>
          <w:tcPr>
            <w:tcW w:w="4860" w:type="dxa"/>
            <w:tcBorders>
              <w:top w:val="nil"/>
              <w:left w:val="nil"/>
              <w:bottom w:val="nil"/>
              <w:right w:val="nil"/>
            </w:tcBorders>
            <w:tcMar>
              <w:top w:w="0" w:type="dxa"/>
              <w:left w:w="62" w:type="dxa"/>
              <w:bottom w:w="0" w:type="dxa"/>
              <w:right w:w="62" w:type="dxa"/>
            </w:tcMar>
          </w:tcPr>
          <w:p w:rsidR="00000000" w:rsidP="00F12165">
            <w:pPr>
              <w:pStyle w:val="BodyText"/>
              <w:rPr>
                <w:lang w:val="en-NZ"/>
              </w:rPr>
            </w:pPr>
            <w:r w:rsidRPr="00F12165">
              <w:t>Faults in the electronic components of the system are rectified to raise telecommunication apparatus</w:t>
            </w:r>
            <w:r w:rsidRPr="00F12165">
              <w:t xml:space="preserve"> and system to its operation standard.</w:t>
            </w:r>
          </w:p>
        </w:tc>
      </w:tr>
      <w:tr w:rsidTr="005238F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12165">
            <w:pPr>
              <w:pStyle w:val="BodyText"/>
              <w:rPr>
                <w:lang w:val="en-NZ"/>
              </w:rPr>
            </w:pPr>
            <w:r w:rsidRPr="00F12165">
              <w:t>2.8</w:t>
            </w:r>
          </w:p>
        </w:tc>
        <w:tc>
          <w:tcPr>
            <w:tcW w:w="4860" w:type="dxa"/>
            <w:tcBorders>
              <w:top w:val="nil"/>
              <w:left w:val="nil"/>
              <w:bottom w:val="nil"/>
              <w:right w:val="nil"/>
            </w:tcBorders>
            <w:tcMar>
              <w:top w:w="0" w:type="dxa"/>
              <w:left w:w="62" w:type="dxa"/>
              <w:bottom w:w="0" w:type="dxa"/>
              <w:right w:w="62" w:type="dxa"/>
            </w:tcMar>
          </w:tcPr>
          <w:p w:rsidR="00000000" w:rsidP="00F12165">
            <w:pPr>
              <w:pStyle w:val="BodyText"/>
              <w:rPr>
                <w:lang w:val="en-NZ"/>
              </w:rPr>
            </w:pPr>
            <w:r w:rsidRPr="00F12165">
              <w:t>System is tested to verify that the system operates as intended and to specified requirements.</w:t>
            </w:r>
          </w:p>
        </w:tc>
      </w:tr>
      <w:tr w:rsidTr="005238F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12165">
            <w:pPr>
              <w:pStyle w:val="BodyText"/>
              <w:rPr>
                <w:lang w:val="en-NZ"/>
              </w:rPr>
            </w:pPr>
            <w:r w:rsidRPr="00F12165">
              <w:t>2.9</w:t>
            </w:r>
          </w:p>
        </w:tc>
        <w:tc>
          <w:tcPr>
            <w:tcW w:w="4860" w:type="dxa"/>
            <w:tcBorders>
              <w:top w:val="nil"/>
              <w:left w:val="nil"/>
              <w:bottom w:val="nil"/>
              <w:right w:val="nil"/>
            </w:tcBorders>
            <w:tcMar>
              <w:top w:w="0" w:type="dxa"/>
              <w:left w:w="62" w:type="dxa"/>
              <w:bottom w:w="0" w:type="dxa"/>
              <w:right w:w="62" w:type="dxa"/>
            </w:tcMar>
          </w:tcPr>
          <w:p w:rsidR="00000000" w:rsidP="00F12165">
            <w:pPr>
              <w:pStyle w:val="BodyText"/>
              <w:rPr>
                <w:lang w:val="en-NZ"/>
              </w:rPr>
            </w:pPr>
            <w:r w:rsidRPr="00F12165">
              <w:t xml:space="preserve">Decisions for dealing with unexpected situations are made from discussions with appropriate persons and job </w:t>
            </w:r>
            <w:r w:rsidRPr="00F12165">
              <w:t>specifications and requirements.</w:t>
            </w:r>
          </w:p>
        </w:tc>
      </w:tr>
      <w:tr w:rsidTr="005238F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12165">
            <w:pPr>
              <w:pStyle w:val="BodyText"/>
              <w:rPr>
                <w:lang w:val="en-NZ"/>
              </w:rPr>
            </w:pPr>
            <w:r w:rsidRPr="00F12165">
              <w:t>2.10</w:t>
            </w:r>
          </w:p>
        </w:tc>
        <w:tc>
          <w:tcPr>
            <w:tcW w:w="4860" w:type="dxa"/>
            <w:tcBorders>
              <w:top w:val="nil"/>
              <w:left w:val="nil"/>
              <w:bottom w:val="nil"/>
              <w:right w:val="nil"/>
            </w:tcBorders>
            <w:tcMar>
              <w:top w:w="0" w:type="dxa"/>
              <w:left w:w="62" w:type="dxa"/>
              <w:bottom w:w="0" w:type="dxa"/>
              <w:right w:w="62" w:type="dxa"/>
            </w:tcMar>
          </w:tcPr>
          <w:p w:rsidR="00000000" w:rsidP="00F12165">
            <w:pPr>
              <w:pStyle w:val="BodyText"/>
              <w:rPr>
                <w:lang w:val="en-NZ"/>
              </w:rPr>
            </w:pPr>
            <w:r w:rsidRPr="00F12165">
              <w:t>Methods for dealing with unexpected situations are selected on the basis of safety and specified work outcomes.</w:t>
            </w:r>
          </w:p>
        </w:tc>
      </w:tr>
      <w:tr w:rsidTr="005238F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12165">
            <w:pPr>
              <w:pStyle w:val="BodyText"/>
              <w:rPr>
                <w:lang w:val="en-NZ"/>
              </w:rPr>
            </w:pPr>
            <w:r w:rsidRPr="00F12165">
              <w:t>2.11</w:t>
            </w:r>
          </w:p>
        </w:tc>
        <w:tc>
          <w:tcPr>
            <w:tcW w:w="4860" w:type="dxa"/>
            <w:tcBorders>
              <w:top w:val="nil"/>
              <w:left w:val="nil"/>
              <w:bottom w:val="nil"/>
              <w:right w:val="nil"/>
            </w:tcBorders>
            <w:tcMar>
              <w:top w:w="0" w:type="dxa"/>
              <w:left w:w="62" w:type="dxa"/>
              <w:bottom w:w="0" w:type="dxa"/>
              <w:right w:w="62" w:type="dxa"/>
            </w:tcMar>
          </w:tcPr>
          <w:p w:rsidR="00000000" w:rsidP="00F12165">
            <w:pPr>
              <w:pStyle w:val="BodyText"/>
              <w:rPr>
                <w:lang w:val="en-NZ"/>
              </w:rPr>
            </w:pPr>
            <w:r w:rsidRPr="00F12165">
              <w:t>Diagnosis and rectification activities are carried out efficiently without waste of materials or damage to apparatus and the surrounding environment or services and using sustainable energy practices.</w:t>
            </w:r>
          </w:p>
        </w:tc>
      </w:tr>
      <w:tr w:rsidTr="005238F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F12165">
            <w:pPr>
              <w:pStyle w:val="BodyText"/>
              <w:rPr>
                <w:lang w:val="en-NZ"/>
              </w:rPr>
            </w:pPr>
            <w:r w:rsidRPr="00F12165">
              <w:t>3</w:t>
            </w:r>
          </w:p>
        </w:tc>
        <w:tc>
          <w:tcPr>
            <w:tcW w:w="2340" w:type="dxa"/>
            <w:vMerge w:val="restart"/>
            <w:tcBorders>
              <w:top w:val="nil"/>
              <w:left w:val="nil"/>
              <w:bottom w:val="nil"/>
              <w:right w:val="nil"/>
            </w:tcBorders>
            <w:tcMar>
              <w:top w:w="0" w:type="dxa"/>
              <w:left w:w="62" w:type="dxa"/>
              <w:bottom w:w="0" w:type="dxa"/>
              <w:right w:w="62" w:type="dxa"/>
            </w:tcMar>
          </w:tcPr>
          <w:p w:rsidR="00000000" w:rsidP="00F12165">
            <w:pPr>
              <w:pStyle w:val="BodyText"/>
              <w:rPr>
                <w:lang w:val="en-NZ"/>
              </w:rPr>
            </w:pPr>
            <w:r w:rsidRPr="00F12165">
              <w:t>Complete and report fault diagnosis and rectificatio</w:t>
            </w:r>
            <w:r w:rsidRPr="00F12165">
              <w:t>n activities.</w:t>
            </w:r>
          </w:p>
        </w:tc>
        <w:tc>
          <w:tcPr>
            <w:tcW w:w="900" w:type="dxa"/>
            <w:tcBorders>
              <w:top w:val="nil"/>
              <w:left w:val="nil"/>
              <w:bottom w:val="nil"/>
              <w:right w:val="nil"/>
            </w:tcBorders>
            <w:tcMar>
              <w:top w:w="0" w:type="dxa"/>
              <w:left w:w="62" w:type="dxa"/>
              <w:bottom w:w="0" w:type="dxa"/>
              <w:right w:w="62" w:type="dxa"/>
            </w:tcMar>
          </w:tcPr>
          <w:p w:rsidR="00000000" w:rsidP="00F12165">
            <w:pPr>
              <w:pStyle w:val="BodyText"/>
              <w:rPr>
                <w:lang w:val="en-NZ"/>
              </w:rPr>
            </w:pPr>
            <w:r w:rsidRPr="00F12165">
              <w:t>3.1</w:t>
            </w:r>
          </w:p>
        </w:tc>
        <w:tc>
          <w:tcPr>
            <w:tcW w:w="4860" w:type="dxa"/>
            <w:tcBorders>
              <w:top w:val="nil"/>
              <w:left w:val="nil"/>
              <w:bottom w:val="nil"/>
              <w:right w:val="nil"/>
            </w:tcBorders>
            <w:tcMar>
              <w:top w:w="0" w:type="dxa"/>
              <w:left w:w="62" w:type="dxa"/>
              <w:bottom w:w="0" w:type="dxa"/>
              <w:right w:w="62" w:type="dxa"/>
            </w:tcMar>
          </w:tcPr>
          <w:p w:rsidR="00000000" w:rsidP="00F12165">
            <w:pPr>
              <w:pStyle w:val="BodyText"/>
              <w:rPr>
                <w:lang w:val="en-NZ"/>
              </w:rPr>
            </w:pPr>
            <w:r w:rsidRPr="00F12165">
              <w:t>OHS work completion risk control measures and procedures are followed.</w:t>
            </w:r>
          </w:p>
        </w:tc>
      </w:tr>
      <w:tr w:rsidTr="005238F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12165">
            <w:pPr>
              <w:pStyle w:val="BodyText"/>
              <w:rPr>
                <w:lang w:val="en-NZ"/>
              </w:rPr>
            </w:pPr>
            <w:r w:rsidRPr="00F12165">
              <w:t>3.2</w:t>
            </w:r>
          </w:p>
        </w:tc>
        <w:tc>
          <w:tcPr>
            <w:tcW w:w="4860" w:type="dxa"/>
            <w:tcBorders>
              <w:top w:val="nil"/>
              <w:left w:val="nil"/>
              <w:bottom w:val="nil"/>
              <w:right w:val="nil"/>
            </w:tcBorders>
            <w:tcMar>
              <w:top w:w="0" w:type="dxa"/>
              <w:left w:w="62" w:type="dxa"/>
              <w:bottom w:w="0" w:type="dxa"/>
              <w:right w:w="62" w:type="dxa"/>
            </w:tcMar>
          </w:tcPr>
          <w:p w:rsidR="00000000" w:rsidP="00F12165">
            <w:pPr>
              <w:pStyle w:val="BodyText"/>
              <w:rPr>
                <w:lang w:val="en-NZ"/>
              </w:rPr>
            </w:pPr>
            <w:r w:rsidRPr="00F12165">
              <w:t>Work site is made safe in accordance with established safety procedures.</w:t>
            </w:r>
          </w:p>
        </w:tc>
      </w:tr>
      <w:tr w:rsidTr="005238F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12165">
            <w:pPr>
              <w:pStyle w:val="BodyText"/>
              <w:rPr>
                <w:lang w:val="en-NZ"/>
              </w:rPr>
            </w:pPr>
            <w:r w:rsidRPr="00F12165">
              <w:t>3.3</w:t>
            </w:r>
          </w:p>
        </w:tc>
        <w:tc>
          <w:tcPr>
            <w:tcW w:w="4860" w:type="dxa"/>
            <w:tcBorders>
              <w:top w:val="nil"/>
              <w:left w:val="nil"/>
              <w:bottom w:val="nil"/>
              <w:right w:val="nil"/>
            </w:tcBorders>
            <w:tcMar>
              <w:top w:w="0" w:type="dxa"/>
              <w:left w:w="62" w:type="dxa"/>
              <w:bottom w:w="0" w:type="dxa"/>
              <w:right w:w="62" w:type="dxa"/>
            </w:tcMar>
          </w:tcPr>
          <w:p w:rsidR="00000000" w:rsidP="00F12165">
            <w:pPr>
              <w:pStyle w:val="BodyText"/>
              <w:rPr>
                <w:lang w:val="en-NZ"/>
              </w:rPr>
            </w:pPr>
            <w:r w:rsidRPr="00F12165">
              <w:t>Rectification of faults is documented in accordance with established procedures.</w:t>
            </w:r>
          </w:p>
        </w:tc>
      </w:tr>
      <w:tr w:rsidTr="005238F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12165">
            <w:pPr>
              <w:pStyle w:val="BodyText"/>
              <w:rPr>
                <w:lang w:val="en-NZ"/>
              </w:rPr>
            </w:pPr>
            <w:r w:rsidRPr="00F12165">
              <w:t>3.4</w:t>
            </w:r>
          </w:p>
        </w:tc>
        <w:tc>
          <w:tcPr>
            <w:tcW w:w="4860" w:type="dxa"/>
            <w:tcBorders>
              <w:top w:val="nil"/>
              <w:left w:val="nil"/>
              <w:bottom w:val="nil"/>
              <w:right w:val="nil"/>
            </w:tcBorders>
            <w:tcMar>
              <w:top w:w="0" w:type="dxa"/>
              <w:left w:w="62" w:type="dxa"/>
              <w:bottom w:w="0" w:type="dxa"/>
              <w:right w:w="62" w:type="dxa"/>
            </w:tcMar>
          </w:tcPr>
          <w:p w:rsidR="00000000" w:rsidRPr="00F12165" w:rsidP="00F12165">
            <w:pPr>
              <w:pStyle w:val="BodyText"/>
            </w:pPr>
            <w:r w:rsidRPr="00F12165">
              <w:t>Appropriate person or persons notified, in accordance with established procedures, that the system faults have been rectified.</w:t>
            </w:r>
          </w:p>
        </w:tc>
      </w:tr>
    </w:tbl>
    <w:p w:rsidR="005238F9" w:rsidP="00F12165">
      <w:pPr>
        <w:pStyle w:val="BodyText"/>
      </w:pPr>
    </w:p>
    <w:p w:rsidR="005238F9" w:rsidP="00F12165">
      <w:pPr>
        <w:pStyle w:val="BodyText"/>
      </w:pPr>
    </w:p>
    <w:p w:rsidR="00000000" w:rsidRPr="00F12165" w:rsidP="00F12165">
      <w:pPr>
        <w:pStyle w:val="Heading1"/>
      </w:pPr>
      <w:bookmarkStart w:id="9" w:name="O_263221"/>
      <w:bookmarkEnd w:id="9"/>
      <w:r w:rsidRPr="00F12165">
        <w:t>Required Skills and Knowledge</w:t>
      </w:r>
    </w:p>
    <w:tbl>
      <w:tblPr>
        <w:tblW w:w="0" w:type="auto"/>
        <w:tblLayout w:type="fixed"/>
        <w:tblCellMar>
          <w:left w:w="62" w:type="dxa"/>
          <w:right w:w="62" w:type="dxa"/>
        </w:tblCellMar>
        <w:tblLook w:val="0000"/>
      </w:tblPr>
      <w:tblGrid>
        <w:gridCol w:w="2700"/>
        <w:gridCol w:w="1080"/>
        <w:gridCol w:w="4680"/>
      </w:tblGrid>
      <w:tr w:rsidTr="005238F9">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F12165">
            <w:pPr>
              <w:pStyle w:val="BodyText"/>
              <w:rPr>
                <w:lang w:val="en-NZ"/>
              </w:rPr>
            </w:pPr>
            <w:r w:rsidRPr="00F12165">
              <w:rPr>
                <w:rStyle w:val="SpecialBold"/>
              </w:rPr>
              <w:t>REQUIRED SKILLS AND KNOWLEDGE</w:t>
            </w:r>
          </w:p>
        </w:tc>
      </w:tr>
      <w:tr w:rsidTr="005238F9">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F12165">
            <w:pPr>
              <w:pStyle w:val="BodyText"/>
              <w:rPr>
                <w:lang w:val="en-NZ"/>
              </w:rPr>
            </w:pPr>
            <w:r w:rsidRPr="00F12165">
              <w:rPr>
                <w:rStyle w:val="SpecialBold"/>
              </w:rPr>
              <w:t>7</w:t>
            </w:r>
            <w:r w:rsidRPr="00F12165">
              <w:t>) This describes the essential skills and knowledge and their level, required for this unit.</w:t>
            </w:r>
          </w:p>
        </w:tc>
      </w:tr>
      <w:tr w:rsidTr="005238F9">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F12165" w:rsidP="00F12165">
            <w:pPr>
              <w:pStyle w:val="BodyText"/>
            </w:pPr>
            <w:r w:rsidRPr="00F12165">
              <w:t xml:space="preserve">Evidence shall show that knowledge has been acquired of safe working practices and diagnosing and rectifying faults in telecommunication apparatus and systems. </w:t>
            </w:r>
          </w:p>
          <w:p w:rsidR="00000000" w:rsidRPr="00F12165" w:rsidP="00F12165">
            <w:pPr>
              <w:pStyle w:val="BodyText"/>
            </w:pPr>
            <w:r w:rsidRPr="00F12165">
              <w:t>All knowledge and skills detailed in this unit should be contextualised to current industry practices and technologies.</w:t>
            </w:r>
          </w:p>
          <w:p w:rsidR="00000000" w:rsidP="00F12165">
            <w:pPr>
              <w:pStyle w:val="BodyText"/>
              <w:rPr>
                <w:lang w:val="en-NZ"/>
              </w:rPr>
            </w:pPr>
            <w:r w:rsidRPr="00F12165">
              <w:t>The extent of the essential knowledge and associated skills (EKAS) required is given in Volume 2 - Part 2.2 EKAS.  It forms an integral</w:t>
            </w:r>
            <w:r w:rsidRPr="00F12165">
              <w:t xml:space="preserve"> part of this unit.</w:t>
            </w:r>
          </w:p>
        </w:tc>
      </w:tr>
      <w:tr w:rsidTr="005238F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12165">
            <w:pPr>
              <w:pStyle w:val="BodyText"/>
              <w:rPr>
                <w:lang w:val="en-NZ"/>
              </w:rPr>
            </w:pPr>
            <w:r w:rsidRPr="00F12165">
              <w:t>2.4.1.2</w:t>
            </w:r>
          </w:p>
        </w:tc>
        <w:tc>
          <w:tcPr>
            <w:tcW w:w="4680" w:type="dxa"/>
            <w:tcBorders>
              <w:top w:val="nil"/>
              <w:left w:val="nil"/>
              <w:bottom w:val="nil"/>
              <w:right w:val="nil"/>
            </w:tcBorders>
            <w:tcMar>
              <w:top w:w="0" w:type="dxa"/>
              <w:left w:w="62" w:type="dxa"/>
              <w:bottom w:w="0" w:type="dxa"/>
              <w:right w:w="62" w:type="dxa"/>
            </w:tcMar>
          </w:tcPr>
          <w:p w:rsidR="00000000" w:rsidP="00F12165">
            <w:pPr>
              <w:pStyle w:val="BodyText"/>
              <w:rPr>
                <w:lang w:val="en-NZ"/>
              </w:rPr>
            </w:pPr>
            <w:r w:rsidRPr="00F12165">
              <w:t>Telephone system fundamentals</w:t>
            </w:r>
          </w:p>
        </w:tc>
      </w:tr>
      <w:tr w:rsidTr="005238F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12165">
            <w:pPr>
              <w:pStyle w:val="BodyText"/>
              <w:rPr>
                <w:lang w:val="en-NZ"/>
              </w:rPr>
            </w:pPr>
            <w:r w:rsidRPr="00F12165">
              <w:t>2.4.1.3</w:t>
            </w:r>
          </w:p>
        </w:tc>
        <w:tc>
          <w:tcPr>
            <w:tcW w:w="4680" w:type="dxa"/>
            <w:tcBorders>
              <w:top w:val="nil"/>
              <w:left w:val="nil"/>
              <w:bottom w:val="nil"/>
              <w:right w:val="nil"/>
            </w:tcBorders>
            <w:tcMar>
              <w:top w:w="0" w:type="dxa"/>
              <w:left w:w="62" w:type="dxa"/>
              <w:bottom w:w="0" w:type="dxa"/>
              <w:right w:w="62" w:type="dxa"/>
            </w:tcMar>
          </w:tcPr>
          <w:p w:rsidR="00000000" w:rsidP="00F12165">
            <w:pPr>
              <w:pStyle w:val="BodyText"/>
              <w:rPr>
                <w:lang w:val="en-NZ"/>
              </w:rPr>
            </w:pPr>
            <w:r w:rsidRPr="00F12165">
              <w:t>Telephone network facilities</w:t>
            </w:r>
          </w:p>
        </w:tc>
      </w:tr>
      <w:tr w:rsidTr="005238F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12165">
            <w:pPr>
              <w:pStyle w:val="BodyText"/>
              <w:rPr>
                <w:lang w:val="en-NZ"/>
              </w:rPr>
            </w:pPr>
            <w:r w:rsidRPr="00F12165">
              <w:t>2.4.2.1</w:t>
            </w:r>
          </w:p>
        </w:tc>
        <w:tc>
          <w:tcPr>
            <w:tcW w:w="4680" w:type="dxa"/>
            <w:tcBorders>
              <w:top w:val="nil"/>
              <w:left w:val="nil"/>
              <w:bottom w:val="nil"/>
              <w:right w:val="nil"/>
            </w:tcBorders>
            <w:tcMar>
              <w:top w:w="0" w:type="dxa"/>
              <w:left w:w="62" w:type="dxa"/>
              <w:bottom w:w="0" w:type="dxa"/>
              <w:right w:w="62" w:type="dxa"/>
            </w:tcMar>
          </w:tcPr>
          <w:p w:rsidR="00000000" w:rsidP="00F12165">
            <w:pPr>
              <w:pStyle w:val="BodyText"/>
              <w:rPr>
                <w:lang w:val="en-NZ"/>
              </w:rPr>
            </w:pPr>
            <w:r w:rsidRPr="00F12165">
              <w:t>Telecommunication earthing and protection</w:t>
            </w:r>
          </w:p>
        </w:tc>
      </w:tr>
      <w:tr w:rsidTr="005238F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12165">
            <w:pPr>
              <w:pStyle w:val="BodyText"/>
              <w:rPr>
                <w:lang w:val="en-NZ"/>
              </w:rPr>
            </w:pPr>
            <w:r w:rsidRPr="00F12165">
              <w:t>2.4.6</w:t>
            </w:r>
          </w:p>
        </w:tc>
        <w:tc>
          <w:tcPr>
            <w:tcW w:w="4680" w:type="dxa"/>
            <w:tcBorders>
              <w:top w:val="nil"/>
              <w:left w:val="nil"/>
              <w:bottom w:val="nil"/>
              <w:right w:val="nil"/>
            </w:tcBorders>
            <w:tcMar>
              <w:top w:w="0" w:type="dxa"/>
              <w:left w:w="62" w:type="dxa"/>
              <w:bottom w:w="0" w:type="dxa"/>
              <w:right w:w="62" w:type="dxa"/>
            </w:tcMar>
          </w:tcPr>
          <w:p w:rsidR="00000000" w:rsidP="00F12165">
            <w:pPr>
              <w:pStyle w:val="BodyText"/>
              <w:rPr>
                <w:lang w:val="en-NZ"/>
              </w:rPr>
            </w:pPr>
            <w:r w:rsidRPr="00F12165">
              <w:t>PABX fundamentals</w:t>
            </w:r>
          </w:p>
        </w:tc>
      </w:tr>
      <w:tr w:rsidTr="005238F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12165">
            <w:pPr>
              <w:pStyle w:val="BodyText"/>
              <w:rPr>
                <w:lang w:val="en-NZ"/>
              </w:rPr>
            </w:pPr>
            <w:r w:rsidRPr="00F12165">
              <w:t>2.4.7</w:t>
            </w:r>
          </w:p>
        </w:tc>
        <w:tc>
          <w:tcPr>
            <w:tcW w:w="4680" w:type="dxa"/>
            <w:tcBorders>
              <w:top w:val="nil"/>
              <w:left w:val="nil"/>
              <w:bottom w:val="nil"/>
              <w:right w:val="nil"/>
            </w:tcBorders>
            <w:tcMar>
              <w:top w:w="0" w:type="dxa"/>
              <w:left w:w="62" w:type="dxa"/>
              <w:bottom w:w="0" w:type="dxa"/>
              <w:right w:w="62" w:type="dxa"/>
            </w:tcMar>
          </w:tcPr>
          <w:p w:rsidR="00000000" w:rsidP="00F12165">
            <w:pPr>
              <w:pStyle w:val="BodyText"/>
              <w:rPr>
                <w:lang w:val="en-NZ"/>
              </w:rPr>
            </w:pPr>
            <w:r w:rsidRPr="00F12165">
              <w:t>PABX programming</w:t>
            </w:r>
          </w:p>
        </w:tc>
      </w:tr>
      <w:tr w:rsidTr="005238F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12165">
            <w:pPr>
              <w:pStyle w:val="BodyText"/>
              <w:rPr>
                <w:lang w:val="en-NZ"/>
              </w:rPr>
            </w:pPr>
            <w:r w:rsidRPr="00F12165">
              <w:t>2.4.8</w:t>
            </w:r>
          </w:p>
        </w:tc>
        <w:tc>
          <w:tcPr>
            <w:tcW w:w="4680" w:type="dxa"/>
            <w:tcBorders>
              <w:top w:val="nil"/>
              <w:left w:val="nil"/>
              <w:bottom w:val="nil"/>
              <w:right w:val="nil"/>
            </w:tcBorders>
            <w:tcMar>
              <w:top w:w="0" w:type="dxa"/>
              <w:left w:w="62" w:type="dxa"/>
              <w:bottom w:w="0" w:type="dxa"/>
              <w:right w:w="62" w:type="dxa"/>
            </w:tcMar>
          </w:tcPr>
          <w:p w:rsidR="00000000" w:rsidP="00F12165">
            <w:pPr>
              <w:pStyle w:val="BodyText"/>
              <w:rPr>
                <w:lang w:val="en-NZ"/>
              </w:rPr>
            </w:pPr>
            <w:r w:rsidRPr="00F12165">
              <w:t>Switches, hubs and routers</w:t>
            </w:r>
          </w:p>
        </w:tc>
      </w:tr>
      <w:tr w:rsidTr="005238F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12165">
            <w:pPr>
              <w:pStyle w:val="BodyText"/>
              <w:rPr>
                <w:lang w:val="en-NZ"/>
              </w:rPr>
            </w:pPr>
            <w:r w:rsidRPr="00F12165">
              <w:t>2.4.9</w:t>
            </w:r>
          </w:p>
        </w:tc>
        <w:tc>
          <w:tcPr>
            <w:tcW w:w="4680" w:type="dxa"/>
            <w:tcBorders>
              <w:top w:val="nil"/>
              <w:left w:val="nil"/>
              <w:bottom w:val="nil"/>
              <w:right w:val="nil"/>
            </w:tcBorders>
            <w:tcMar>
              <w:top w:w="0" w:type="dxa"/>
              <w:left w:w="62" w:type="dxa"/>
              <w:bottom w:w="0" w:type="dxa"/>
              <w:right w:w="62" w:type="dxa"/>
            </w:tcMar>
          </w:tcPr>
          <w:p w:rsidR="00000000" w:rsidP="00F12165">
            <w:pPr>
              <w:pStyle w:val="BodyText"/>
              <w:rPr>
                <w:lang w:val="en-NZ"/>
              </w:rPr>
            </w:pPr>
            <w:r w:rsidRPr="00F12165">
              <w:t>Decoders</w:t>
            </w:r>
          </w:p>
        </w:tc>
      </w:tr>
      <w:tr w:rsidTr="005238F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12165">
            <w:pPr>
              <w:pStyle w:val="BodyText"/>
              <w:rPr>
                <w:lang w:val="en-NZ"/>
              </w:rPr>
            </w:pPr>
            <w:r w:rsidRPr="00F12165">
              <w:t>2.18.8.2</w:t>
            </w:r>
          </w:p>
        </w:tc>
        <w:tc>
          <w:tcPr>
            <w:tcW w:w="4680" w:type="dxa"/>
            <w:tcBorders>
              <w:top w:val="nil"/>
              <w:left w:val="nil"/>
              <w:bottom w:val="nil"/>
              <w:right w:val="nil"/>
            </w:tcBorders>
            <w:tcMar>
              <w:top w:w="0" w:type="dxa"/>
              <w:left w:w="62" w:type="dxa"/>
              <w:bottom w:w="0" w:type="dxa"/>
              <w:right w:w="62" w:type="dxa"/>
            </w:tcMar>
          </w:tcPr>
          <w:p w:rsidR="00000000" w:rsidRPr="00F12165" w:rsidP="00F12165">
            <w:pPr>
              <w:pStyle w:val="BodyText"/>
            </w:pPr>
            <w:r w:rsidRPr="00F12165">
              <w:t>Occupational Health and Safety, enterprise responsibilities</w:t>
            </w:r>
          </w:p>
        </w:tc>
      </w:tr>
    </w:tbl>
    <w:p w:rsidR="005238F9" w:rsidP="00F12165">
      <w:pPr>
        <w:pStyle w:val="BodyText"/>
      </w:pPr>
    </w:p>
    <w:p w:rsidR="005238F9" w:rsidP="00F12165">
      <w:pPr>
        <w:pStyle w:val="BodyText"/>
      </w:pPr>
    </w:p>
    <w:p w:rsidR="00000000" w:rsidRPr="00F12165" w:rsidP="00F12165">
      <w:pPr>
        <w:pStyle w:val="Heading1"/>
      </w:pPr>
      <w:bookmarkStart w:id="10" w:name="O_247414"/>
      <w:bookmarkEnd w:id="10"/>
      <w:r w:rsidRPr="00F12165">
        <w:t>Evidence Guide</w:t>
      </w:r>
    </w:p>
    <w:tbl>
      <w:tblPr>
        <w:tblW w:w="0" w:type="auto"/>
        <w:tblLayout w:type="fixed"/>
        <w:tblCellMar>
          <w:left w:w="62" w:type="dxa"/>
          <w:right w:w="62" w:type="dxa"/>
        </w:tblCellMar>
        <w:tblLook w:val="0000"/>
      </w:tblPr>
      <w:tblGrid>
        <w:gridCol w:w="2160"/>
        <w:gridCol w:w="720"/>
        <w:gridCol w:w="540"/>
        <w:gridCol w:w="5040"/>
      </w:tblGrid>
      <w:tr w:rsidTr="005238F9">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F12165">
            <w:pPr>
              <w:pStyle w:val="BodyText"/>
              <w:rPr>
                <w:lang w:val="en-NZ"/>
              </w:rPr>
            </w:pPr>
            <w:r w:rsidRPr="00F12165">
              <w:rPr>
                <w:rStyle w:val="SpecialBold"/>
              </w:rPr>
              <w:t>EVIDENCE GUIDE</w:t>
            </w:r>
          </w:p>
        </w:tc>
      </w:tr>
      <w:tr w:rsidTr="005238F9">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F12165" w:rsidP="00F12165">
            <w:pPr>
              <w:pStyle w:val="BodyText"/>
            </w:pPr>
            <w:r w:rsidRPr="00F12165">
              <w:rPr>
                <w:rStyle w:val="SpecialBold"/>
              </w:rPr>
              <w:t>9</w:t>
            </w:r>
            <w:r w:rsidRPr="00F12165">
              <w:t xml:space="preserve">) The evidence guide provides advice on assessment and must be read in conjunction with the Performance </w:t>
            </w:r>
            <w:r w:rsidRPr="00F12165">
              <w:t>Criteria, Required Skills and Knowledge, the Range Statement and the Assessment Guidelines for this Training Package. .</w:t>
            </w:r>
          </w:p>
          <w:p w:rsidR="00000000" w:rsidP="00F12165">
            <w:pPr>
              <w:pStyle w:val="BodyText"/>
              <w:rPr>
                <w:lang w:val="en-NZ"/>
              </w:rPr>
            </w:pPr>
            <w:r w:rsidRPr="00F12165">
              <w:t>The Evidence Guide forms an integral part of this unit. It must be used in conjunction with all parts of the unit and performed in accor</w:t>
            </w:r>
            <w:r w:rsidRPr="00F12165">
              <w:t>dance with the Assessment Guidelines of this Training Package.</w:t>
            </w:r>
          </w:p>
        </w:tc>
      </w:tr>
      <w:tr w:rsidTr="005238F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12165" w:rsidP="00F12165">
            <w:pPr>
              <w:pStyle w:val="BodyText"/>
            </w:pPr>
            <w:r w:rsidRPr="00F12165">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F12165" w:rsidP="00F12165">
            <w:pPr>
              <w:pStyle w:val="BodyText"/>
            </w:pPr>
            <w:r w:rsidRPr="00F12165">
              <w:rPr>
                <w:rStyle w:val="SpecialBold"/>
              </w:rPr>
              <w:t>9</w:t>
            </w:r>
            <w:r w:rsidRPr="00F12165">
              <w:t>.</w:t>
            </w:r>
            <w:r w:rsidRPr="00F12165">
              <w:rPr>
                <w:rStyle w:val="SpecialBold"/>
              </w:rPr>
              <w:t>1</w:t>
            </w:r>
            <w:r w:rsidRPr="00F12165">
              <w:t xml:space="preserve">) </w:t>
            </w:r>
          </w:p>
          <w:p w:rsidR="00000000" w:rsidRPr="00F12165" w:rsidP="00F12165">
            <w:pPr>
              <w:pStyle w:val="BodyText"/>
            </w:pPr>
            <w:r w:rsidRPr="00F12165">
              <w:t>Longitudinal competency development approaches to assessment, such as Profiling, require data to be reliably gathered in a form that can be consistently interpr</w:t>
            </w:r>
            <w:r w:rsidRPr="00F12165">
              <w:t>eted over time. This approach is best utilised in Apprenticeship programs and reduces assessment intervention. It is the Industry-preferred model for apprenticeships. However, where summative (or final) assessment is used it must include the application of</w:t>
            </w:r>
            <w:r w:rsidRPr="00F12165">
              <w:t xml:space="preserve"> the competency in the normal work environment or, at a minimum, the application of the competency in a realistically simulated work environment. It is recognised that, in some circumstances, assessment in part or full can occur outside the workplace. Howe</w:t>
            </w:r>
            <w:r w:rsidRPr="00F12165">
              <w:t>ver, it must be in accord with industry and regulatory policy.</w:t>
            </w:r>
          </w:p>
          <w:p w:rsidR="00000000" w:rsidRPr="00F12165" w:rsidP="00F12165">
            <w:pPr>
              <w:pStyle w:val="BodyText"/>
            </w:pPr>
            <w:r w:rsidRPr="00F12165">
              <w:t xml:space="preserve">Methods chosen for a particular assessment will be influenced by various factors. These include the extent of the assessment, the most effective locations for the assessment activities to take </w:t>
            </w:r>
            <w:r w:rsidRPr="00F12165">
              <w:t>place, access to physical resources, additional safety measures that may be required and the critical nature of the competencies being assessed.</w:t>
            </w:r>
          </w:p>
          <w:p w:rsidR="00000000" w:rsidRPr="00F12165" w:rsidP="00F12165">
            <w:pPr>
              <w:pStyle w:val="BodyText"/>
            </w:pPr>
            <w:r w:rsidRPr="00F12165">
              <w:t>The critical safety nature of working with electricity, electrical equipment, gas or any other hazardous substance/material carries risk in deeming a person competent. Sources of evidence need to be 'rich' in nature to minimise error in judgment.</w:t>
            </w:r>
          </w:p>
          <w:p w:rsidR="00000000" w:rsidP="00F12165">
            <w:pPr>
              <w:pStyle w:val="BodyText"/>
              <w:rPr>
                <w:lang w:val="en-NZ"/>
              </w:rPr>
            </w:pPr>
            <w:r w:rsidRPr="00F12165">
              <w:t>Activitie</w:t>
            </w:r>
            <w:r w:rsidRPr="00F12165">
              <w:t>s associated with normal everyday work influence decisions about how/how much the data gathered will contribute to its 'richness'. Some skills are more critical to safety and operational requirements while the same skills may be more or less frequently pra</w:t>
            </w:r>
            <w:r w:rsidRPr="00F12165">
              <w:t>ctised. These points are raised for the assessors to consider when choosing an assessment method and developing assessment instruments. Sample assessment instruments are included for Assessors in the Assessment Guidelines of this Training Package.</w:t>
            </w:r>
          </w:p>
        </w:tc>
      </w:tr>
      <w:tr w:rsidTr="005238F9">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F12165" w:rsidP="00F12165">
            <w:pPr>
              <w:pStyle w:val="BodyText"/>
            </w:pPr>
            <w:r w:rsidRPr="00F12165">
              <w:rPr>
                <w:rStyle w:val="SpecialBold"/>
              </w:rPr>
              <w:t>Criti</w:t>
            </w:r>
            <w:r w:rsidRPr="00F12165">
              <w:rPr>
                <w:rStyle w:val="SpecialBold"/>
              </w:rPr>
              <w:t xml:space="preserve">cal aspects of evidence required to demonstrate </w:t>
            </w:r>
            <w:r w:rsidRPr="00F12165">
              <w:rPr>
                <w:rStyle w:val="SpecialBold"/>
              </w:rPr>
              <w:t>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F12165" w:rsidP="00F12165">
            <w:pPr>
              <w:pStyle w:val="BodyText"/>
            </w:pPr>
            <w:r w:rsidRPr="00F12165">
              <w:rPr>
                <w:rStyle w:val="SpecialBold"/>
              </w:rPr>
              <w:t>9</w:t>
            </w:r>
            <w:r w:rsidRPr="00F12165">
              <w:t>.</w:t>
            </w:r>
            <w:r w:rsidRPr="00F12165">
              <w:rPr>
                <w:rStyle w:val="SpecialBold"/>
              </w:rPr>
              <w:t>2</w:t>
            </w:r>
            <w:r w:rsidRPr="00F12165">
              <w:t xml:space="preserve">) </w:t>
            </w:r>
          </w:p>
          <w:p w:rsidR="00000000" w:rsidP="00F12165">
            <w:pPr>
              <w:pStyle w:val="BodyText"/>
              <w:rPr>
                <w:lang w:val="en-NZ"/>
              </w:rPr>
            </w:pPr>
            <w:r w:rsidRPr="00F12165">
              <w:t>Before the critical aspects of evidence are considered all prerequisites shall be met.</w:t>
            </w:r>
          </w:p>
        </w:tc>
      </w:tr>
      <w:tr w:rsidTr="005238F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F12165" w:rsidP="00F12165">
            <w:pPr>
              <w:pStyle w:val="BodyText"/>
            </w:pPr>
            <w:r w:rsidRPr="00F12165">
              <w:t>Evidence for competence in this unit shall be considered holistically.  Each Element an</w:t>
            </w:r>
            <w:r w:rsidRPr="00F12165">
              <w:t>d associated performance criteria shall be demonstrated on at least two occasions in accordance with the 'Assessment Guidelines - UEE07'.  Evidence shall also comprise:</w:t>
            </w:r>
          </w:p>
          <w:p w:rsidR="00000000" w:rsidP="00F12165">
            <w:pPr>
              <w:pStyle w:val="ListBullet"/>
              <w:rPr>
                <w:lang w:val="en-NZ"/>
              </w:rPr>
            </w:pPr>
            <w:r w:rsidRPr="00F12165">
              <w:t xml:space="preserve">A representative body of work performance demonstrated within the timeframes typically </w:t>
            </w:r>
            <w:r w:rsidRPr="00F12165">
              <w:t>expected of the discipline, work function and industrial environment. In particular this shall incorporate evidence that shows a candidate is able to:</w:t>
            </w:r>
          </w:p>
        </w:tc>
      </w:tr>
      <w:tr w:rsidTr="005238F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12165">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F12165" w:rsidP="00F12165">
            <w:pPr>
              <w:pStyle w:val="ListBullet2"/>
            </w:pPr>
            <w:r w:rsidRPr="00F12165">
              <w:t xml:space="preserve">Implement Occupational Health and Safety workplace procedures and practices, including </w:t>
            </w:r>
            <w:r w:rsidRPr="00F12165">
              <w:t>the use of risk control measures as specified in the performance criteria and range statement</w:t>
            </w:r>
          </w:p>
          <w:p w:rsidR="00000000" w:rsidRPr="00F12165" w:rsidP="00F12165">
            <w:pPr>
              <w:pStyle w:val="ListBullet2"/>
            </w:pPr>
            <w:r w:rsidRPr="00F12165">
              <w:t>Apply sustainable energy principles and practices as specified in the performance criteria and range statement</w:t>
            </w:r>
          </w:p>
          <w:p w:rsidR="00000000" w:rsidRPr="00F12165" w:rsidP="00F12165">
            <w:pPr>
              <w:pStyle w:val="ListBullet2"/>
            </w:pPr>
            <w:r w:rsidRPr="00F12165">
              <w:t>Demonstrate an understanding of the essential knowl</w:t>
            </w:r>
            <w:r w:rsidRPr="00F12165">
              <w:t>edge and associated skills as described in this unit.  It may be required by some jurisdictions that RTOs provide a percentile graded result for the purpose of regulatory or licensing requirements.</w:t>
            </w:r>
          </w:p>
          <w:p w:rsidR="00000000" w:rsidRPr="00F12165" w:rsidP="00F12165">
            <w:pPr>
              <w:pStyle w:val="ListBullet2"/>
            </w:pPr>
            <w:r w:rsidRPr="00F12165">
              <w:t>Demonstrate an appropriate level of skills enabling employ</w:t>
            </w:r>
            <w:r w:rsidRPr="00F12165">
              <w:t>ment</w:t>
            </w:r>
          </w:p>
          <w:p w:rsidR="00000000" w:rsidP="00F12165">
            <w:pPr>
              <w:pStyle w:val="ListBullet2"/>
              <w:rPr>
                <w:lang w:val="en-NZ"/>
              </w:rPr>
            </w:pPr>
            <w:r w:rsidRPr="00F12165">
              <w:t>Conduct work observing the relevant Anti Discrimination legislation, regulations, polices and workplace procedures</w:t>
            </w:r>
          </w:p>
        </w:tc>
      </w:tr>
      <w:tr w:rsidTr="005238F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12165">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F12165">
            <w:pPr>
              <w:pStyle w:val="ListBullet"/>
              <w:rPr>
                <w:lang w:val="en-NZ"/>
              </w:rPr>
            </w:pPr>
            <w:r w:rsidRPr="00F12165">
              <w:t>Demonstrated consistent performance across a representative range of contexts from the prescribed items below:</w:t>
            </w:r>
          </w:p>
        </w:tc>
      </w:tr>
      <w:tr w:rsidTr="005238F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12165">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F12165">
            <w:pPr>
              <w:pStyle w:val="ListBullet2"/>
              <w:rPr>
                <w:lang w:val="en-NZ"/>
              </w:rPr>
            </w:pPr>
            <w:r w:rsidRPr="00F12165">
              <w:t>Diagnose and rectify faults in telecommunication apparatus and systems as described in 8) and including:</w:t>
            </w:r>
          </w:p>
        </w:tc>
      </w:tr>
      <w:tr w:rsidTr="005238F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12165">
            <w:pPr>
              <w:pStyle w:val="BodyText"/>
              <w:rPr>
                <w:lang w:val="en-NZ"/>
              </w:rPr>
            </w:pPr>
            <w:r w:rsidRPr="00F12165">
              <w:t>A</w:t>
            </w:r>
          </w:p>
        </w:tc>
        <w:tc>
          <w:tcPr>
            <w:tcW w:w="5040" w:type="dxa"/>
            <w:tcBorders>
              <w:top w:val="nil"/>
              <w:left w:val="nil"/>
              <w:bottom w:val="nil"/>
              <w:right w:val="nil"/>
            </w:tcBorders>
            <w:tcMar>
              <w:top w:w="0" w:type="dxa"/>
              <w:left w:w="62" w:type="dxa"/>
              <w:bottom w:w="0" w:type="dxa"/>
              <w:right w:w="62" w:type="dxa"/>
            </w:tcMar>
          </w:tcPr>
          <w:p w:rsidR="00000000" w:rsidP="00F12165">
            <w:pPr>
              <w:pStyle w:val="BodyText"/>
              <w:rPr>
                <w:lang w:val="en-NZ"/>
              </w:rPr>
            </w:pPr>
            <w:r w:rsidRPr="00F12165">
              <w:t>Applying logical diagnostic methods.</w:t>
            </w:r>
          </w:p>
        </w:tc>
      </w:tr>
      <w:tr w:rsidTr="005238F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12165">
            <w:pPr>
              <w:pStyle w:val="BodyText"/>
              <w:rPr>
                <w:lang w:val="en-NZ"/>
              </w:rPr>
            </w:pPr>
            <w:r w:rsidRPr="00F12165">
              <w:t>B</w:t>
            </w:r>
          </w:p>
        </w:tc>
        <w:tc>
          <w:tcPr>
            <w:tcW w:w="5040" w:type="dxa"/>
            <w:tcBorders>
              <w:top w:val="nil"/>
              <w:left w:val="nil"/>
              <w:bottom w:val="nil"/>
              <w:right w:val="nil"/>
            </w:tcBorders>
            <w:tcMar>
              <w:top w:w="0" w:type="dxa"/>
              <w:left w:w="62" w:type="dxa"/>
              <w:bottom w:w="0" w:type="dxa"/>
              <w:right w:w="62" w:type="dxa"/>
            </w:tcMar>
          </w:tcPr>
          <w:p w:rsidR="00000000" w:rsidP="00F12165">
            <w:pPr>
              <w:pStyle w:val="BodyText"/>
              <w:rPr>
                <w:lang w:val="en-NZ"/>
              </w:rPr>
            </w:pPr>
            <w:r w:rsidRPr="00F12165">
              <w:t>Using fault scenarios to test the source of system faults.</w:t>
            </w:r>
          </w:p>
        </w:tc>
      </w:tr>
      <w:tr w:rsidTr="005238F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12165">
            <w:pPr>
              <w:pStyle w:val="BodyText"/>
              <w:rPr>
                <w:lang w:val="en-NZ"/>
              </w:rPr>
            </w:pPr>
            <w:r w:rsidRPr="00F12165">
              <w:t>C</w:t>
            </w:r>
          </w:p>
        </w:tc>
        <w:tc>
          <w:tcPr>
            <w:tcW w:w="5040" w:type="dxa"/>
            <w:tcBorders>
              <w:top w:val="nil"/>
              <w:left w:val="nil"/>
              <w:bottom w:val="nil"/>
              <w:right w:val="nil"/>
            </w:tcBorders>
            <w:tcMar>
              <w:top w:w="0" w:type="dxa"/>
              <w:left w:w="62" w:type="dxa"/>
              <w:bottom w:w="0" w:type="dxa"/>
              <w:right w:w="62" w:type="dxa"/>
            </w:tcMar>
          </w:tcPr>
          <w:p w:rsidR="00000000" w:rsidP="00F12165">
            <w:pPr>
              <w:pStyle w:val="BodyText"/>
              <w:rPr>
                <w:lang w:val="en-NZ"/>
              </w:rPr>
            </w:pPr>
            <w:r w:rsidRPr="00F12165">
              <w:t>Identifying faults and competency needed to rectify them.</w:t>
            </w:r>
          </w:p>
        </w:tc>
      </w:tr>
      <w:tr w:rsidTr="005238F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12165">
            <w:pPr>
              <w:pStyle w:val="BodyText"/>
              <w:rPr>
                <w:lang w:val="en-NZ"/>
              </w:rPr>
            </w:pPr>
            <w:r w:rsidRPr="00F12165">
              <w:t>D</w:t>
            </w:r>
          </w:p>
        </w:tc>
        <w:tc>
          <w:tcPr>
            <w:tcW w:w="5040" w:type="dxa"/>
            <w:tcBorders>
              <w:top w:val="nil"/>
              <w:left w:val="nil"/>
              <w:bottom w:val="nil"/>
              <w:right w:val="nil"/>
            </w:tcBorders>
            <w:tcMar>
              <w:top w:w="0" w:type="dxa"/>
              <w:left w:w="62" w:type="dxa"/>
              <w:bottom w:w="0" w:type="dxa"/>
              <w:right w:w="62" w:type="dxa"/>
            </w:tcMar>
          </w:tcPr>
          <w:p w:rsidR="00000000" w:rsidP="00F12165">
            <w:pPr>
              <w:pStyle w:val="BodyText"/>
              <w:rPr>
                <w:lang w:val="en-NZ"/>
              </w:rPr>
            </w:pPr>
            <w:r w:rsidRPr="00F12165">
              <w:t>Rectifying faults in system electronics.</w:t>
            </w:r>
          </w:p>
        </w:tc>
      </w:tr>
      <w:tr w:rsidTr="005238F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12165">
            <w:pPr>
              <w:pStyle w:val="BodyText"/>
              <w:rPr>
                <w:lang w:val="en-NZ"/>
              </w:rPr>
            </w:pPr>
            <w:r w:rsidRPr="00F12165">
              <w:t>E</w:t>
            </w:r>
          </w:p>
        </w:tc>
        <w:tc>
          <w:tcPr>
            <w:tcW w:w="5040" w:type="dxa"/>
            <w:tcBorders>
              <w:top w:val="nil"/>
              <w:left w:val="nil"/>
              <w:bottom w:val="nil"/>
              <w:right w:val="nil"/>
            </w:tcBorders>
            <w:tcMar>
              <w:top w:w="0" w:type="dxa"/>
              <w:left w:w="62" w:type="dxa"/>
              <w:bottom w:w="0" w:type="dxa"/>
              <w:right w:w="62" w:type="dxa"/>
            </w:tcMar>
          </w:tcPr>
          <w:p w:rsidR="00000000" w:rsidP="00F12165">
            <w:pPr>
              <w:pStyle w:val="BodyText"/>
              <w:rPr>
                <w:lang w:val="en-NZ"/>
              </w:rPr>
            </w:pPr>
            <w:r w:rsidRPr="00F12165">
              <w:t>Verifying that the system operates correctly.</w:t>
            </w:r>
          </w:p>
        </w:tc>
      </w:tr>
      <w:tr w:rsidTr="005238F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12165">
            <w:pPr>
              <w:pStyle w:val="BodyText"/>
              <w:rPr>
                <w:lang w:val="en-NZ"/>
              </w:rPr>
            </w:pPr>
            <w:r w:rsidRPr="00F12165">
              <w:t>F</w:t>
            </w:r>
          </w:p>
        </w:tc>
        <w:tc>
          <w:tcPr>
            <w:tcW w:w="5040" w:type="dxa"/>
            <w:tcBorders>
              <w:top w:val="nil"/>
              <w:left w:val="nil"/>
              <w:bottom w:val="nil"/>
              <w:right w:val="nil"/>
            </w:tcBorders>
            <w:tcMar>
              <w:top w:w="0" w:type="dxa"/>
              <w:left w:w="62" w:type="dxa"/>
              <w:bottom w:w="0" w:type="dxa"/>
              <w:right w:w="62" w:type="dxa"/>
            </w:tcMar>
          </w:tcPr>
          <w:p w:rsidR="00000000" w:rsidP="00F12165">
            <w:pPr>
              <w:pStyle w:val="BodyText"/>
              <w:rPr>
                <w:lang w:val="en-NZ"/>
              </w:rPr>
            </w:pPr>
            <w:r w:rsidRPr="00F12165">
              <w:t>Documenting fault rectification.</w:t>
            </w:r>
          </w:p>
        </w:tc>
      </w:tr>
      <w:tr w:rsidTr="005238F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12165">
            <w:pPr>
              <w:pStyle w:val="BodyText"/>
              <w:rPr>
                <w:lang w:val="en-NZ"/>
              </w:rPr>
            </w:pPr>
            <w:r w:rsidRPr="00F12165">
              <w:t>G</w:t>
            </w:r>
          </w:p>
        </w:tc>
        <w:tc>
          <w:tcPr>
            <w:tcW w:w="5040" w:type="dxa"/>
            <w:tcBorders>
              <w:top w:val="nil"/>
              <w:left w:val="nil"/>
              <w:bottom w:val="nil"/>
              <w:right w:val="nil"/>
            </w:tcBorders>
            <w:tcMar>
              <w:top w:w="0" w:type="dxa"/>
              <w:left w:w="62" w:type="dxa"/>
              <w:bottom w:w="0" w:type="dxa"/>
              <w:right w:w="62" w:type="dxa"/>
            </w:tcMar>
          </w:tcPr>
          <w:p w:rsidR="00000000" w:rsidP="00F12165">
            <w:pPr>
              <w:pStyle w:val="BodyText"/>
              <w:rPr>
                <w:lang w:val="en-NZ"/>
              </w:rPr>
            </w:pPr>
            <w:r w:rsidRPr="00F12165">
              <w:t>Dealing with unplanned events by drawing on essential knowledge and skills to provide appropriate solutions incorporated in a holistic assessment with the above listed items.</w:t>
            </w:r>
          </w:p>
        </w:tc>
      </w:tr>
      <w:tr w:rsidTr="005238F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F12165">
            <w:pPr>
              <w:pStyle w:val="BodyText"/>
              <w:rPr>
                <w:lang w:val="en-NZ"/>
              </w:rPr>
            </w:pPr>
            <w:r w:rsidRPr="00F12165">
              <w:t>Note:</w:t>
            </w:r>
            <w:r w:rsidRPr="00F12165">
              <w:br/>
              <w:t>Successful completion of relevant vendor training may be used to contribu</w:t>
            </w:r>
            <w:r w:rsidRPr="00F12165">
              <w:t>te to evidence on which competency is deemed. In these cases the alignment of outcomes of vendor training with performance criteria and critical aspects of evidence shall be clearly identified.</w:t>
            </w:r>
          </w:p>
        </w:tc>
      </w:tr>
      <w:tr w:rsidTr="005238F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12165" w:rsidP="00F12165">
            <w:pPr>
              <w:pStyle w:val="BodyText"/>
            </w:pPr>
            <w:r w:rsidRPr="00F12165">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F12165" w:rsidP="00F12165">
            <w:pPr>
              <w:pStyle w:val="BodyText"/>
            </w:pPr>
            <w:r w:rsidRPr="00F12165">
              <w:rPr>
                <w:rStyle w:val="SpecialBold"/>
              </w:rPr>
              <w:t>9</w:t>
            </w:r>
            <w:r w:rsidRPr="00F12165">
              <w:t>.</w:t>
            </w:r>
            <w:r w:rsidRPr="00F12165">
              <w:rPr>
                <w:rStyle w:val="SpecialBold"/>
              </w:rPr>
              <w:t>3</w:t>
            </w:r>
            <w:r w:rsidRPr="00F12165">
              <w:t xml:space="preserve">) </w:t>
            </w:r>
          </w:p>
          <w:p w:rsidR="00000000" w:rsidRPr="00F12165" w:rsidP="00F12165">
            <w:pPr>
              <w:pStyle w:val="BodyText"/>
            </w:pPr>
            <w:r w:rsidRPr="00F12165">
              <w:t>This</w:t>
            </w:r>
            <w:r w:rsidRPr="00F12165">
              <w:t xml:space="preserve"> unit should be assessed as it relates to normal work practice using procedures, information and resources typical of a workplace. This should include:</w:t>
            </w:r>
          </w:p>
          <w:p w:rsidR="00000000" w:rsidRPr="00F12165" w:rsidP="00F12165">
            <w:pPr>
              <w:pStyle w:val="ListBullet"/>
            </w:pPr>
            <w:r w:rsidRPr="00F12165">
              <w:t>OHS policy and work procedures and instructions.</w:t>
            </w:r>
          </w:p>
          <w:p w:rsidR="00000000" w:rsidRPr="00F12165" w:rsidP="00F12165">
            <w:pPr>
              <w:pStyle w:val="ListBullet"/>
            </w:pPr>
            <w:r w:rsidRPr="00F12165">
              <w:t>Suitable work environment, facilities, equipment and materials to undertake actual work as prescribed by this unit.</w:t>
            </w:r>
          </w:p>
          <w:p w:rsidR="00000000" w:rsidRPr="00F12165" w:rsidP="00F12165">
            <w:pPr>
              <w:pStyle w:val="BodyText"/>
            </w:pPr>
            <w:r w:rsidRPr="00F12165">
              <w:t>These should be part of the formal learning/assessment environment.</w:t>
            </w:r>
          </w:p>
          <w:p w:rsidR="00000000" w:rsidRPr="00F12165" w:rsidP="00F12165">
            <w:pPr>
              <w:pStyle w:val="BodyText"/>
            </w:pPr>
            <w:r w:rsidRPr="00F12165">
              <w:t>Note:</w:t>
            </w:r>
          </w:p>
          <w:p w:rsidR="00000000" w:rsidP="00F12165">
            <w:pPr>
              <w:pStyle w:val="BodyText"/>
              <w:rPr>
                <w:lang w:val="en-NZ"/>
              </w:rPr>
            </w:pPr>
            <w:r w:rsidRPr="00F12165">
              <w:t>Where simulation is considered a suitable strategy for assessment,</w:t>
            </w:r>
            <w:r w:rsidRPr="00F12165">
              <w:t xml:space="preserve"> conditions must be authentic and as far as possible reproduce and replicate the workplace and be consistent with the approved industry simulation policy.</w:t>
            </w:r>
          </w:p>
        </w:tc>
      </w:tr>
      <w:tr w:rsidTr="005238F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F12165">
            <w:pPr>
              <w:pStyle w:val="BodyText"/>
              <w:rPr>
                <w:lang w:val="en-NZ"/>
              </w:rPr>
            </w:pPr>
            <w:r w:rsidRPr="00F12165">
              <w:t>The resources used for assessment should reflect current industry practices in relation to diagno</w:t>
            </w:r>
            <w:r w:rsidRPr="00F12165">
              <w:t>sing and rectifying faults in telecommunication apparatus and systems.</w:t>
            </w:r>
          </w:p>
        </w:tc>
      </w:tr>
      <w:tr w:rsidTr="005238F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12165" w:rsidP="00F12165">
            <w:pPr>
              <w:pStyle w:val="BodyText"/>
            </w:pPr>
            <w:r w:rsidRPr="00F12165">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F12165" w:rsidP="00F12165">
            <w:pPr>
              <w:pStyle w:val="BodyText"/>
            </w:pPr>
            <w:r w:rsidRPr="00F12165">
              <w:rPr>
                <w:rStyle w:val="SpecialBold"/>
              </w:rPr>
              <w:t>9</w:t>
            </w:r>
            <w:r w:rsidRPr="00F12165">
              <w:t>.</w:t>
            </w:r>
            <w:r w:rsidRPr="00F12165">
              <w:rPr>
                <w:rStyle w:val="SpecialBold"/>
              </w:rPr>
              <w:t>4</w:t>
            </w:r>
            <w:r w:rsidRPr="00F12165">
              <w:t xml:space="preserve">) </w:t>
            </w:r>
          </w:p>
          <w:p w:rsidR="00000000" w:rsidRPr="00F12165" w:rsidP="00F12165">
            <w:pPr>
              <w:pStyle w:val="BodyText"/>
            </w:pPr>
            <w:r w:rsidRPr="00F12165">
              <w:t>This unit shall be assessed by methods given in Volume 1, Part 3 'Assessment Guidelines'.</w:t>
            </w:r>
          </w:p>
          <w:p w:rsidR="00000000" w:rsidP="00F12165">
            <w:pPr>
              <w:pStyle w:val="BodyText"/>
              <w:rPr>
                <w:lang w:val="en-NZ"/>
              </w:rPr>
            </w:pPr>
            <w:r w:rsidRPr="00F12165">
              <w:t>Note:</w:t>
            </w:r>
            <w:r w:rsidRPr="00F12165">
              <w:br/>
              <w:t xml:space="preserve">Competent performance with inherent safe working practices </w:t>
            </w:r>
            <w:r w:rsidRPr="00F12165">
              <w:t>is expected in the industry to which this unit applies. This requires that the specified essential knowledge and associated skills are assessed in a structured environment which is primarily intended for learning/assessment and incorporates all necessary e</w:t>
            </w:r>
            <w:r w:rsidRPr="00F12165">
              <w:t>quipment and facilities for learners to develop and demonstrate the essential knowledge and skills described in this unit.</w:t>
            </w:r>
          </w:p>
        </w:tc>
      </w:tr>
      <w:tr w:rsidTr="005238F9">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F12165" w:rsidP="00F12165">
            <w:pPr>
              <w:pStyle w:val="BodyText"/>
            </w:pPr>
            <w:r w:rsidRPr="00F12165">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F12165">
            <w:pPr>
              <w:pStyle w:val="BodyText"/>
              <w:rPr>
                <w:lang w:val="en-NZ"/>
              </w:rPr>
            </w:pPr>
            <w:r w:rsidRPr="00F12165">
              <w:rPr>
                <w:rStyle w:val="SpecialBold"/>
              </w:rPr>
              <w:t>9</w:t>
            </w:r>
            <w:r w:rsidRPr="00F12165">
              <w:t>.</w:t>
            </w:r>
            <w:r w:rsidRPr="00F12165">
              <w:rPr>
                <w:rStyle w:val="SpecialBold"/>
              </w:rPr>
              <w:t>5</w:t>
            </w:r>
            <w:r w:rsidRPr="00F12165">
              <w:t>)</w:t>
            </w:r>
          </w:p>
        </w:tc>
      </w:tr>
      <w:tr w:rsidTr="005238F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F12165">
            <w:pPr>
              <w:pStyle w:val="BodyText"/>
              <w:rPr>
                <w:lang w:val="en-NZ"/>
              </w:rPr>
            </w:pPr>
            <w:r w:rsidRPr="00F12165">
              <w:t>There are no concurrent assessment recommendations for this unit.</w:t>
            </w:r>
          </w:p>
        </w:tc>
      </w:tr>
      <w:tr w:rsidTr="005238F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F12165" w:rsidP="00F12165">
            <w:pPr>
              <w:pStyle w:val="BodyText"/>
            </w:pPr>
            <w:r w:rsidRPr="00F12165">
              <w:t>The critical aspects of occupational health and safety covered in unit UEENEEE001B and other discipline specific occupational health and safety units shall be incorporated in relation to this unit.</w:t>
            </w:r>
          </w:p>
        </w:tc>
      </w:tr>
    </w:tbl>
    <w:p w:rsidR="005238F9" w:rsidP="00F12165">
      <w:pPr>
        <w:pStyle w:val="BodyText"/>
      </w:pPr>
    </w:p>
    <w:p w:rsidR="005238F9" w:rsidP="00F12165">
      <w:pPr>
        <w:pStyle w:val="BodyText"/>
      </w:pPr>
    </w:p>
    <w:p w:rsidR="00000000" w:rsidRPr="00F12165" w:rsidP="00F12165">
      <w:pPr>
        <w:pStyle w:val="Heading1"/>
      </w:pPr>
      <w:bookmarkStart w:id="11" w:name="O_255397"/>
      <w:bookmarkEnd w:id="11"/>
      <w:r w:rsidRPr="00F12165">
        <w:t>Range Statement</w:t>
      </w:r>
    </w:p>
    <w:tbl>
      <w:tblPr>
        <w:tblW w:w="0" w:type="auto"/>
        <w:tblLayout w:type="fixed"/>
        <w:tblCellMar>
          <w:left w:w="62" w:type="dxa"/>
          <w:right w:w="62" w:type="dxa"/>
        </w:tblCellMar>
        <w:tblLook w:val="0000"/>
      </w:tblPr>
      <w:tblGrid>
        <w:gridCol w:w="8460"/>
      </w:tblGrid>
      <w:tr w:rsidTr="005238F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12165">
            <w:pPr>
              <w:pStyle w:val="BodyText"/>
              <w:rPr>
                <w:lang w:val="en-NZ"/>
              </w:rPr>
            </w:pPr>
            <w:r w:rsidRPr="00F12165">
              <w:rPr>
                <w:rStyle w:val="SpecialBold"/>
              </w:rPr>
              <w:t>RANGE STATEMENT</w:t>
            </w:r>
          </w:p>
        </w:tc>
      </w:tr>
      <w:tr w:rsidTr="005238F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F12165">
            <w:pPr>
              <w:pStyle w:val="BodyText"/>
              <w:rPr>
                <w:lang w:val="en-NZ"/>
              </w:rPr>
            </w:pPr>
            <w:r w:rsidRPr="00F12165">
              <w:rPr>
                <w:rStyle w:val="SpecialBold"/>
              </w:rPr>
              <w:t>8</w:t>
            </w:r>
            <w:r w:rsidRPr="00F12165">
              <w:t>) This relates to the unit as a whole providing the range of contexts and conditions to which the performance criteria apply. It allows for different work environments and situations that will affect performance.</w:t>
            </w:r>
          </w:p>
        </w:tc>
      </w:tr>
      <w:tr w:rsidTr="005238F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F12165">
            <w:pPr>
              <w:pStyle w:val="BodyText"/>
              <w:rPr>
                <w:lang w:val="en-NZ"/>
              </w:rPr>
            </w:pPr>
            <w:r w:rsidRPr="00F12165">
              <w:t>This unit shall be demonstrated by diagnosing and rectifying at least four faults system faults in a representative range of electronic telecommunication apparatus and systems.</w:t>
            </w:r>
          </w:p>
        </w:tc>
      </w:tr>
      <w:tr w:rsidTr="005238F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12165" w:rsidP="00F12165">
            <w:pPr>
              <w:pStyle w:val="BodyText"/>
            </w:pPr>
            <w:r w:rsidRPr="00F12165">
              <w:t>Generic terms used throughout this Vocational Standard shall be regarded as pa</w:t>
            </w:r>
            <w:r w:rsidRPr="00F12165">
              <w:t>rt of the Range Statement in which competency is demonstrated. The definition of these and other terms that apply are given in Volume 2, Part 2.1.</w:t>
            </w:r>
          </w:p>
        </w:tc>
      </w:tr>
    </w:tbl>
    <w:p w:rsidR="005238F9" w:rsidP="00F12165">
      <w:pPr>
        <w:pStyle w:val="BodyText"/>
      </w:pPr>
    </w:p>
    <w:p w:rsidR="005238F9" w:rsidP="00F12165">
      <w:pPr>
        <w:pStyle w:val="BodyText"/>
      </w:pPr>
    </w:p>
    <w:p w:rsidR="00000000" w:rsidRPr="00F12165" w:rsidP="00F12165">
      <w:pPr>
        <w:pStyle w:val="Heading1"/>
      </w:pPr>
      <w:bookmarkStart w:id="12" w:name="O_296410"/>
      <w:bookmarkEnd w:id="12"/>
      <w:r w:rsidRPr="00F12165">
        <w:t>Unit Sector(s)</w:t>
      </w:r>
    </w:p>
    <w:p w:rsidR="00000000" w:rsidRPr="00F12165" w:rsidP="00F12165">
      <w:pPr>
        <w:pStyle w:val="BodyText"/>
      </w:pPr>
      <w:r w:rsidRPr="00F12165">
        <w:t>Not Applicable</w:t>
      </w:r>
    </w:p>
    <w:p w:rsidR="00000000" w:rsidRPr="00F12165" w:rsidP="00F12165">
      <w:pPr>
        <w:pStyle w:val="AllowPageBreak"/>
      </w:pPr>
    </w:p>
    <w:p w:rsidR="00000000" w:rsidRPr="00F12165" w:rsidP="00F12165">
      <w:pPr>
        <w:pStyle w:val="Heading1"/>
      </w:pPr>
      <w:bookmarkStart w:id="13" w:name="O_226771"/>
      <w:bookmarkEnd w:id="13"/>
      <w:r w:rsidRPr="00F12165">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5238F9">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F12165" w:rsidP="00F12165">
            <w:pPr>
              <w:pStyle w:val="BodyText"/>
            </w:pPr>
            <w:r w:rsidRPr="00F12165">
              <w:rPr>
                <w:rStyle w:val="SpecialBold"/>
              </w:rPr>
              <w:t>2</w:t>
            </w:r>
            <w:r w:rsidRPr="00F12165">
              <w:t>.</w:t>
            </w:r>
            <w:r w:rsidRPr="00F12165">
              <w:rPr>
                <w:rStyle w:val="SpecialBold"/>
              </w:rPr>
              <w:t>2</w:t>
            </w:r>
            <w:r w:rsidRPr="00F12165">
              <w:t xml:space="preserve">) </w:t>
            </w:r>
            <w:r w:rsidRPr="00F12165">
              <w:rPr>
                <w:rStyle w:val="SpecialBold"/>
              </w:rPr>
              <w:t>Literacy and numerac</w:t>
            </w:r>
            <w:r w:rsidRPr="00F12165">
              <w:rPr>
                <w:rStyle w:val="SpecialBold"/>
              </w:rPr>
              <w:t>y skills</w:t>
            </w:r>
          </w:p>
          <w:p w:rsidR="00000000" w:rsidP="00F12165">
            <w:pPr>
              <w:pStyle w:val="BodyText"/>
              <w:rPr>
                <w:lang w:val="en-NZ"/>
              </w:rPr>
            </w:pPr>
            <w:r w:rsidRPr="00F12165">
              <w:t>Participants are best equipped to achieve competency in this unit if they have reading, writing and numeracy skills indicated by the following scales. Description of each scale is given in Volume 2, Part 3 'Literacy and Numeracy'</w:t>
            </w:r>
          </w:p>
        </w:tc>
      </w:tr>
      <w:tr w:rsidTr="005238F9">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F12165">
            <w:pPr>
              <w:pStyle w:val="BodyText"/>
              <w:rPr>
                <w:lang w:val="en-NZ"/>
              </w:rPr>
            </w:pPr>
            <w:r w:rsidRPr="00F12165">
              <w:t>Reading</w:t>
            </w:r>
          </w:p>
        </w:tc>
        <w:tc>
          <w:tcPr>
            <w:tcW w:w="1182" w:type="dxa"/>
            <w:tcBorders>
              <w:top w:val="nil"/>
              <w:left w:val="nil"/>
              <w:bottom w:val="nil"/>
              <w:right w:val="nil"/>
            </w:tcBorders>
            <w:tcMar>
              <w:top w:w="0" w:type="dxa"/>
              <w:left w:w="62" w:type="dxa"/>
              <w:bottom w:w="0" w:type="dxa"/>
              <w:right w:w="62" w:type="dxa"/>
            </w:tcMar>
          </w:tcPr>
          <w:p w:rsidR="00000000" w:rsidP="00F12165">
            <w:pPr>
              <w:pStyle w:val="BodyText"/>
              <w:rPr>
                <w:lang w:val="en-NZ"/>
              </w:rPr>
            </w:pPr>
            <w:r w:rsidRPr="00F12165">
              <w:t>4</w:t>
            </w:r>
          </w:p>
        </w:tc>
        <w:tc>
          <w:tcPr>
            <w:tcW w:w="1739" w:type="dxa"/>
            <w:tcBorders>
              <w:top w:val="nil"/>
              <w:left w:val="nil"/>
              <w:bottom w:val="nil"/>
              <w:right w:val="nil"/>
            </w:tcBorders>
            <w:tcMar>
              <w:top w:w="0" w:type="dxa"/>
              <w:left w:w="62" w:type="dxa"/>
              <w:bottom w:w="0" w:type="dxa"/>
              <w:right w:w="62" w:type="dxa"/>
            </w:tcMar>
          </w:tcPr>
          <w:p w:rsidR="00000000" w:rsidP="00F12165">
            <w:pPr>
              <w:pStyle w:val="BodyText"/>
              <w:rPr>
                <w:lang w:val="en-NZ"/>
              </w:rPr>
            </w:pPr>
            <w:r w:rsidRPr="00F12165">
              <w:t>Writing</w:t>
            </w:r>
          </w:p>
        </w:tc>
        <w:tc>
          <w:tcPr>
            <w:tcW w:w="1182" w:type="dxa"/>
            <w:tcBorders>
              <w:top w:val="nil"/>
              <w:left w:val="nil"/>
              <w:bottom w:val="nil"/>
              <w:right w:val="nil"/>
            </w:tcBorders>
            <w:tcMar>
              <w:top w:w="0" w:type="dxa"/>
              <w:left w:w="62" w:type="dxa"/>
              <w:bottom w:w="0" w:type="dxa"/>
              <w:right w:w="62" w:type="dxa"/>
            </w:tcMar>
          </w:tcPr>
          <w:p w:rsidR="00000000" w:rsidP="00F12165">
            <w:pPr>
              <w:pStyle w:val="BodyText"/>
              <w:rPr>
                <w:lang w:val="en-NZ"/>
              </w:rPr>
            </w:pPr>
            <w:r w:rsidRPr="00F12165">
              <w:t>4</w:t>
            </w:r>
          </w:p>
        </w:tc>
        <w:tc>
          <w:tcPr>
            <w:tcW w:w="1721" w:type="dxa"/>
            <w:tcBorders>
              <w:top w:val="nil"/>
              <w:left w:val="nil"/>
              <w:bottom w:val="nil"/>
              <w:right w:val="nil"/>
            </w:tcBorders>
            <w:tcMar>
              <w:top w:w="0" w:type="dxa"/>
              <w:left w:w="62" w:type="dxa"/>
              <w:bottom w:w="0" w:type="dxa"/>
              <w:right w:w="62" w:type="dxa"/>
            </w:tcMar>
          </w:tcPr>
          <w:p w:rsidR="00000000" w:rsidP="00F12165">
            <w:pPr>
              <w:pStyle w:val="BodyText"/>
              <w:rPr>
                <w:lang w:val="en-NZ"/>
              </w:rPr>
            </w:pPr>
            <w:r w:rsidRPr="00F12165">
              <w:t>Numeracy</w:t>
            </w:r>
          </w:p>
        </w:tc>
        <w:tc>
          <w:tcPr>
            <w:tcW w:w="1182" w:type="dxa"/>
            <w:tcBorders>
              <w:top w:val="nil"/>
              <w:left w:val="nil"/>
              <w:bottom w:val="nil"/>
              <w:right w:val="nil"/>
            </w:tcBorders>
            <w:tcMar>
              <w:top w:w="0" w:type="dxa"/>
              <w:left w:w="62" w:type="dxa"/>
              <w:bottom w:w="0" w:type="dxa"/>
              <w:right w:w="62" w:type="dxa"/>
            </w:tcMar>
          </w:tcPr>
          <w:p w:rsidR="00000000" w:rsidRPr="00F12165" w:rsidP="00F12165">
            <w:pPr>
              <w:pStyle w:val="BodyText"/>
            </w:pPr>
            <w:r w:rsidRPr="00F12165">
              <w:t>4</w:t>
            </w:r>
          </w:p>
        </w:tc>
      </w:tr>
    </w:tbl>
    <w:p w:rsidR="005238F9" w:rsidP="00F12165">
      <w:pPr>
        <w:pStyle w:val="BodyText"/>
      </w:pPr>
    </w:p>
    <w:p w:rsidR="005238F9" w:rsidP="00F12165">
      <w:pPr>
        <w:pStyle w:val="BodyText"/>
      </w:pPr>
    </w:p>
    <w:p w:rsidR="00000000" w:rsidRPr="00F12165" w:rsidP="00F12165">
      <w:pPr>
        <w:pStyle w:val="Heading1"/>
      </w:pPr>
      <w:bookmarkStart w:id="14" w:name="O_226774"/>
      <w:bookmarkEnd w:id="14"/>
      <w:r w:rsidRPr="00F12165">
        <w:t>2.2) Literacy and numeracy skills</w:t>
      </w:r>
    </w:p>
    <w:tbl>
      <w:tblPr>
        <w:tblW w:w="0" w:type="auto"/>
        <w:tblLayout w:type="fixed"/>
        <w:tblCellMar>
          <w:left w:w="62" w:type="dxa"/>
          <w:right w:w="62" w:type="dxa"/>
        </w:tblCellMar>
        <w:tblLook w:val="0000"/>
      </w:tblPr>
      <w:tblGrid>
        <w:gridCol w:w="2700"/>
        <w:gridCol w:w="5760"/>
      </w:tblGrid>
      <w:tr w:rsidTr="005238F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12165" w:rsidP="00F12165">
            <w:pPr>
              <w:pStyle w:val="BodyText"/>
            </w:pPr>
            <w:r w:rsidRPr="00F12165">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F12165">
            <w:pPr>
              <w:pStyle w:val="BodyText"/>
              <w:rPr>
                <w:lang w:val="en-NZ"/>
              </w:rPr>
            </w:pPr>
            <w:r w:rsidRPr="00F12165">
              <w:rPr>
                <w:rStyle w:val="SpecialBold"/>
              </w:rPr>
              <w:t>5</w:t>
            </w:r>
            <w:r w:rsidRPr="00F12165">
              <w:t>)</w:t>
            </w:r>
          </w:p>
        </w:tc>
      </w:tr>
      <w:tr w:rsidTr="005238F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12165" w:rsidP="00F12165">
            <w:pPr>
              <w:pStyle w:val="BodyText"/>
            </w:pPr>
            <w:r w:rsidRPr="00F12165">
              <w:t>Electronics</w:t>
            </w:r>
          </w:p>
        </w:tc>
      </w:tr>
    </w:tbl>
    <w:p w:rsidR="005238F9" w:rsidP="00F12165">
      <w:pPr>
        <w:pStyle w:val="BodyText"/>
      </w:pPr>
    </w:p>
    <w:p w:rsidR="005238F9" w:rsidP="00F12165">
      <w:pPr>
        <w:pStyle w:val="BodyText"/>
      </w:pPr>
    </w:p>
    <w:p w:rsidR="00000000" w:rsidRPr="00F12165" w:rsidP="00F12165"/>
    <w:sectPr w:rsidSect="00F1216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1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238F9" w:rsidP="005238F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1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8F9" w:rsidP="00F1216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5238F9" w:rsidP="00F1216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5238F9" w:rsidP="00F1216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1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165" w:rsidRPr="005238F9" w:rsidP="005238F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1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8F9" w:rsidRPr="002D2AF8" w:rsidP="00F12165">
    <w:pPr>
      <w:pStyle w:val="Header"/>
      <w:framePr w:wrap="around"/>
    </w:pPr>
    <w:r>
      <w:fldChar w:fldCharType="begin"/>
    </w:r>
    <w:r>
      <w:instrText xml:space="preserve"> TITLE   \* MERGEFORMAT </w:instrText>
    </w:r>
    <w:r>
      <w:fldChar w:fldCharType="separate"/>
    </w:r>
    <w:r>
      <w:t>UEENEEH033B Diagnose and rectify faults in telecommunication apparatus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5238F9" w:rsidP="00F121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B23B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E0F8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700E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21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2165"/>
    <w:pPr>
      <w:spacing w:before="360" w:after="60"/>
      <w:outlineLvl w:val="0"/>
    </w:pPr>
    <w:rPr>
      <w:sz w:val="32"/>
    </w:rPr>
  </w:style>
  <w:style w:type="paragraph" w:styleId="Heading2">
    <w:name w:val="heading 2"/>
    <w:basedOn w:val="HeadingBase"/>
    <w:next w:val="BodyText"/>
    <w:link w:val="Heading2Char"/>
    <w:qFormat/>
    <w:rsid w:val="00F12165"/>
    <w:pPr>
      <w:keepLines/>
      <w:spacing w:before="240" w:after="120"/>
      <w:outlineLvl w:val="1"/>
    </w:pPr>
    <w:rPr>
      <w:sz w:val="28"/>
      <w:szCs w:val="40"/>
    </w:rPr>
  </w:style>
  <w:style w:type="paragraph" w:styleId="Heading3">
    <w:name w:val="heading 3"/>
    <w:basedOn w:val="HeadingBase"/>
    <w:next w:val="BodyText"/>
    <w:link w:val="Heading3Char"/>
    <w:qFormat/>
    <w:rsid w:val="00F12165"/>
    <w:pPr>
      <w:spacing w:before="180" w:after="120"/>
      <w:outlineLvl w:val="2"/>
    </w:pPr>
    <w:rPr>
      <w:spacing w:val="-10"/>
      <w:kern w:val="32"/>
    </w:rPr>
  </w:style>
  <w:style w:type="paragraph" w:styleId="Heading4">
    <w:name w:val="heading 4"/>
    <w:basedOn w:val="HeadingBase"/>
    <w:next w:val="BodyText"/>
    <w:link w:val="Heading4Char"/>
    <w:qFormat/>
    <w:rsid w:val="00F12165"/>
    <w:pPr>
      <w:spacing w:before="160" w:after="120"/>
      <w:outlineLvl w:val="3"/>
    </w:pPr>
    <w:rPr>
      <w:sz w:val="22"/>
    </w:rPr>
  </w:style>
  <w:style w:type="paragraph" w:styleId="Heading5">
    <w:name w:val="heading 5"/>
    <w:basedOn w:val="HeadingBase"/>
    <w:next w:val="Normal"/>
    <w:link w:val="Heading5Char"/>
    <w:qFormat/>
    <w:rsid w:val="00F12165"/>
    <w:pPr>
      <w:spacing w:before="80"/>
      <w:outlineLvl w:val="4"/>
    </w:pPr>
    <w:rPr>
      <w:color w:val="918585"/>
      <w:sz w:val="20"/>
    </w:rPr>
  </w:style>
  <w:style w:type="paragraph" w:styleId="Heading6">
    <w:name w:val="heading 6"/>
    <w:basedOn w:val="HeadingBase"/>
    <w:next w:val="Normal"/>
    <w:link w:val="Heading6Char"/>
    <w:qFormat/>
    <w:rsid w:val="00F12165"/>
    <w:pPr>
      <w:spacing w:before="60"/>
      <w:outlineLvl w:val="5"/>
    </w:pPr>
    <w:rPr>
      <w:color w:val="918585"/>
      <w:sz w:val="20"/>
    </w:rPr>
  </w:style>
  <w:style w:type="paragraph" w:styleId="Heading7">
    <w:name w:val="heading 7"/>
    <w:basedOn w:val="Normal"/>
    <w:next w:val="Normal"/>
    <w:link w:val="Heading7Char"/>
    <w:qFormat/>
    <w:rsid w:val="00F12165"/>
    <w:pPr>
      <w:ind w:left="720"/>
      <w:outlineLvl w:val="6"/>
    </w:pPr>
    <w:rPr>
      <w:i/>
    </w:rPr>
  </w:style>
  <w:style w:type="paragraph" w:styleId="Heading8">
    <w:name w:val="heading 8"/>
    <w:basedOn w:val="Normal"/>
    <w:next w:val="Normal"/>
    <w:link w:val="Heading8Char"/>
    <w:qFormat/>
    <w:rsid w:val="00F12165"/>
    <w:pPr>
      <w:ind w:left="720"/>
      <w:outlineLvl w:val="7"/>
    </w:pPr>
    <w:rPr>
      <w:i/>
    </w:rPr>
  </w:style>
  <w:style w:type="paragraph" w:styleId="Heading9">
    <w:name w:val="heading 9"/>
    <w:basedOn w:val="Normal"/>
    <w:next w:val="Normal"/>
    <w:link w:val="Heading9Char"/>
    <w:qFormat/>
    <w:rsid w:val="00F12165"/>
    <w:pPr>
      <w:ind w:left="720"/>
      <w:outlineLvl w:val="8"/>
    </w:pPr>
    <w:rPr>
      <w:i/>
    </w:rPr>
  </w:style>
  <w:style w:type="character" w:default="1" w:styleId="DefaultParagraphFont">
    <w:name w:val="Default Paragraph Font"/>
    <w:uiPriority w:val="1"/>
    <w:unhideWhenUsed/>
    <w:rsid w:val="00F121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2165"/>
  </w:style>
  <w:style w:type="character" w:customStyle="1" w:styleId="Heading1Char">
    <w:name w:val="Heading 1 Char"/>
    <w:basedOn w:val="DefaultParagraphFont"/>
    <w:link w:val="Heading1"/>
    <w:rsid w:val="00F12165"/>
    <w:rPr>
      <w:rFonts w:ascii="Times New Roman" w:eastAsia="Times New Roman" w:hAnsi="Times New Roman" w:cs="Times New Roman"/>
      <w:b/>
      <w:sz w:val="32"/>
      <w:szCs w:val="20"/>
      <w:lang w:eastAsia="en-US"/>
    </w:rPr>
  </w:style>
  <w:style w:type="paragraph" w:styleId="BodyText">
    <w:name w:val="Body Text"/>
    <w:basedOn w:val="Normal"/>
    <w:link w:val="BodyTextChar"/>
    <w:rsid w:val="00F1216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12165"/>
    <w:rPr>
      <w:rFonts w:ascii="Times New Roman" w:eastAsia="Times New Roman" w:hAnsi="Times New Roman" w:cs="Times New Roman"/>
      <w:sz w:val="24"/>
      <w:lang w:eastAsia="en-US"/>
    </w:rPr>
  </w:style>
  <w:style w:type="paragraph" w:styleId="Footer">
    <w:name w:val="footer"/>
    <w:basedOn w:val="Normal"/>
    <w:link w:val="FooterChar"/>
    <w:rsid w:val="00F121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2165"/>
    <w:rPr>
      <w:rFonts w:ascii="Times New Roman" w:eastAsia="Times New Roman" w:hAnsi="Times New Roman" w:cs="Times New Roman"/>
      <w:sz w:val="16"/>
      <w:lang w:eastAsia="en-US"/>
    </w:rPr>
  </w:style>
  <w:style w:type="paragraph" w:styleId="ListBullet">
    <w:name w:val="List Bullet"/>
    <w:basedOn w:val="List"/>
    <w:rsid w:val="00F12165"/>
    <w:pPr>
      <w:numPr>
        <w:numId w:val="13"/>
      </w:numPr>
      <w:tabs>
        <w:tab w:val="clear" w:pos="340"/>
      </w:tabs>
      <w:spacing w:before="40" w:after="40"/>
    </w:pPr>
  </w:style>
  <w:style w:type="character" w:customStyle="1" w:styleId="SpecialBold">
    <w:name w:val="Special Bold"/>
    <w:basedOn w:val="DefaultParagraphFont"/>
    <w:rsid w:val="00F12165"/>
    <w:rPr>
      <w:b/>
      <w:spacing w:val="0"/>
    </w:rPr>
  </w:style>
  <w:style w:type="paragraph" w:styleId="ListBullet2">
    <w:name w:val="List Bullet 2"/>
    <w:basedOn w:val="List2"/>
    <w:rsid w:val="00F12165"/>
    <w:pPr>
      <w:numPr>
        <w:numId w:val="14"/>
      </w:numPr>
      <w:tabs>
        <w:tab w:val="clear" w:pos="680"/>
      </w:tabs>
    </w:pPr>
  </w:style>
  <w:style w:type="paragraph" w:customStyle="1" w:styleId="SuperHeading">
    <w:name w:val="SuperHeading"/>
    <w:basedOn w:val="Normal"/>
    <w:rsid w:val="00F12165"/>
    <w:pPr>
      <w:spacing w:before="240" w:after="120"/>
      <w:outlineLvl w:val="0"/>
    </w:pPr>
    <w:rPr>
      <w:rFonts w:ascii="Times New Roman" w:hAnsi="Times New Roman"/>
      <w:b/>
      <w:sz w:val="28"/>
    </w:rPr>
  </w:style>
  <w:style w:type="paragraph" w:customStyle="1" w:styleId="AllowPageBreak">
    <w:name w:val="AllowPageBreak"/>
    <w:rsid w:val="00F1216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121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21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21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21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21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21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21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2165"/>
    <w:rPr>
      <w:rFonts w:ascii="Courier New" w:eastAsia="Times New Roman" w:hAnsi="Courier New" w:cs="Times New Roman"/>
      <w:i/>
      <w:szCs w:val="20"/>
      <w:lang w:eastAsia="en-US"/>
    </w:rPr>
  </w:style>
  <w:style w:type="paragraph" w:customStyle="1" w:styleId="HeadingBase">
    <w:name w:val="Heading Base"/>
    <w:rsid w:val="00F121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2165"/>
    <w:pPr>
      <w:tabs>
        <w:tab w:val="right" w:leader="dot" w:pos="9072"/>
      </w:tabs>
      <w:ind w:left="567"/>
    </w:pPr>
    <w:rPr>
      <w:szCs w:val="22"/>
    </w:rPr>
  </w:style>
  <w:style w:type="paragraph" w:customStyle="1" w:styleId="TOCBase">
    <w:name w:val="TOC Base"/>
    <w:rsid w:val="00F121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2165"/>
    <w:pPr>
      <w:tabs>
        <w:tab w:val="right" w:leader="dot" w:pos="9072"/>
      </w:tabs>
      <w:spacing w:before="40" w:after="40"/>
      <w:ind w:left="284"/>
    </w:pPr>
    <w:rPr>
      <w:rFonts w:ascii="Times New Roman" w:hAnsi="Times New Roman"/>
    </w:rPr>
  </w:style>
  <w:style w:type="paragraph" w:styleId="TOC1">
    <w:name w:val="toc 1"/>
    <w:basedOn w:val="TOCBase"/>
    <w:next w:val="Normal"/>
    <w:rsid w:val="00F1216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12165"/>
    <w:pPr>
      <w:spacing w:before="5040"/>
      <w:jc w:val="center"/>
    </w:pPr>
    <w:rPr>
      <w:sz w:val="48"/>
      <w:szCs w:val="72"/>
      <w:lang w:val="en-US"/>
    </w:rPr>
  </w:style>
  <w:style w:type="character" w:customStyle="1" w:styleId="TitleChar">
    <w:name w:val="Title Char"/>
    <w:basedOn w:val="DefaultParagraphFont"/>
    <w:link w:val="Title"/>
    <w:rsid w:val="00F121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2165"/>
    <w:pPr>
      <w:tabs>
        <w:tab w:val="left" w:pos="3600"/>
        <w:tab w:val="left" w:pos="3958"/>
      </w:tabs>
    </w:pPr>
  </w:style>
  <w:style w:type="paragraph" w:styleId="List">
    <w:name w:val="List"/>
    <w:basedOn w:val="BodyText"/>
    <w:next w:val="BodyText"/>
    <w:rsid w:val="00F12165"/>
    <w:pPr>
      <w:tabs>
        <w:tab w:val="left" w:pos="340"/>
      </w:tabs>
      <w:spacing w:before="60" w:after="60"/>
      <w:ind w:left="340" w:hanging="340"/>
    </w:pPr>
  </w:style>
  <w:style w:type="paragraph" w:customStyle="1" w:styleId="Note">
    <w:name w:val="Note"/>
    <w:basedOn w:val="BodyText"/>
    <w:rsid w:val="00F121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2165"/>
    <w:pPr>
      <w:framePr w:wrap="auto" w:hAnchor="text" w:y="6049"/>
    </w:pPr>
    <w:rPr>
      <w:color w:val="000000"/>
      <w:sz w:val="40"/>
    </w:rPr>
  </w:style>
  <w:style w:type="paragraph" w:customStyle="1" w:styleId="TOCTitle">
    <w:name w:val="TOCTitle"/>
    <w:basedOn w:val="Heading1"/>
    <w:rsid w:val="00F12165"/>
    <w:pPr>
      <w:spacing w:after="240"/>
      <w:jc w:val="center"/>
      <w:outlineLvl w:val="9"/>
    </w:pPr>
    <w:rPr>
      <w:caps/>
    </w:rPr>
  </w:style>
  <w:style w:type="paragraph" w:customStyle="1" w:styleId="Version">
    <w:name w:val="Version"/>
    <w:rsid w:val="00F121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12165"/>
    <w:pPr>
      <w:keepNext w:val="0"/>
      <w:tabs>
        <w:tab w:val="right" w:pos="4176"/>
      </w:tabs>
      <w:ind w:left="198" w:hanging="198"/>
    </w:pPr>
    <w:rPr>
      <w:rFonts w:ascii="Garamond" w:hAnsi="Garamond"/>
    </w:rPr>
  </w:style>
  <w:style w:type="paragraph" w:styleId="IndexHeading">
    <w:name w:val="index heading"/>
    <w:basedOn w:val="Normal"/>
    <w:next w:val="Index1"/>
    <w:semiHidden/>
    <w:rsid w:val="00F12165"/>
    <w:pPr>
      <w:spacing w:before="120" w:after="120"/>
    </w:pPr>
    <w:rPr>
      <w:rFonts w:ascii="Arial" w:hAnsi="Arial"/>
      <w:b/>
      <w:color w:val="918585"/>
      <w:sz w:val="24"/>
    </w:rPr>
  </w:style>
  <w:style w:type="paragraph" w:styleId="Header">
    <w:name w:val="header"/>
    <w:basedOn w:val="Normal"/>
    <w:link w:val="HeaderChar"/>
    <w:rsid w:val="00F121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2165"/>
    <w:rPr>
      <w:rFonts w:ascii="Times New Roman" w:eastAsia="Times New Roman" w:hAnsi="Times New Roman" w:cs="Times New Roman"/>
      <w:sz w:val="16"/>
      <w:szCs w:val="20"/>
      <w:lang w:val="en-GB" w:eastAsia="en-US"/>
    </w:rPr>
  </w:style>
  <w:style w:type="paragraph" w:customStyle="1" w:styleId="Chapter">
    <w:name w:val="Chapter"/>
    <w:basedOn w:val="Normal"/>
    <w:rsid w:val="00F12165"/>
    <w:pPr>
      <w:spacing w:before="240"/>
    </w:pPr>
    <w:rPr>
      <w:rFonts w:ascii="Times New Roman" w:hAnsi="Times New Roman"/>
      <w:smallCaps/>
      <w:spacing w:val="80"/>
      <w:sz w:val="28"/>
    </w:rPr>
  </w:style>
  <w:style w:type="paragraph" w:customStyle="1" w:styleId="InChapter">
    <w:name w:val="InChapter"/>
    <w:basedOn w:val="Heading3"/>
    <w:rsid w:val="00F12165"/>
    <w:pPr>
      <w:spacing w:after="240"/>
      <w:outlineLvl w:val="9"/>
    </w:pPr>
    <w:rPr>
      <w:noProof/>
    </w:rPr>
  </w:style>
  <w:style w:type="paragraph" w:styleId="Index2">
    <w:name w:val="index 2"/>
    <w:basedOn w:val="Normal"/>
    <w:next w:val="Normal"/>
    <w:semiHidden/>
    <w:rsid w:val="00F12165"/>
    <w:pPr>
      <w:tabs>
        <w:tab w:val="right" w:pos="4176"/>
      </w:tabs>
      <w:ind w:left="568" w:hanging="284"/>
    </w:pPr>
    <w:rPr>
      <w:rFonts w:ascii="Garamond" w:hAnsi="Garamond"/>
    </w:rPr>
  </w:style>
  <w:style w:type="paragraph" w:customStyle="1" w:styleId="Byline">
    <w:name w:val="Byline"/>
    <w:rsid w:val="00F121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2165"/>
    <w:pPr>
      <w:tabs>
        <w:tab w:val="clear" w:pos="3600"/>
        <w:tab w:val="clear" w:pos="3958"/>
      </w:tabs>
      <w:jc w:val="right"/>
    </w:pPr>
  </w:style>
  <w:style w:type="character" w:styleId="Emphasis">
    <w:name w:val="Emphasis"/>
    <w:basedOn w:val="DefaultParagraphFont"/>
    <w:qFormat/>
    <w:rsid w:val="00F12165"/>
    <w:rPr>
      <w:i/>
    </w:rPr>
  </w:style>
  <w:style w:type="paragraph" w:styleId="Caption">
    <w:name w:val="caption"/>
    <w:basedOn w:val="BodyText"/>
    <w:next w:val="Normal"/>
    <w:qFormat/>
    <w:rsid w:val="00F12165"/>
    <w:pPr>
      <w:framePr w:w="2268" w:hSpace="181" w:vSpace="181" w:wrap="around" w:vAnchor="text" w:hAnchor="page" w:x="1135" w:y="285" w:anchorLock="1"/>
    </w:pPr>
    <w:rPr>
      <w:i/>
    </w:rPr>
  </w:style>
  <w:style w:type="paragraph" w:customStyle="1" w:styleId="MiniTOCTitle">
    <w:name w:val="MiniTOCTitle"/>
    <w:basedOn w:val="Heading4"/>
    <w:rsid w:val="00F12165"/>
    <w:pPr>
      <w:spacing w:before="240"/>
      <w:outlineLvl w:val="9"/>
    </w:pPr>
    <w:rPr>
      <w:noProof/>
      <w:sz w:val="24"/>
    </w:rPr>
  </w:style>
  <w:style w:type="paragraph" w:customStyle="1" w:styleId="MiniTOCItem">
    <w:name w:val="MiniTOCItem"/>
    <w:basedOn w:val="ListBullet"/>
    <w:rsid w:val="00F12165"/>
    <w:pPr>
      <w:numPr>
        <w:numId w:val="0"/>
      </w:numPr>
      <w:tabs>
        <w:tab w:val="right" w:leader="dot" w:pos="6521"/>
      </w:tabs>
      <w:spacing w:before="0" w:after="0"/>
    </w:pPr>
  </w:style>
  <w:style w:type="paragraph" w:customStyle="1" w:styleId="TOFTitle">
    <w:name w:val="TOFTitle"/>
    <w:basedOn w:val="TOCTitle"/>
    <w:rsid w:val="00F12165"/>
  </w:style>
  <w:style w:type="paragraph" w:styleId="TableofFigures">
    <w:name w:val="table of figures"/>
    <w:basedOn w:val="Normal"/>
    <w:next w:val="Normal"/>
    <w:semiHidden/>
    <w:rsid w:val="00F12165"/>
    <w:pPr>
      <w:tabs>
        <w:tab w:val="right" w:leader="dot" w:pos="9072"/>
      </w:tabs>
      <w:ind w:left="970" w:hanging="403"/>
    </w:pPr>
    <w:rPr>
      <w:rFonts w:ascii="Times New Roman" w:hAnsi="Times New Roman"/>
      <w:b/>
    </w:rPr>
  </w:style>
  <w:style w:type="paragraph" w:styleId="ListNumber">
    <w:name w:val="List Number"/>
    <w:basedOn w:val="List"/>
    <w:rsid w:val="00F12165"/>
    <w:pPr>
      <w:numPr>
        <w:numId w:val="11"/>
      </w:numPr>
    </w:pPr>
  </w:style>
  <w:style w:type="character" w:customStyle="1" w:styleId="WingdingSymbols">
    <w:name w:val="Wingding Symbols"/>
    <w:rsid w:val="00F12165"/>
    <w:rPr>
      <w:rFonts w:ascii="Wingdings" w:hAnsi="Wingdings"/>
    </w:rPr>
  </w:style>
  <w:style w:type="paragraph" w:customStyle="1" w:styleId="TableHeading">
    <w:name w:val="Table Heading"/>
    <w:basedOn w:val="HeadingBase"/>
    <w:rsid w:val="00F12165"/>
    <w:pPr>
      <w:keepLines/>
      <w:pBdr>
        <w:bottom w:val="single" w:sz="6" w:space="1" w:color="918585"/>
      </w:pBdr>
      <w:spacing w:before="240"/>
    </w:pPr>
  </w:style>
  <w:style w:type="character" w:customStyle="1" w:styleId="HotSpot">
    <w:name w:val="HotSpot"/>
    <w:rsid w:val="00F12165"/>
    <w:rPr>
      <w:color w:val="0033CC"/>
      <w:u w:val="none"/>
    </w:rPr>
  </w:style>
  <w:style w:type="paragraph" w:customStyle="1" w:styleId="BodyTextRight">
    <w:name w:val="Body Text Right"/>
    <w:basedOn w:val="BodyText"/>
    <w:rsid w:val="00F12165"/>
    <w:pPr>
      <w:spacing w:before="0" w:after="0"/>
      <w:jc w:val="right"/>
    </w:pPr>
  </w:style>
  <w:style w:type="paragraph" w:styleId="Index3">
    <w:name w:val="index 3"/>
    <w:basedOn w:val="ListNumber2"/>
    <w:next w:val="Normal"/>
    <w:semiHidden/>
    <w:rsid w:val="00F12165"/>
    <w:pPr>
      <w:numPr>
        <w:numId w:val="0"/>
      </w:numPr>
      <w:tabs>
        <w:tab w:val="right" w:leader="dot" w:pos="4176"/>
      </w:tabs>
    </w:pPr>
  </w:style>
  <w:style w:type="paragraph" w:styleId="ListNumber2">
    <w:name w:val="List Number 2"/>
    <w:basedOn w:val="List2"/>
    <w:rsid w:val="00F12165"/>
    <w:pPr>
      <w:numPr>
        <w:numId w:val="10"/>
      </w:numPr>
      <w:tabs>
        <w:tab w:val="clear" w:pos="1060"/>
      </w:tabs>
    </w:pPr>
  </w:style>
  <w:style w:type="paragraph" w:customStyle="1" w:styleId="MarginNote">
    <w:name w:val="Margin Note"/>
    <w:basedOn w:val="BodyText"/>
    <w:rsid w:val="00F121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21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21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2165"/>
    <w:rPr>
      <w:sz w:val="32"/>
    </w:rPr>
  </w:style>
  <w:style w:type="paragraph" w:customStyle="1" w:styleId="HeadingProcedure">
    <w:name w:val="Heading Procedure"/>
    <w:basedOn w:val="HeadingBase"/>
    <w:next w:val="Normal"/>
    <w:rsid w:val="00F12165"/>
    <w:pPr>
      <w:tabs>
        <w:tab w:val="left" w:pos="0"/>
      </w:tabs>
      <w:spacing w:before="120" w:after="60"/>
    </w:pPr>
    <w:rPr>
      <w:i/>
      <w:color w:val="918585"/>
      <w:sz w:val="22"/>
    </w:rPr>
  </w:style>
  <w:style w:type="paragraph" w:customStyle="1" w:styleId="TableBodyText">
    <w:name w:val="Table Body Text"/>
    <w:basedOn w:val="BodyText"/>
    <w:rsid w:val="00F12165"/>
    <w:pPr>
      <w:spacing w:before="60" w:after="60"/>
    </w:pPr>
  </w:style>
  <w:style w:type="paragraph" w:styleId="ListContinue">
    <w:name w:val="List Continue"/>
    <w:basedOn w:val="List"/>
    <w:rsid w:val="00F12165"/>
    <w:pPr>
      <w:ind w:firstLine="0"/>
    </w:pPr>
  </w:style>
  <w:style w:type="paragraph" w:customStyle="1" w:styleId="ListNote">
    <w:name w:val="List Note"/>
    <w:basedOn w:val="List"/>
    <w:rsid w:val="00F12165"/>
    <w:pPr>
      <w:pBdr>
        <w:top w:val="single" w:sz="6" w:space="2" w:color="918585"/>
        <w:bottom w:val="single" w:sz="6" w:space="2" w:color="918585"/>
      </w:pBdr>
      <w:tabs>
        <w:tab w:val="left" w:pos="1021"/>
      </w:tabs>
      <w:ind w:firstLine="0"/>
    </w:pPr>
  </w:style>
  <w:style w:type="paragraph" w:customStyle="1" w:styleId="Warning">
    <w:name w:val="Warning"/>
    <w:basedOn w:val="BodyText"/>
    <w:rsid w:val="00F12165"/>
    <w:pPr>
      <w:shd w:val="clear" w:color="auto" w:fill="D9D9D9"/>
      <w:tabs>
        <w:tab w:val="left" w:pos="992"/>
      </w:tabs>
      <w:ind w:left="119" w:right="119"/>
    </w:pPr>
    <w:rPr>
      <w:sz w:val="20"/>
    </w:rPr>
  </w:style>
  <w:style w:type="paragraph" w:customStyle="1" w:styleId="MarginIcons">
    <w:name w:val="Margin Icons"/>
    <w:basedOn w:val="BodyText"/>
    <w:rsid w:val="00F121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2165"/>
    <w:rPr>
      <w:rFonts w:ascii="Courier New" w:hAnsi="Courier New"/>
    </w:rPr>
  </w:style>
  <w:style w:type="paragraph" w:customStyle="1" w:styleId="NoteBullet">
    <w:name w:val="Note Bullet"/>
    <w:basedOn w:val="Note"/>
    <w:rsid w:val="00F12165"/>
    <w:pPr>
      <w:tabs>
        <w:tab w:val="clear" w:pos="680"/>
      </w:tabs>
      <w:spacing w:before="60" w:after="60"/>
    </w:pPr>
  </w:style>
  <w:style w:type="paragraph" w:customStyle="1" w:styleId="SubHeading2">
    <w:name w:val="SubHeading2"/>
    <w:basedOn w:val="HeadingBase"/>
    <w:rsid w:val="00F12165"/>
    <w:pPr>
      <w:spacing w:before="240" w:after="60"/>
    </w:pPr>
    <w:rPr>
      <w:sz w:val="20"/>
    </w:rPr>
  </w:style>
  <w:style w:type="paragraph" w:customStyle="1" w:styleId="SubHeading1">
    <w:name w:val="SubHeading1"/>
    <w:basedOn w:val="HeadingBase"/>
    <w:rsid w:val="00F12165"/>
    <w:pPr>
      <w:spacing w:before="240" w:after="60"/>
    </w:pPr>
    <w:rPr>
      <w:color w:val="918585"/>
      <w:sz w:val="22"/>
    </w:rPr>
  </w:style>
  <w:style w:type="paragraph" w:customStyle="1" w:styleId="SideHeading">
    <w:name w:val="Side Heading"/>
    <w:basedOn w:val="HeadingBase"/>
    <w:rsid w:val="00F121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2165"/>
    <w:pPr>
      <w:numPr>
        <w:numId w:val="12"/>
      </w:numPr>
    </w:pPr>
  </w:style>
  <w:style w:type="paragraph" w:styleId="PlainText">
    <w:name w:val="Plain Text"/>
    <w:basedOn w:val="Normal"/>
    <w:link w:val="PlainTextChar"/>
    <w:rsid w:val="00F12165"/>
    <w:rPr>
      <w:sz w:val="20"/>
    </w:rPr>
  </w:style>
  <w:style w:type="character" w:customStyle="1" w:styleId="PlainTextChar">
    <w:name w:val="Plain Text Char"/>
    <w:basedOn w:val="DefaultParagraphFont"/>
    <w:link w:val="PlainText"/>
    <w:rsid w:val="00F12165"/>
    <w:rPr>
      <w:rFonts w:ascii="Courier New" w:eastAsia="Times New Roman" w:hAnsi="Courier New" w:cs="Times New Roman"/>
      <w:sz w:val="20"/>
      <w:szCs w:val="20"/>
      <w:lang w:eastAsia="en-US"/>
    </w:rPr>
  </w:style>
  <w:style w:type="character" w:customStyle="1" w:styleId="MenuOption">
    <w:name w:val="Menu Option"/>
    <w:basedOn w:val="DefaultParagraphFont"/>
    <w:rsid w:val="00F12165"/>
    <w:rPr>
      <w:b/>
      <w:smallCaps/>
    </w:rPr>
  </w:style>
  <w:style w:type="paragraph" w:customStyle="1" w:styleId="TableListNumber">
    <w:name w:val="Table List Number"/>
    <w:basedOn w:val="ListNumber"/>
    <w:rsid w:val="00F12165"/>
    <w:pPr>
      <w:numPr>
        <w:numId w:val="0"/>
      </w:numPr>
    </w:pPr>
  </w:style>
  <w:style w:type="paragraph" w:styleId="TOC4">
    <w:name w:val="toc 4"/>
    <w:basedOn w:val="TOCBase"/>
    <w:next w:val="Normal"/>
    <w:semiHidden/>
    <w:rsid w:val="00F12165"/>
    <w:pPr>
      <w:tabs>
        <w:tab w:val="right" w:leader="dot" w:pos="9071"/>
      </w:tabs>
      <w:ind w:left="1701"/>
    </w:pPr>
  </w:style>
  <w:style w:type="paragraph" w:customStyle="1" w:styleId="ListAlpha">
    <w:name w:val="List Alpha"/>
    <w:basedOn w:val="List"/>
    <w:rsid w:val="00F12165"/>
    <w:pPr>
      <w:numPr>
        <w:numId w:val="9"/>
      </w:numPr>
    </w:pPr>
  </w:style>
  <w:style w:type="paragraph" w:customStyle="1" w:styleId="ListAlpha2">
    <w:name w:val="List Alpha 2"/>
    <w:basedOn w:val="List2"/>
    <w:rsid w:val="00F12165"/>
    <w:pPr>
      <w:numPr>
        <w:numId w:val="8"/>
      </w:numPr>
    </w:pPr>
  </w:style>
  <w:style w:type="paragraph" w:styleId="List2">
    <w:name w:val="List 2"/>
    <w:basedOn w:val="BodyText"/>
    <w:rsid w:val="00F12165"/>
    <w:pPr>
      <w:tabs>
        <w:tab w:val="left" w:pos="680"/>
      </w:tabs>
      <w:spacing w:before="60" w:after="60"/>
      <w:ind w:left="680" w:hanging="340"/>
    </w:pPr>
  </w:style>
  <w:style w:type="paragraph" w:styleId="List3">
    <w:name w:val="List 3"/>
    <w:basedOn w:val="BodyText"/>
    <w:rsid w:val="00F12165"/>
    <w:pPr>
      <w:tabs>
        <w:tab w:val="left" w:pos="1021"/>
      </w:tabs>
      <w:spacing w:before="60" w:after="60"/>
      <w:ind w:left="1020" w:hanging="340"/>
    </w:pPr>
  </w:style>
  <w:style w:type="paragraph" w:styleId="List4">
    <w:name w:val="List 4"/>
    <w:basedOn w:val="BodyText"/>
    <w:rsid w:val="00F12165"/>
    <w:pPr>
      <w:tabs>
        <w:tab w:val="left" w:pos="1361"/>
      </w:tabs>
      <w:spacing w:before="60" w:after="60"/>
      <w:ind w:left="1361" w:hanging="340"/>
    </w:pPr>
  </w:style>
  <w:style w:type="paragraph" w:styleId="List5">
    <w:name w:val="List 5"/>
    <w:basedOn w:val="BodyText"/>
    <w:rsid w:val="00F12165"/>
    <w:pPr>
      <w:tabs>
        <w:tab w:val="left" w:pos="1701"/>
      </w:tabs>
      <w:spacing w:before="60" w:after="60"/>
      <w:ind w:left="1701" w:hanging="340"/>
    </w:pPr>
  </w:style>
  <w:style w:type="paragraph" w:styleId="ListBullet3">
    <w:name w:val="List Bullet 3"/>
    <w:basedOn w:val="List3"/>
    <w:rsid w:val="00F12165"/>
    <w:pPr>
      <w:numPr>
        <w:numId w:val="15"/>
      </w:numPr>
      <w:tabs>
        <w:tab w:val="clear" w:pos="1021"/>
      </w:tabs>
      <w:ind w:left="1037" w:hanging="357"/>
    </w:pPr>
  </w:style>
  <w:style w:type="paragraph" w:styleId="ListBullet4">
    <w:name w:val="List Bullet 4"/>
    <w:basedOn w:val="List4"/>
    <w:rsid w:val="00F12165"/>
    <w:pPr>
      <w:numPr>
        <w:numId w:val="3"/>
      </w:numPr>
    </w:pPr>
  </w:style>
  <w:style w:type="paragraph" w:styleId="ListBullet5">
    <w:name w:val="List Bullet 5"/>
    <w:basedOn w:val="List5"/>
    <w:rsid w:val="00F12165"/>
    <w:pPr>
      <w:numPr>
        <w:numId w:val="4"/>
      </w:numPr>
    </w:pPr>
  </w:style>
  <w:style w:type="paragraph" w:styleId="ListContinue2">
    <w:name w:val="List Continue 2"/>
    <w:basedOn w:val="List2"/>
    <w:rsid w:val="00F12165"/>
    <w:pPr>
      <w:ind w:firstLine="0"/>
    </w:pPr>
  </w:style>
  <w:style w:type="paragraph" w:styleId="ListContinue3">
    <w:name w:val="List Continue 3"/>
    <w:basedOn w:val="List3"/>
    <w:rsid w:val="00F12165"/>
    <w:pPr>
      <w:ind w:left="1021" w:firstLine="0"/>
    </w:pPr>
  </w:style>
  <w:style w:type="paragraph" w:styleId="ListContinue4">
    <w:name w:val="List Continue 4"/>
    <w:basedOn w:val="List4"/>
    <w:rsid w:val="00F12165"/>
    <w:pPr>
      <w:ind w:firstLine="0"/>
    </w:pPr>
  </w:style>
  <w:style w:type="paragraph" w:styleId="ListContinue5">
    <w:name w:val="List Continue 5"/>
    <w:basedOn w:val="List5"/>
    <w:rsid w:val="00F12165"/>
    <w:pPr>
      <w:ind w:firstLine="0"/>
    </w:pPr>
  </w:style>
  <w:style w:type="paragraph" w:styleId="ListNumber3">
    <w:name w:val="List Number 3"/>
    <w:basedOn w:val="List3"/>
    <w:rsid w:val="00F12165"/>
    <w:pPr>
      <w:numPr>
        <w:numId w:val="5"/>
      </w:numPr>
    </w:pPr>
  </w:style>
  <w:style w:type="paragraph" w:styleId="ListNumber4">
    <w:name w:val="List Number 4"/>
    <w:basedOn w:val="List4"/>
    <w:rsid w:val="00F12165"/>
    <w:pPr>
      <w:numPr>
        <w:numId w:val="6"/>
      </w:numPr>
    </w:pPr>
  </w:style>
  <w:style w:type="paragraph" w:styleId="ListNumber5">
    <w:name w:val="List Number 5"/>
    <w:basedOn w:val="List5"/>
    <w:rsid w:val="00F12165"/>
    <w:pPr>
      <w:numPr>
        <w:numId w:val="7"/>
      </w:numPr>
    </w:pPr>
  </w:style>
  <w:style w:type="paragraph" w:styleId="BlockText">
    <w:name w:val="Block Text"/>
    <w:basedOn w:val="Normal"/>
    <w:rsid w:val="00F12165"/>
    <w:pPr>
      <w:spacing w:after="120"/>
      <w:ind w:left="1440" w:right="1440"/>
    </w:pPr>
  </w:style>
  <w:style w:type="character" w:customStyle="1" w:styleId="Subscript">
    <w:name w:val="Subscript"/>
    <w:basedOn w:val="DefaultParagraphFont"/>
    <w:rsid w:val="00F12165"/>
    <w:rPr>
      <w:sz w:val="16"/>
      <w:vertAlign w:val="subscript"/>
    </w:rPr>
  </w:style>
  <w:style w:type="character" w:customStyle="1" w:styleId="Superscript">
    <w:name w:val="Superscript"/>
    <w:basedOn w:val="DefaultParagraphFont"/>
    <w:rsid w:val="00F12165"/>
    <w:rPr>
      <w:sz w:val="16"/>
      <w:vertAlign w:val="superscript"/>
    </w:rPr>
  </w:style>
  <w:style w:type="character" w:customStyle="1" w:styleId="Symbols">
    <w:name w:val="Symbols"/>
    <w:basedOn w:val="DefaultParagraphFont"/>
    <w:rsid w:val="00F12165"/>
    <w:rPr>
      <w:rFonts w:ascii="Symbol" w:hAnsi="Symbol"/>
    </w:rPr>
  </w:style>
  <w:style w:type="character" w:customStyle="1" w:styleId="MenuOptions">
    <w:name w:val="Menu Options"/>
    <w:basedOn w:val="DefaultParagraphFont"/>
    <w:rsid w:val="00F12165"/>
    <w:rPr>
      <w:rFonts w:ascii="Arial Narrow" w:hAnsi="Arial Narrow"/>
      <w:smallCaps/>
    </w:rPr>
  </w:style>
  <w:style w:type="character" w:customStyle="1" w:styleId="Buttons">
    <w:name w:val="Buttons"/>
    <w:basedOn w:val="DefaultParagraphFont"/>
    <w:rsid w:val="00F12165"/>
    <w:rPr>
      <w:b/>
    </w:rPr>
  </w:style>
  <w:style w:type="character" w:customStyle="1" w:styleId="Underlined">
    <w:name w:val="Underlined"/>
    <w:basedOn w:val="DefaultParagraphFont"/>
    <w:rsid w:val="00F12165"/>
    <w:rPr>
      <w:u w:val="single"/>
    </w:rPr>
  </w:style>
  <w:style w:type="paragraph" w:customStyle="1" w:styleId="TableBodyTextRight">
    <w:name w:val="Table Body Text Right"/>
    <w:basedOn w:val="TableBodyText"/>
    <w:rsid w:val="00F12165"/>
    <w:pPr>
      <w:widowControl w:val="0"/>
      <w:autoSpaceDE w:val="0"/>
      <w:autoSpaceDN w:val="0"/>
      <w:adjustRightInd w:val="0"/>
      <w:jc w:val="right"/>
    </w:pPr>
    <w:rPr>
      <w:rFonts w:cs="Arial"/>
      <w:szCs w:val="18"/>
    </w:rPr>
  </w:style>
  <w:style w:type="paragraph" w:customStyle="1" w:styleId="CopyrightText">
    <w:name w:val="Copyright Text"/>
    <w:basedOn w:val="BodyText"/>
    <w:rsid w:val="00F12165"/>
    <w:rPr>
      <w:sz w:val="18"/>
    </w:rPr>
  </w:style>
  <w:style w:type="paragraph" w:customStyle="1" w:styleId="BodySmallRight">
    <w:name w:val="Body Small Right"/>
    <w:basedOn w:val="BodyTextRight"/>
    <w:rsid w:val="00F12165"/>
    <w:rPr>
      <w:sz w:val="18"/>
      <w:szCs w:val="18"/>
    </w:rPr>
  </w:style>
  <w:style w:type="paragraph" w:customStyle="1" w:styleId="MarginEdition">
    <w:name w:val="Margin Edition"/>
    <w:basedOn w:val="MarginNote"/>
    <w:rsid w:val="00F12165"/>
    <w:pPr>
      <w:spacing w:before="0" w:after="0"/>
    </w:pPr>
    <w:rPr>
      <w:rFonts w:ascii="Times New Roman" w:hAnsi="Times New Roman"/>
      <w:color w:val="999999"/>
    </w:rPr>
  </w:style>
  <w:style w:type="paragraph" w:customStyle="1" w:styleId="Spacer">
    <w:name w:val="Spacer"/>
    <w:basedOn w:val="Normal"/>
    <w:rsid w:val="00F12165"/>
    <w:rPr>
      <w:sz w:val="2"/>
      <w:szCs w:val="2"/>
    </w:rPr>
  </w:style>
  <w:style w:type="character" w:customStyle="1" w:styleId="Small">
    <w:name w:val="Small"/>
    <w:basedOn w:val="DefaultParagraphFont"/>
    <w:rsid w:val="00F12165"/>
    <w:rPr>
      <w:sz w:val="16"/>
    </w:rPr>
  </w:style>
  <w:style w:type="paragraph" w:customStyle="1" w:styleId="WideTable">
    <w:name w:val="Wide Table"/>
    <w:basedOn w:val="Normal"/>
    <w:rsid w:val="00F12165"/>
    <w:pPr>
      <w:ind w:left="-1418"/>
    </w:pPr>
    <w:rPr>
      <w:sz w:val="2"/>
      <w:szCs w:val="2"/>
    </w:rPr>
  </w:style>
  <w:style w:type="character" w:styleId="PageNumber">
    <w:name w:val="page number"/>
    <w:basedOn w:val="DefaultParagraphFont"/>
    <w:rsid w:val="00F12165"/>
  </w:style>
  <w:style w:type="paragraph" w:styleId="Quote">
    <w:name w:val="Quote"/>
    <w:basedOn w:val="Heading1"/>
    <w:link w:val="QuoteChar"/>
    <w:qFormat/>
    <w:rsid w:val="00F12165"/>
    <w:rPr>
      <w:b w:val="0"/>
      <w:sz w:val="72"/>
      <w:szCs w:val="72"/>
      <w:lang w:val="en-NZ"/>
    </w:rPr>
  </w:style>
  <w:style w:type="character" w:customStyle="1" w:styleId="QuoteChar">
    <w:name w:val="Quote Char"/>
    <w:basedOn w:val="DefaultParagraphFont"/>
    <w:link w:val="Quote"/>
    <w:rsid w:val="00F121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2165"/>
    <w:pPr>
      <w:pageBreakBefore/>
    </w:pPr>
  </w:style>
  <w:style w:type="paragraph" w:customStyle="1" w:styleId="Border">
    <w:name w:val="Border"/>
    <w:basedOn w:val="Normal"/>
    <w:qFormat/>
    <w:rsid w:val="00F121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2165"/>
    <w:rPr>
      <w:b/>
      <w:bCs/>
      <w:i/>
      <w:iCs/>
      <w:color w:val="auto"/>
    </w:rPr>
  </w:style>
  <w:style w:type="paragraph" w:styleId="IntenseQuote">
    <w:name w:val="Intense Quote"/>
    <w:basedOn w:val="Normal"/>
    <w:next w:val="Normal"/>
    <w:link w:val="IntenseQuoteChar"/>
    <w:uiPriority w:val="30"/>
    <w:qFormat/>
    <w:rsid w:val="00F121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21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2165"/>
    <w:rPr>
      <w:smallCaps/>
      <w:color w:val="auto"/>
      <w:u w:val="single"/>
    </w:rPr>
  </w:style>
  <w:style w:type="character" w:styleId="IntenseReference">
    <w:name w:val="Intense Reference"/>
    <w:basedOn w:val="DefaultParagraphFont"/>
    <w:uiPriority w:val="32"/>
    <w:qFormat/>
    <w:rsid w:val="00F12165"/>
    <w:rPr>
      <w:b/>
      <w:bCs/>
      <w:smallCaps/>
      <w:color w:val="auto"/>
      <w:spacing w:val="5"/>
      <w:u w:val="single"/>
    </w:rPr>
  </w:style>
  <w:style w:type="paragraph" w:customStyle="1" w:styleId="2ColumnHeading">
    <w:name w:val="2Column Heading"/>
    <w:basedOn w:val="BodyText"/>
    <w:qFormat/>
    <w:rsid w:val="00F12165"/>
    <w:pPr>
      <w:spacing w:after="60"/>
      <w:ind w:left="-2268"/>
    </w:pPr>
    <w:rPr>
      <w:b/>
    </w:rPr>
  </w:style>
  <w:style w:type="paragraph" w:customStyle="1" w:styleId="Heading1TOC">
    <w:name w:val="Heading1 TOC"/>
    <w:basedOn w:val="Normal"/>
    <w:qFormat/>
    <w:rsid w:val="00F12165"/>
    <w:pPr>
      <w:spacing w:before="240" w:after="120"/>
    </w:pPr>
    <w:rPr>
      <w:rFonts w:ascii="Times New Roman" w:hAnsi="Times New Roman"/>
      <w:b/>
      <w:sz w:val="32"/>
    </w:rPr>
  </w:style>
  <w:style w:type="paragraph" w:customStyle="1" w:styleId="Heading2TOC">
    <w:name w:val="Heading2 TOC"/>
    <w:basedOn w:val="Normal"/>
    <w:qFormat/>
    <w:rsid w:val="00F12165"/>
    <w:pPr>
      <w:spacing w:before="240" w:after="60"/>
    </w:pPr>
    <w:rPr>
      <w:rFonts w:ascii="Times New Roman" w:hAnsi="Times New Roman"/>
      <w:b/>
      <w:sz w:val="28"/>
    </w:rPr>
  </w:style>
  <w:style w:type="character" w:customStyle="1" w:styleId="Underline">
    <w:name w:val="Underline"/>
    <w:basedOn w:val="DefaultParagraphFont"/>
    <w:qFormat/>
    <w:rsid w:val="00F12165"/>
    <w:rPr>
      <w:u w:val="single"/>
    </w:rPr>
  </w:style>
  <w:style w:type="character" w:customStyle="1" w:styleId="BoldandItalics">
    <w:name w:val="Bold and Italics"/>
    <w:qFormat/>
    <w:rsid w:val="00F12165"/>
    <w:rPr>
      <w:b/>
      <w:i/>
      <w:u w:val="none"/>
    </w:rPr>
  </w:style>
  <w:style w:type="paragraph" w:styleId="BalloonText">
    <w:name w:val="Balloon Text"/>
    <w:basedOn w:val="Normal"/>
    <w:link w:val="BalloonTextChar"/>
    <w:rsid w:val="00F12165"/>
    <w:rPr>
      <w:rFonts w:ascii="Tahoma" w:hAnsi="Tahoma" w:cs="Tahoma"/>
      <w:sz w:val="16"/>
      <w:szCs w:val="16"/>
    </w:rPr>
  </w:style>
  <w:style w:type="character" w:customStyle="1" w:styleId="BalloonTextChar">
    <w:name w:val="Balloon Text Char"/>
    <w:basedOn w:val="DefaultParagraphFont"/>
    <w:link w:val="BalloonText"/>
    <w:rsid w:val="00F121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216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121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2165"/>
    <w:rPr>
      <w:b/>
      <w:color w:val="660033"/>
      <w:spacing w:val="0"/>
    </w:rPr>
  </w:style>
  <w:style w:type="paragraph" w:customStyle="1" w:styleId="Nameditemlist">
    <w:name w:val="Named item list"/>
    <w:basedOn w:val="BodyText"/>
    <w:qFormat/>
    <w:rsid w:val="00F1216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2049</Words>
  <Characters>12232</Characters>
  <Application>Microsoft Office Word</Application>
  <DocSecurity>0</DocSecurity>
  <Lines>475</Lines>
  <Paragraphs>182</Paragraphs>
  <ScaleCrop>false</ScaleCrop>
  <Company>Author-it Software Corporation Ltd.</Company>
  <LinksUpToDate>false</LinksUpToDate>
  <CharactersWithSpaces>14117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UEENEEH033B Diagnose and rectify faults in telecommunication apparatus and systems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2012-10-11T18:35:00Z</dcterms:created>
  <dcterms:modified xsi:type="dcterms:W3CDTF">2012-10-11T18:35:00Z</dcterms:modified>
</cp:coreProperties>
</file>