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57F3" w:rsidP="00E557F3">
      <w:pPr>
        <w:pStyle w:val="Title"/>
      </w:pPr>
      <w:bookmarkStart w:id="0" w:name="_GoBack"/>
      <w:bookmarkEnd w:id="0"/>
      <w:r>
        <w:fldChar w:fldCharType="begin"/>
      </w:r>
      <w:r>
        <w:instrText xml:space="preserve"> TITLE   \* MERGEFORMAT </w:instrText>
      </w:r>
      <w:r>
        <w:fldChar w:fldCharType="separate"/>
      </w:r>
      <w:r>
        <w:t>UEENEEH025B Provide solutions to single phase electronic power control problems</w:t>
      </w:r>
      <w:r>
        <w:fldChar w:fldCharType="end"/>
      </w:r>
    </w:p>
    <w:p w:rsidR="00E557F3" w:rsidP="00E557F3">
      <w:pPr>
        <w:pStyle w:val="Version"/>
        <w:sectPr w:rsidSect="00AF3E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3E1F" w:rsidP="00AF3E1F">
      <w:pPr>
        <w:pStyle w:val="SuperHeading"/>
      </w:pPr>
      <w:r w:rsidRPr="00AF3E1F">
        <w:t>UEENEEH025B Provide solutions to single phase electronic power control problems</w:t>
      </w:r>
    </w:p>
    <w:p w:rsidR="00000000" w:rsidRPr="00AF3E1F" w:rsidP="00AF3E1F">
      <w:pPr>
        <w:pStyle w:val="Heading1"/>
      </w:pPr>
      <w:bookmarkStart w:id="1" w:name="O_274708"/>
      <w:bookmarkEnd w:id="1"/>
      <w:r w:rsidRPr="00AF3E1F">
        <w:t>Modification History</w:t>
      </w:r>
    </w:p>
    <w:p w:rsidR="00000000" w:rsidRPr="00AF3E1F" w:rsidP="00AF3E1F">
      <w:pPr>
        <w:pStyle w:val="BodyText"/>
      </w:pPr>
      <w:r w:rsidRPr="00AF3E1F">
        <w:t>Not Applicable</w:t>
      </w:r>
    </w:p>
    <w:p w:rsidR="00000000" w:rsidRPr="00AF3E1F" w:rsidP="00AF3E1F">
      <w:pPr>
        <w:pStyle w:val="AllowPageBreak"/>
      </w:pPr>
    </w:p>
    <w:p w:rsidR="00000000" w:rsidRPr="00AF3E1F" w:rsidP="00AF3E1F">
      <w:pPr>
        <w:pStyle w:val="Heading1"/>
      </w:pPr>
      <w:bookmarkStart w:id="2" w:name="O_226712"/>
      <w:bookmarkEnd w:id="2"/>
      <w:r w:rsidRPr="00AF3E1F">
        <w:t>Unit Descriptor</w:t>
      </w:r>
    </w:p>
    <w:tbl>
      <w:tblPr>
        <w:tblW w:w="0" w:type="auto"/>
        <w:tblLayout w:type="fixed"/>
        <w:tblCellMar>
          <w:left w:w="62" w:type="dxa"/>
          <w:right w:w="62" w:type="dxa"/>
        </w:tblCellMar>
        <w:tblLook w:val="0000"/>
      </w:tblPr>
      <w:tblGrid>
        <w:gridCol w:w="2700"/>
        <w:gridCol w:w="5760"/>
      </w:tblGrid>
      <w:tr w:rsidTr="00E557F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F3E1F" w:rsidP="00AF3E1F">
            <w:pPr>
              <w:pStyle w:val="BodyText"/>
            </w:pPr>
            <w:r w:rsidRPr="00AF3E1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AF3E1F" w:rsidP="00AF3E1F">
            <w:pPr>
              <w:pStyle w:val="BodyText"/>
            </w:pPr>
            <w:r w:rsidRPr="00AF3E1F">
              <w:rPr>
                <w:rStyle w:val="SpecialBold"/>
              </w:rPr>
              <w:t>1</w:t>
            </w:r>
            <w:r w:rsidRPr="00AF3E1F">
              <w:t>)</w:t>
            </w:r>
          </w:p>
          <w:p w:rsidR="00000000" w:rsidP="00AF3E1F">
            <w:pPr>
              <w:pStyle w:val="BodyText"/>
              <w:rPr>
                <w:lang w:val="en-NZ"/>
              </w:rPr>
            </w:pPr>
            <w:r w:rsidRPr="00AF3E1F">
              <w:rPr>
                <w:rStyle w:val="SpecialBold"/>
              </w:rPr>
              <w:t>1</w:t>
            </w:r>
            <w:r w:rsidRPr="00AF3E1F">
              <w:t>.</w:t>
            </w:r>
            <w:r w:rsidRPr="00AF3E1F">
              <w:rPr>
                <w:rStyle w:val="SpecialBold"/>
              </w:rPr>
              <w:t>1</w:t>
            </w:r>
            <w:r w:rsidRPr="00AF3E1F">
              <w:t xml:space="preserve">) </w:t>
            </w:r>
            <w:r w:rsidRPr="00AF3E1F">
              <w:rPr>
                <w:rStyle w:val="SpecialBold"/>
              </w:rPr>
              <w:t>Descriptor</w:t>
            </w:r>
          </w:p>
        </w:tc>
      </w:tr>
      <w:tr w:rsidTr="00E557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F3E1F" w:rsidP="00AF3E1F">
            <w:pPr>
              <w:pStyle w:val="BodyText"/>
            </w:pPr>
            <w:r w:rsidRPr="00AF3E1F">
              <w:t xml:space="preserve">This unit covers solving problems with electronic aspects of single phase power control devices and circuits. The unit encompasses safe working practices, interpreting diagrams, applying knowledge of electronic power control devices and their application, </w:t>
            </w:r>
            <w:r w:rsidRPr="00AF3E1F">
              <w:t>using effective problem solving techniques, safety and functional testing and reporting work activities and outcomes.</w:t>
            </w:r>
          </w:p>
          <w:p w:rsidR="00000000" w:rsidRPr="00AF3E1F" w:rsidP="00AF3E1F">
            <w:pPr>
              <w:pStyle w:val="BodyText"/>
            </w:pPr>
            <w:r w:rsidRPr="00AF3E1F">
              <w:t>Note.</w:t>
            </w:r>
            <w:r w:rsidRPr="00AF3E1F">
              <w:br/>
              <w:t>Typical single phase electronic power control problems are those encountered in meeting performance requirements and compliance stan</w:t>
            </w:r>
            <w:r w:rsidRPr="00AF3E1F">
              <w:t>dards, revising control operating parameters and dealing with control malfunctions.</w:t>
            </w:r>
          </w:p>
        </w:tc>
      </w:tr>
    </w:tbl>
    <w:p w:rsidR="00E557F3" w:rsidP="00AF3E1F">
      <w:pPr>
        <w:pStyle w:val="BodyText"/>
      </w:pPr>
    </w:p>
    <w:p w:rsidR="00E557F3" w:rsidP="00AF3E1F">
      <w:pPr>
        <w:pStyle w:val="BodyText"/>
      </w:pPr>
    </w:p>
    <w:p w:rsidR="00000000" w:rsidRPr="00AF3E1F" w:rsidP="00AF3E1F">
      <w:pPr>
        <w:pStyle w:val="Heading1"/>
      </w:pPr>
      <w:bookmarkStart w:id="3" w:name="O_226717"/>
      <w:bookmarkEnd w:id="3"/>
      <w:r w:rsidRPr="00AF3E1F">
        <w:t>Application of the Unit</w:t>
      </w:r>
    </w:p>
    <w:tbl>
      <w:tblPr>
        <w:tblW w:w="0" w:type="auto"/>
        <w:tblLayout w:type="fixed"/>
        <w:tblCellMar>
          <w:left w:w="62" w:type="dxa"/>
          <w:right w:w="62" w:type="dxa"/>
        </w:tblCellMar>
        <w:tblLook w:val="0000"/>
      </w:tblPr>
      <w:tblGrid>
        <w:gridCol w:w="2700"/>
        <w:gridCol w:w="5760"/>
      </w:tblGrid>
      <w:tr w:rsidTr="00E557F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F3E1F" w:rsidP="00AF3E1F">
            <w:pPr>
              <w:pStyle w:val="BodyText"/>
            </w:pPr>
            <w:r w:rsidRPr="00AF3E1F">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AF3E1F">
            <w:pPr>
              <w:pStyle w:val="BodyText"/>
              <w:rPr>
                <w:lang w:val="en-NZ"/>
              </w:rPr>
            </w:pPr>
            <w:r w:rsidRPr="00AF3E1F">
              <w:rPr>
                <w:rStyle w:val="SpecialBold"/>
              </w:rPr>
              <w:t>4</w:t>
            </w:r>
            <w:r w:rsidRPr="00AF3E1F">
              <w:t>)</w:t>
            </w:r>
          </w:p>
        </w:tc>
      </w:tr>
      <w:tr w:rsidTr="00E557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F3E1F" w:rsidP="00AF3E1F">
            <w:pPr>
              <w:pStyle w:val="BodyText"/>
            </w:pPr>
            <w:r w:rsidRPr="00AF3E1F">
              <w:t xml:space="preserve">This unit is intended to apply to any recognised development program that leads to the acquisition </w:t>
            </w:r>
            <w:r w:rsidRPr="00AF3E1F">
              <w:t>of a formal award at AQF level 4 or higher.</w:t>
            </w:r>
          </w:p>
        </w:tc>
      </w:tr>
    </w:tbl>
    <w:p w:rsidR="00E557F3" w:rsidP="00AF3E1F">
      <w:pPr>
        <w:pStyle w:val="BodyText"/>
      </w:pPr>
    </w:p>
    <w:p w:rsidR="00E557F3" w:rsidP="00AF3E1F">
      <w:pPr>
        <w:pStyle w:val="BodyText"/>
      </w:pPr>
    </w:p>
    <w:p w:rsidR="00000000" w:rsidRPr="00AF3E1F" w:rsidP="00AF3E1F">
      <w:pPr>
        <w:pStyle w:val="Heading1"/>
      </w:pPr>
      <w:bookmarkStart w:id="4" w:name="O_226713"/>
      <w:bookmarkEnd w:id="4"/>
      <w:r w:rsidRPr="00AF3E1F">
        <w:t>Licensing/Regulatory Information</w:t>
      </w:r>
    </w:p>
    <w:tbl>
      <w:tblPr>
        <w:tblW w:w="0" w:type="auto"/>
        <w:tblLayout w:type="fixed"/>
        <w:tblCellMar>
          <w:left w:w="62" w:type="dxa"/>
          <w:right w:w="62" w:type="dxa"/>
        </w:tblCellMar>
        <w:tblLook w:val="0000"/>
      </w:tblPr>
      <w:tblGrid>
        <w:gridCol w:w="8460"/>
      </w:tblGrid>
      <w:tr w:rsidTr="00E557F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F3E1F">
            <w:pPr>
              <w:pStyle w:val="BodyText"/>
              <w:rPr>
                <w:lang w:val="en-NZ"/>
              </w:rPr>
            </w:pPr>
            <w:r w:rsidRPr="00AF3E1F">
              <w:rPr>
                <w:rStyle w:val="SpecialBold"/>
              </w:rPr>
              <w:t>1</w:t>
            </w:r>
            <w:r w:rsidRPr="00AF3E1F">
              <w:t>.</w:t>
            </w:r>
            <w:r w:rsidRPr="00AF3E1F">
              <w:rPr>
                <w:rStyle w:val="SpecialBold"/>
              </w:rPr>
              <w:t>2</w:t>
            </w:r>
            <w:r w:rsidRPr="00AF3E1F">
              <w:t xml:space="preserve">) </w:t>
            </w:r>
            <w:r w:rsidRPr="00AF3E1F">
              <w:rPr>
                <w:rStyle w:val="SpecialBold"/>
              </w:rPr>
              <w:t>License to practice</w:t>
            </w:r>
          </w:p>
        </w:tc>
      </w:tr>
      <w:tr w:rsidTr="00E557F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F3E1F" w:rsidP="00AF3E1F">
            <w:pPr>
              <w:pStyle w:val="BodyText"/>
            </w:pPr>
            <w:r w:rsidRPr="00AF3E1F">
              <w:t>The skills and knowledge described in this unit require a license to practice in the workplace for work involving direct access to plant and equipment connected to installation wiring at voltage above 50 V a.c. or 120 V d.c. However other conditions may ap</w:t>
            </w:r>
            <w:r w:rsidRPr="00AF3E1F">
              <w:t xml:space="preserve">ply in some jurisdictions subject to regulations related to electrical work. Practice in the workplace and during training is also subject to regulations directly related to occupational health and safety and where applicable contracts of training such as </w:t>
            </w:r>
            <w:r w:rsidRPr="00AF3E1F">
              <w:t>apprenticeships.</w:t>
            </w:r>
          </w:p>
          <w:p w:rsidR="00000000" w:rsidRPr="00AF3E1F" w:rsidP="00AF3E1F">
            <w:pPr>
              <w:pStyle w:val="BodyText"/>
            </w:pPr>
            <w:r w:rsidRPr="00AF3E1F">
              <w:t>Note:</w:t>
            </w:r>
            <w:r w:rsidRPr="00AF3E1F">
              <w:br/>
              <w:t>1. Compliance with permits may be required in various jurisdictions and typically relates to the operation of plant, machinery and equipment such as elevating work platforms, powder operated fixing tools, power operated tools, vehicl</w:t>
            </w:r>
            <w:r w:rsidRPr="00AF3E1F">
              <w:t>es, road signage and traffic control, lifting equipment and the like. Permits may also be required for some work environments such as confined spaces, working aloft, near live electrical apparatus and site rehabilitation.</w:t>
            </w:r>
            <w:r w:rsidRPr="00AF3E1F">
              <w:br/>
              <w:t>2. Compliance may be required in v</w:t>
            </w:r>
            <w:r w:rsidRPr="00AF3E1F">
              <w:t>arious jurisdictions relating to currency in First Aid, confined space, lifting and risk safety measures.</w:t>
            </w:r>
          </w:p>
        </w:tc>
      </w:tr>
    </w:tbl>
    <w:p w:rsidR="00E557F3" w:rsidP="00AF3E1F">
      <w:pPr>
        <w:pStyle w:val="BodyText"/>
      </w:pPr>
    </w:p>
    <w:p w:rsidR="00E557F3" w:rsidP="00AF3E1F">
      <w:pPr>
        <w:pStyle w:val="BodyText"/>
      </w:pPr>
    </w:p>
    <w:p w:rsidR="00000000" w:rsidRPr="00AF3E1F" w:rsidP="00AF3E1F">
      <w:pPr>
        <w:pStyle w:val="Heading1"/>
      </w:pPr>
      <w:bookmarkStart w:id="5" w:name="O_226714"/>
      <w:bookmarkEnd w:id="5"/>
      <w:r w:rsidRPr="00AF3E1F">
        <w:t>Pre-Requisites</w:t>
      </w:r>
    </w:p>
    <w:tbl>
      <w:tblPr>
        <w:tblW w:w="0" w:type="auto"/>
        <w:tblLayout w:type="fixed"/>
        <w:tblCellMar>
          <w:left w:w="62" w:type="dxa"/>
          <w:right w:w="62" w:type="dxa"/>
        </w:tblCellMar>
        <w:tblLook w:val="0000"/>
      </w:tblPr>
      <w:tblGrid>
        <w:gridCol w:w="2700"/>
        <w:gridCol w:w="5760"/>
      </w:tblGrid>
      <w:tr w:rsidTr="00E557F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F3E1F" w:rsidP="00AF3E1F">
            <w:pPr>
              <w:pStyle w:val="BodyText"/>
            </w:pPr>
            <w:r w:rsidRPr="00AF3E1F">
              <w:rPr>
                <w:rStyle w:val="SpecialBold"/>
              </w:rPr>
              <w:t>Prerequisite Unit</w:t>
            </w:r>
            <w:r w:rsidRPr="00AF3E1F">
              <w:t>(</w:t>
            </w:r>
            <w:r w:rsidRPr="00AF3E1F">
              <w:rPr>
                <w:rStyle w:val="SpecialBold"/>
              </w:rPr>
              <w:t>s</w:t>
            </w:r>
            <w:r w:rsidRPr="00AF3E1F">
              <w:t>)</w:t>
            </w:r>
          </w:p>
        </w:tc>
        <w:tc>
          <w:tcPr>
            <w:tcW w:w="5760" w:type="dxa"/>
            <w:tcBorders>
              <w:top w:val="nil"/>
              <w:left w:val="nil"/>
              <w:bottom w:val="nil"/>
              <w:right w:val="nil"/>
            </w:tcBorders>
            <w:tcMar>
              <w:top w:w="0" w:type="dxa"/>
              <w:left w:w="62" w:type="dxa"/>
              <w:bottom w:w="0" w:type="dxa"/>
              <w:right w:w="62" w:type="dxa"/>
            </w:tcMar>
          </w:tcPr>
          <w:p w:rsidR="00000000" w:rsidP="00AF3E1F">
            <w:pPr>
              <w:pStyle w:val="BodyText"/>
              <w:rPr>
                <w:lang w:val="en-NZ"/>
              </w:rPr>
            </w:pPr>
            <w:r w:rsidRPr="00AF3E1F">
              <w:rPr>
                <w:rStyle w:val="SpecialBold"/>
              </w:rPr>
              <w:t>2</w:t>
            </w:r>
            <w:r w:rsidRPr="00AF3E1F">
              <w:t>)</w:t>
            </w:r>
          </w:p>
        </w:tc>
      </w:tr>
      <w:tr w:rsidTr="00E557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F3E1F">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AF3E1F">
            <w:pPr>
              <w:pStyle w:val="BodyText"/>
              <w:rPr>
                <w:lang w:val="en-NZ"/>
              </w:rPr>
            </w:pPr>
            <w:r w:rsidRPr="00AF3E1F">
              <w:rPr>
                <w:rStyle w:val="SpecialBold"/>
              </w:rPr>
              <w:t>2</w:t>
            </w:r>
            <w:r w:rsidRPr="00AF3E1F">
              <w:t>.</w:t>
            </w:r>
            <w:r w:rsidRPr="00AF3E1F">
              <w:rPr>
                <w:rStyle w:val="SpecialBold"/>
              </w:rPr>
              <w:t>1</w:t>
            </w:r>
            <w:r w:rsidRPr="00AF3E1F">
              <w:t xml:space="preserve">) </w:t>
            </w:r>
            <w:r w:rsidRPr="00AF3E1F">
              <w:rPr>
                <w:rStyle w:val="SpecialBold"/>
              </w:rPr>
              <w:t>Competencies</w:t>
            </w:r>
          </w:p>
        </w:tc>
      </w:tr>
      <w:tr w:rsidTr="00E557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F3E1F" w:rsidP="00AF3E1F">
            <w:pPr>
              <w:pStyle w:val="BodyText"/>
            </w:pPr>
            <w:r w:rsidRPr="00AF3E1F">
              <w:t>Granting competency in this unit shall be made only after competency in the following unit(s) has/have been confirmed.</w:t>
            </w:r>
          </w:p>
          <w:p w:rsidR="00000000" w:rsidRPr="00AF3E1F" w:rsidP="00AF3E1F">
            <w:pPr>
              <w:pStyle w:val="BodyText"/>
            </w:pPr>
            <w:r w:rsidRPr="00AF3E1F">
              <w:t>UEENEEH013B Troubleshoot amplifiers</w:t>
            </w:r>
          </w:p>
          <w:p w:rsidR="00000000" w:rsidRPr="00AF3E1F" w:rsidP="00AF3E1F">
            <w:pPr>
              <w:pStyle w:val="BodyText"/>
            </w:pPr>
            <w:r w:rsidRPr="00AF3E1F">
              <w:t xml:space="preserve">OR </w:t>
            </w:r>
          </w:p>
          <w:p w:rsidR="00000000" w:rsidRPr="00AF3E1F" w:rsidP="00AF3E1F">
            <w:pPr>
              <w:pStyle w:val="BodyText"/>
            </w:pPr>
            <w:r w:rsidRPr="00AF3E1F">
              <w:t>UEENEEH044B Diagnose and rectify faults in analogue circuits and components in electronic control</w:t>
            </w:r>
            <w:r w:rsidRPr="00AF3E1F">
              <w:t xml:space="preserve"> systems</w:t>
            </w:r>
          </w:p>
          <w:p w:rsidR="00000000" w:rsidRPr="00AF3E1F" w:rsidP="00AF3E1F">
            <w:pPr>
              <w:pStyle w:val="BodyText"/>
            </w:pPr>
            <w:r w:rsidRPr="00AF3E1F">
              <w:t>For the full prerequisite chain details for this unit please refer to Table 2 in Volume 1, Part 2</w:t>
            </w:r>
          </w:p>
        </w:tc>
      </w:tr>
    </w:tbl>
    <w:p w:rsidR="00E557F3" w:rsidP="00AF3E1F">
      <w:pPr>
        <w:pStyle w:val="BodyText"/>
      </w:pPr>
    </w:p>
    <w:p w:rsidR="00E557F3" w:rsidP="00AF3E1F">
      <w:pPr>
        <w:pStyle w:val="BodyText"/>
      </w:pPr>
    </w:p>
    <w:p w:rsidR="00000000" w:rsidRPr="00AF3E1F" w:rsidP="00AF3E1F">
      <w:pPr>
        <w:pStyle w:val="Heading1"/>
      </w:pPr>
      <w:bookmarkStart w:id="6" w:name="O_226716"/>
      <w:bookmarkEnd w:id="6"/>
      <w:r w:rsidRPr="00AF3E1F">
        <w:t>Employability Skills Information</w:t>
      </w:r>
    </w:p>
    <w:tbl>
      <w:tblPr>
        <w:tblW w:w="0" w:type="auto"/>
        <w:tblLayout w:type="fixed"/>
        <w:tblCellMar>
          <w:left w:w="62" w:type="dxa"/>
          <w:right w:w="62" w:type="dxa"/>
        </w:tblCellMar>
        <w:tblLook w:val="0000"/>
      </w:tblPr>
      <w:tblGrid>
        <w:gridCol w:w="2700"/>
        <w:gridCol w:w="5760"/>
      </w:tblGrid>
      <w:tr w:rsidTr="00E557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F3E1F" w:rsidP="00AF3E1F">
            <w:pPr>
              <w:pStyle w:val="BodyText"/>
            </w:pPr>
            <w:r w:rsidRPr="00AF3E1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AF3E1F" w:rsidP="00AF3E1F">
            <w:pPr>
              <w:pStyle w:val="BodyText"/>
            </w:pPr>
            <w:r w:rsidRPr="00AF3E1F">
              <w:rPr>
                <w:rStyle w:val="SpecialBold"/>
              </w:rPr>
              <w:t>3</w:t>
            </w:r>
            <w:r w:rsidRPr="00AF3E1F">
              <w:t>)</w:t>
            </w:r>
          </w:p>
          <w:p w:rsidR="00000000" w:rsidRPr="00AF3E1F" w:rsidP="00AF3E1F">
            <w:pPr>
              <w:pStyle w:val="BodyText"/>
            </w:pPr>
            <w:r w:rsidRPr="00AF3E1F">
              <w:t>This unit contains Employability Skills</w:t>
            </w:r>
          </w:p>
          <w:p w:rsidR="00000000" w:rsidRPr="00AF3E1F" w:rsidP="00AF3E1F">
            <w:pPr>
              <w:pStyle w:val="BodyText"/>
            </w:pPr>
            <w:r w:rsidRPr="00AF3E1F">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AF3E1F">
              <w:t>requirements.</w:t>
            </w:r>
          </w:p>
        </w:tc>
      </w:tr>
    </w:tbl>
    <w:p w:rsidR="00E557F3" w:rsidP="00AF3E1F">
      <w:pPr>
        <w:pStyle w:val="BodyText"/>
      </w:pPr>
    </w:p>
    <w:p w:rsidR="00E557F3" w:rsidP="00AF3E1F">
      <w:pPr>
        <w:pStyle w:val="BodyText"/>
      </w:pPr>
    </w:p>
    <w:p w:rsidR="00000000" w:rsidRPr="00AF3E1F" w:rsidP="00AF3E1F">
      <w:pPr>
        <w:pStyle w:val="Heading1"/>
      </w:pPr>
      <w:bookmarkStart w:id="7" w:name="O_292754"/>
      <w:bookmarkEnd w:id="7"/>
      <w:r w:rsidRPr="00AF3E1F">
        <w:t>Elements and Performance Criteria Pre-Content</w:t>
      </w:r>
    </w:p>
    <w:tbl>
      <w:tblPr>
        <w:tblW w:w="0" w:type="auto"/>
        <w:tblLayout w:type="fixed"/>
        <w:tblCellMar>
          <w:left w:w="62" w:type="dxa"/>
          <w:right w:w="62" w:type="dxa"/>
        </w:tblCellMar>
        <w:tblLook w:val="0000"/>
      </w:tblPr>
      <w:tblGrid>
        <w:gridCol w:w="2700"/>
        <w:gridCol w:w="5760"/>
      </w:tblGrid>
      <w:tr w:rsidTr="00E557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F3E1F">
            <w:pPr>
              <w:pStyle w:val="BodyText"/>
              <w:rPr>
                <w:lang w:val="en-NZ"/>
              </w:rPr>
            </w:pPr>
            <w:r w:rsidRPr="00AF3E1F">
              <w:rPr>
                <w:rStyle w:val="SpecialBold"/>
              </w:rPr>
              <w:t>6</w:t>
            </w:r>
            <w:r w:rsidRPr="00AF3E1F">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AF3E1F" w:rsidP="00AF3E1F">
            <w:pPr>
              <w:pStyle w:val="BodyText"/>
            </w:pPr>
            <w:r w:rsidRPr="00AF3E1F">
              <w:t>Performance criteria describe the required performance needed to demonstrate achievement of the Element. Ass</w:t>
            </w:r>
            <w:r w:rsidRPr="00AF3E1F">
              <w:t>essment of performance is to be consistent with the evidence guide.</w:t>
            </w:r>
          </w:p>
        </w:tc>
      </w:tr>
    </w:tbl>
    <w:p w:rsidR="00000000" w:rsidRPr="00AF3E1F" w:rsidP="00AF3E1F">
      <w:pPr>
        <w:pStyle w:val="BodyText"/>
      </w:pPr>
    </w:p>
    <w:p w:rsidR="00000000" w:rsidRPr="00AF3E1F" w:rsidP="00AF3E1F">
      <w:pPr>
        <w:pStyle w:val="AllowPageBreak"/>
      </w:pPr>
    </w:p>
    <w:p w:rsidR="00000000" w:rsidRPr="00AF3E1F" w:rsidP="00AF3E1F">
      <w:pPr>
        <w:pStyle w:val="Heading1"/>
      </w:pPr>
      <w:bookmarkStart w:id="8" w:name="O_239422"/>
      <w:bookmarkEnd w:id="8"/>
      <w:r w:rsidRPr="00AF3E1F">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E557F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F3E1F" w:rsidP="00AF3E1F">
            <w:pPr>
              <w:pStyle w:val="BodyText"/>
            </w:pPr>
            <w:r w:rsidRPr="00AF3E1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F3E1F">
            <w:pPr>
              <w:pStyle w:val="BodyText"/>
              <w:rPr>
                <w:lang w:val="en-NZ"/>
              </w:rPr>
            </w:pPr>
            <w:r w:rsidRPr="00AF3E1F">
              <w:rPr>
                <w:rStyle w:val="SpecialBold"/>
              </w:rPr>
              <w:t>PERFORMANCE CRITERIA</w:t>
            </w:r>
          </w:p>
        </w:tc>
      </w:tr>
      <w:tr w:rsidTr="00E557F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AF3E1F">
            <w:pPr>
              <w:pStyle w:val="BodyText"/>
              <w:rPr>
                <w:lang w:val="en-NZ"/>
              </w:rPr>
            </w:pPr>
            <w:r w:rsidRPr="00AF3E1F">
              <w:t>1</w:t>
            </w:r>
          </w:p>
        </w:tc>
        <w:tc>
          <w:tcPr>
            <w:tcW w:w="2340" w:type="dxa"/>
            <w:vMerge w:val="restart"/>
            <w:tcBorders>
              <w:top w:val="nil"/>
              <w:left w:val="nil"/>
              <w:bottom w:val="nil"/>
              <w:right w:val="nil"/>
            </w:tcBorders>
            <w:tcMar>
              <w:top w:w="0" w:type="dxa"/>
              <w:left w:w="62" w:type="dxa"/>
              <w:bottom w:w="0" w:type="dxa"/>
              <w:right w:w="62" w:type="dxa"/>
            </w:tcMar>
          </w:tcPr>
          <w:p w:rsidR="00000000" w:rsidP="00AF3E1F">
            <w:pPr>
              <w:pStyle w:val="BodyText"/>
              <w:rPr>
                <w:lang w:val="en-NZ"/>
              </w:rPr>
            </w:pPr>
            <w:r w:rsidRPr="00AF3E1F">
              <w:t>Prepare to provide solutions to single phase electronic power control problems.</w:t>
            </w:r>
          </w:p>
        </w:tc>
        <w:tc>
          <w:tcPr>
            <w:tcW w:w="900" w:type="dxa"/>
            <w:tcBorders>
              <w:top w:val="nil"/>
              <w:left w:val="nil"/>
              <w:bottom w:val="nil"/>
              <w:right w:val="nil"/>
            </w:tcBorders>
            <w:tcMar>
              <w:top w:w="0" w:type="dxa"/>
              <w:left w:w="62" w:type="dxa"/>
              <w:bottom w:w="0" w:type="dxa"/>
              <w:right w:w="62" w:type="dxa"/>
            </w:tcMar>
          </w:tcPr>
          <w:p w:rsidR="00000000" w:rsidP="00AF3E1F">
            <w:pPr>
              <w:pStyle w:val="BodyText"/>
              <w:rPr>
                <w:lang w:val="en-NZ"/>
              </w:rPr>
            </w:pPr>
            <w:r w:rsidRPr="00AF3E1F">
              <w:t>1.1</w:t>
            </w:r>
          </w:p>
        </w:tc>
        <w:tc>
          <w:tcPr>
            <w:tcW w:w="4860" w:type="dxa"/>
            <w:tcBorders>
              <w:top w:val="nil"/>
              <w:left w:val="nil"/>
              <w:bottom w:val="nil"/>
              <w:right w:val="nil"/>
            </w:tcBorders>
            <w:tcMar>
              <w:top w:w="0" w:type="dxa"/>
              <w:left w:w="62" w:type="dxa"/>
              <w:bottom w:w="0" w:type="dxa"/>
              <w:right w:w="62" w:type="dxa"/>
            </w:tcMar>
          </w:tcPr>
          <w:p w:rsidR="00000000" w:rsidP="00AF3E1F">
            <w:pPr>
              <w:pStyle w:val="BodyText"/>
              <w:rPr>
                <w:lang w:val="en-NZ"/>
              </w:rPr>
            </w:pPr>
            <w:r w:rsidRPr="00AF3E1F">
              <w:t xml:space="preserve">OHS processes and procedures for a given work area are identified, obtained and understood.  </w:t>
            </w:r>
          </w:p>
        </w:tc>
      </w:tr>
      <w:tr w:rsidTr="00E557F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3E1F">
            <w:pPr>
              <w:pStyle w:val="BodyText"/>
              <w:rPr>
                <w:lang w:val="en-NZ"/>
              </w:rPr>
            </w:pPr>
            <w:r w:rsidRPr="00AF3E1F">
              <w:t>1.2</w:t>
            </w:r>
          </w:p>
        </w:tc>
        <w:tc>
          <w:tcPr>
            <w:tcW w:w="4860" w:type="dxa"/>
            <w:tcBorders>
              <w:top w:val="nil"/>
              <w:left w:val="nil"/>
              <w:bottom w:val="nil"/>
              <w:right w:val="nil"/>
            </w:tcBorders>
            <w:tcMar>
              <w:top w:w="0" w:type="dxa"/>
              <w:left w:w="62" w:type="dxa"/>
              <w:bottom w:w="0" w:type="dxa"/>
              <w:right w:w="62" w:type="dxa"/>
            </w:tcMar>
          </w:tcPr>
          <w:p w:rsidR="00000000" w:rsidP="00AF3E1F">
            <w:pPr>
              <w:pStyle w:val="BodyText"/>
              <w:rPr>
                <w:lang w:val="en-NZ"/>
              </w:rPr>
            </w:pPr>
            <w:r w:rsidRPr="00AF3E1F">
              <w:t>Established OHS risk control measures and procedures are followed in preparation for the work.</w:t>
            </w:r>
          </w:p>
        </w:tc>
      </w:tr>
      <w:tr w:rsidTr="00E557F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3E1F">
            <w:pPr>
              <w:pStyle w:val="BodyText"/>
              <w:rPr>
                <w:lang w:val="en-NZ"/>
              </w:rPr>
            </w:pPr>
            <w:r w:rsidRPr="00AF3E1F">
              <w:t>1.3</w:t>
            </w:r>
          </w:p>
        </w:tc>
        <w:tc>
          <w:tcPr>
            <w:tcW w:w="4860" w:type="dxa"/>
            <w:tcBorders>
              <w:top w:val="nil"/>
              <w:left w:val="nil"/>
              <w:bottom w:val="nil"/>
              <w:right w:val="nil"/>
            </w:tcBorders>
            <w:tcMar>
              <w:top w:w="0" w:type="dxa"/>
              <w:left w:w="62" w:type="dxa"/>
              <w:bottom w:w="0" w:type="dxa"/>
              <w:right w:w="62" w:type="dxa"/>
            </w:tcMar>
          </w:tcPr>
          <w:p w:rsidR="00000000" w:rsidP="00AF3E1F">
            <w:pPr>
              <w:pStyle w:val="BodyText"/>
              <w:rPr>
                <w:lang w:val="en-NZ"/>
              </w:rPr>
            </w:pPr>
            <w:r w:rsidRPr="00AF3E1F">
              <w:t>The extent of single phase electronic power control problem is determined from performance specifications and situation reports and in consultations with relevant persons.</w:t>
            </w:r>
          </w:p>
        </w:tc>
      </w:tr>
      <w:tr w:rsidTr="00E557F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3E1F">
            <w:pPr>
              <w:pStyle w:val="BodyText"/>
              <w:rPr>
                <w:lang w:val="en-NZ"/>
              </w:rPr>
            </w:pPr>
            <w:r w:rsidRPr="00AF3E1F">
              <w:t>1.4</w:t>
            </w:r>
          </w:p>
        </w:tc>
        <w:tc>
          <w:tcPr>
            <w:tcW w:w="4860" w:type="dxa"/>
            <w:tcBorders>
              <w:top w:val="nil"/>
              <w:left w:val="nil"/>
              <w:bottom w:val="nil"/>
              <w:right w:val="nil"/>
            </w:tcBorders>
            <w:tcMar>
              <w:top w:w="0" w:type="dxa"/>
              <w:left w:w="62" w:type="dxa"/>
              <w:bottom w:w="0" w:type="dxa"/>
              <w:right w:w="62" w:type="dxa"/>
            </w:tcMar>
          </w:tcPr>
          <w:p w:rsidR="00000000" w:rsidP="00AF3E1F">
            <w:pPr>
              <w:pStyle w:val="BodyText"/>
              <w:rPr>
                <w:lang w:val="en-NZ"/>
              </w:rPr>
            </w:pPr>
            <w:r w:rsidRPr="00AF3E1F">
              <w:t>Activities are planned to meet scheduled timelines in consultation with other</w:t>
            </w:r>
            <w:r w:rsidRPr="00AF3E1F">
              <w:t>s involved in the work.</w:t>
            </w:r>
          </w:p>
        </w:tc>
      </w:tr>
      <w:tr w:rsidTr="00E557F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3E1F">
            <w:pPr>
              <w:pStyle w:val="BodyText"/>
              <w:rPr>
                <w:lang w:val="en-NZ"/>
              </w:rPr>
            </w:pPr>
            <w:r w:rsidRPr="00AF3E1F">
              <w:t>1.5</w:t>
            </w:r>
          </w:p>
        </w:tc>
        <w:tc>
          <w:tcPr>
            <w:tcW w:w="4860" w:type="dxa"/>
            <w:tcBorders>
              <w:top w:val="nil"/>
              <w:left w:val="nil"/>
              <w:bottom w:val="nil"/>
              <w:right w:val="nil"/>
            </w:tcBorders>
            <w:tcMar>
              <w:top w:w="0" w:type="dxa"/>
              <w:left w:w="62" w:type="dxa"/>
              <w:bottom w:w="0" w:type="dxa"/>
              <w:right w:w="62" w:type="dxa"/>
            </w:tcMar>
          </w:tcPr>
          <w:p w:rsidR="00000000" w:rsidP="00AF3E1F">
            <w:pPr>
              <w:pStyle w:val="BodyText"/>
              <w:rPr>
                <w:lang w:val="en-NZ"/>
              </w:rPr>
            </w:pPr>
            <w:r w:rsidRPr="00AF3E1F">
              <w:t>Tools, equipment and testing devices needed for the work are obtained in accordance with established procedures and checked for correct operation and safety.</w:t>
            </w:r>
          </w:p>
        </w:tc>
      </w:tr>
      <w:tr w:rsidTr="00E557F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AF3E1F">
            <w:pPr>
              <w:pStyle w:val="BodyText"/>
              <w:rPr>
                <w:lang w:val="en-NZ"/>
              </w:rPr>
            </w:pPr>
            <w:r w:rsidRPr="00AF3E1F">
              <w:t>2</w:t>
            </w:r>
          </w:p>
        </w:tc>
        <w:tc>
          <w:tcPr>
            <w:tcW w:w="2340" w:type="dxa"/>
            <w:vMerge w:val="restart"/>
            <w:tcBorders>
              <w:top w:val="nil"/>
              <w:left w:val="nil"/>
              <w:bottom w:val="nil"/>
              <w:right w:val="nil"/>
            </w:tcBorders>
            <w:tcMar>
              <w:top w:w="0" w:type="dxa"/>
              <w:left w:w="62" w:type="dxa"/>
              <w:bottom w:w="0" w:type="dxa"/>
              <w:right w:w="62" w:type="dxa"/>
            </w:tcMar>
          </w:tcPr>
          <w:p w:rsidR="00000000" w:rsidP="00AF3E1F">
            <w:pPr>
              <w:pStyle w:val="BodyText"/>
              <w:rPr>
                <w:lang w:val="en-NZ"/>
              </w:rPr>
            </w:pPr>
            <w:r w:rsidRPr="00AF3E1F">
              <w:t>Provide solutions to single phase electronic power control problems.</w:t>
            </w:r>
          </w:p>
        </w:tc>
        <w:tc>
          <w:tcPr>
            <w:tcW w:w="900" w:type="dxa"/>
            <w:tcBorders>
              <w:top w:val="nil"/>
              <w:left w:val="nil"/>
              <w:bottom w:val="nil"/>
              <w:right w:val="nil"/>
            </w:tcBorders>
            <w:tcMar>
              <w:top w:w="0" w:type="dxa"/>
              <w:left w:w="62" w:type="dxa"/>
              <w:bottom w:w="0" w:type="dxa"/>
              <w:right w:w="62" w:type="dxa"/>
            </w:tcMar>
          </w:tcPr>
          <w:p w:rsidR="00000000" w:rsidP="00AF3E1F">
            <w:pPr>
              <w:pStyle w:val="BodyText"/>
              <w:rPr>
                <w:lang w:val="en-NZ"/>
              </w:rPr>
            </w:pPr>
            <w:r w:rsidRPr="00AF3E1F">
              <w:t>2.1</w:t>
            </w:r>
          </w:p>
        </w:tc>
        <w:tc>
          <w:tcPr>
            <w:tcW w:w="4860" w:type="dxa"/>
            <w:tcBorders>
              <w:top w:val="nil"/>
              <w:left w:val="nil"/>
              <w:bottom w:val="nil"/>
              <w:right w:val="nil"/>
            </w:tcBorders>
            <w:tcMar>
              <w:top w:w="0" w:type="dxa"/>
              <w:left w:w="62" w:type="dxa"/>
              <w:bottom w:w="0" w:type="dxa"/>
              <w:right w:w="62" w:type="dxa"/>
            </w:tcMar>
          </w:tcPr>
          <w:p w:rsidR="00000000" w:rsidP="00AF3E1F">
            <w:pPr>
              <w:pStyle w:val="BodyText"/>
              <w:rPr>
                <w:lang w:val="en-NZ"/>
              </w:rPr>
            </w:pPr>
            <w:r w:rsidRPr="00AF3E1F">
              <w:t>OHS risk control measures and procedures for carrying out the work are followed.</w:t>
            </w:r>
          </w:p>
        </w:tc>
      </w:tr>
      <w:tr w:rsidTr="00E557F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3E1F">
            <w:pPr>
              <w:pStyle w:val="BodyText"/>
              <w:rPr>
                <w:lang w:val="en-NZ"/>
              </w:rPr>
            </w:pPr>
            <w:r w:rsidRPr="00AF3E1F">
              <w:t>2.2</w:t>
            </w:r>
          </w:p>
        </w:tc>
        <w:tc>
          <w:tcPr>
            <w:tcW w:w="4860" w:type="dxa"/>
            <w:tcBorders>
              <w:top w:val="nil"/>
              <w:left w:val="nil"/>
              <w:bottom w:val="nil"/>
              <w:right w:val="nil"/>
            </w:tcBorders>
            <w:tcMar>
              <w:top w:w="0" w:type="dxa"/>
              <w:left w:w="62" w:type="dxa"/>
              <w:bottom w:w="0" w:type="dxa"/>
              <w:right w:w="62" w:type="dxa"/>
            </w:tcMar>
          </w:tcPr>
          <w:p w:rsidR="00000000" w:rsidP="00AF3E1F">
            <w:pPr>
              <w:pStyle w:val="BodyText"/>
              <w:rPr>
                <w:lang w:val="en-NZ"/>
              </w:rPr>
            </w:pPr>
            <w:r w:rsidRPr="00AF3E1F">
              <w:t>Knowledge of single phase electronic power control device and circuit operation, characteristic</w:t>
            </w:r>
            <w:r w:rsidRPr="00AF3E1F">
              <w:t>s and applications are applied to developing solutions to control problems.</w:t>
            </w:r>
          </w:p>
        </w:tc>
      </w:tr>
      <w:tr w:rsidTr="00E557F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3E1F">
            <w:pPr>
              <w:pStyle w:val="BodyText"/>
              <w:rPr>
                <w:lang w:val="en-NZ"/>
              </w:rPr>
            </w:pPr>
            <w:r w:rsidRPr="00AF3E1F">
              <w:t>2.3</w:t>
            </w:r>
          </w:p>
        </w:tc>
        <w:tc>
          <w:tcPr>
            <w:tcW w:w="4860" w:type="dxa"/>
            <w:tcBorders>
              <w:top w:val="nil"/>
              <w:left w:val="nil"/>
              <w:bottom w:val="nil"/>
              <w:right w:val="nil"/>
            </w:tcBorders>
            <w:tcMar>
              <w:top w:w="0" w:type="dxa"/>
              <w:left w:w="62" w:type="dxa"/>
              <w:bottom w:w="0" w:type="dxa"/>
              <w:right w:w="62" w:type="dxa"/>
            </w:tcMar>
          </w:tcPr>
          <w:p w:rsidR="00000000" w:rsidP="00AF3E1F">
            <w:pPr>
              <w:pStyle w:val="BodyText"/>
              <w:rPr>
                <w:lang w:val="en-NZ"/>
              </w:rPr>
            </w:pPr>
            <w:r w:rsidRPr="00AF3E1F">
              <w:t xml:space="preserve">Parameters, specifications and performance requirements in relation to each single phase electronic power control problem are obtained in accordance </w:t>
            </w:r>
            <w:r w:rsidRPr="00AF3E1F">
              <w:t xml:space="preserve">with established procedures. </w:t>
            </w:r>
          </w:p>
        </w:tc>
      </w:tr>
      <w:tr w:rsidTr="00E557F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3E1F">
            <w:pPr>
              <w:pStyle w:val="BodyText"/>
              <w:rPr>
                <w:lang w:val="en-NZ"/>
              </w:rPr>
            </w:pPr>
            <w:r w:rsidRPr="00AF3E1F">
              <w:t>2.4</w:t>
            </w:r>
          </w:p>
        </w:tc>
        <w:tc>
          <w:tcPr>
            <w:tcW w:w="4860" w:type="dxa"/>
            <w:tcBorders>
              <w:top w:val="nil"/>
              <w:left w:val="nil"/>
              <w:bottom w:val="nil"/>
              <w:right w:val="nil"/>
            </w:tcBorders>
            <w:tcMar>
              <w:top w:w="0" w:type="dxa"/>
              <w:left w:w="62" w:type="dxa"/>
              <w:bottom w:w="0" w:type="dxa"/>
              <w:right w:w="62" w:type="dxa"/>
            </w:tcMar>
          </w:tcPr>
          <w:p w:rsidR="00000000" w:rsidP="00AF3E1F">
            <w:pPr>
              <w:pStyle w:val="BodyText"/>
              <w:rPr>
                <w:lang w:val="en-NZ"/>
              </w:rPr>
            </w:pPr>
            <w:r w:rsidRPr="00AF3E1F">
              <w:t>Approaches to resolving single phase electronic power control problems are evaluated to provide most effective solutions.</w:t>
            </w:r>
          </w:p>
        </w:tc>
      </w:tr>
      <w:tr w:rsidTr="00E557F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3E1F">
            <w:pPr>
              <w:pStyle w:val="BodyText"/>
              <w:rPr>
                <w:lang w:val="en-NZ"/>
              </w:rPr>
            </w:pPr>
            <w:r w:rsidRPr="00AF3E1F">
              <w:t>2.5</w:t>
            </w:r>
          </w:p>
        </w:tc>
        <w:tc>
          <w:tcPr>
            <w:tcW w:w="4860" w:type="dxa"/>
            <w:tcBorders>
              <w:top w:val="nil"/>
              <w:left w:val="nil"/>
              <w:bottom w:val="nil"/>
              <w:right w:val="nil"/>
            </w:tcBorders>
            <w:tcMar>
              <w:top w:w="0" w:type="dxa"/>
              <w:left w:w="62" w:type="dxa"/>
              <w:bottom w:w="0" w:type="dxa"/>
              <w:right w:w="62" w:type="dxa"/>
            </w:tcMar>
          </w:tcPr>
          <w:p w:rsidR="00000000" w:rsidP="00AF3E1F">
            <w:pPr>
              <w:pStyle w:val="BodyText"/>
              <w:rPr>
                <w:lang w:val="en-NZ"/>
              </w:rPr>
            </w:pPr>
            <w:r w:rsidRPr="00AF3E1F">
              <w:t>Methods for dealing with unexpected situations are selected on the basis of safety and spe</w:t>
            </w:r>
            <w:r w:rsidRPr="00AF3E1F">
              <w:t>cified work outcomes.</w:t>
            </w:r>
          </w:p>
        </w:tc>
      </w:tr>
      <w:tr w:rsidTr="00E557F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3E1F">
            <w:pPr>
              <w:pStyle w:val="BodyText"/>
              <w:rPr>
                <w:lang w:val="en-NZ"/>
              </w:rPr>
            </w:pPr>
            <w:r w:rsidRPr="00AF3E1F">
              <w:t>2.6</w:t>
            </w:r>
          </w:p>
        </w:tc>
        <w:tc>
          <w:tcPr>
            <w:tcW w:w="4860" w:type="dxa"/>
            <w:tcBorders>
              <w:top w:val="nil"/>
              <w:left w:val="nil"/>
              <w:bottom w:val="nil"/>
              <w:right w:val="nil"/>
            </w:tcBorders>
            <w:tcMar>
              <w:top w:w="0" w:type="dxa"/>
              <w:left w:w="62" w:type="dxa"/>
              <w:bottom w:w="0" w:type="dxa"/>
              <w:right w:w="62" w:type="dxa"/>
            </w:tcMar>
          </w:tcPr>
          <w:p w:rsidR="00000000" w:rsidP="00AF3E1F">
            <w:pPr>
              <w:pStyle w:val="BodyText"/>
              <w:rPr>
                <w:lang w:val="en-NZ"/>
              </w:rPr>
            </w:pPr>
            <w:r w:rsidRPr="00AF3E1F">
              <w:t>Problems are solved efficiently without waste of materials or damage to apparatus and the surrounding environment or services and using sustainable energy practices.</w:t>
            </w:r>
          </w:p>
        </w:tc>
      </w:tr>
      <w:tr w:rsidTr="00E557F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AF3E1F">
            <w:pPr>
              <w:pStyle w:val="BodyText"/>
              <w:rPr>
                <w:lang w:val="en-NZ"/>
              </w:rPr>
            </w:pPr>
            <w:r w:rsidRPr="00AF3E1F">
              <w:t>3</w:t>
            </w:r>
          </w:p>
        </w:tc>
        <w:tc>
          <w:tcPr>
            <w:tcW w:w="2340" w:type="dxa"/>
            <w:vMerge w:val="restart"/>
            <w:tcBorders>
              <w:top w:val="nil"/>
              <w:left w:val="nil"/>
              <w:bottom w:val="nil"/>
              <w:right w:val="nil"/>
            </w:tcBorders>
            <w:tcMar>
              <w:top w:w="0" w:type="dxa"/>
              <w:left w:w="62" w:type="dxa"/>
              <w:bottom w:w="0" w:type="dxa"/>
              <w:right w:w="62" w:type="dxa"/>
            </w:tcMar>
          </w:tcPr>
          <w:p w:rsidR="00000000" w:rsidP="00AF3E1F">
            <w:pPr>
              <w:pStyle w:val="BodyText"/>
              <w:rPr>
                <w:lang w:val="en-NZ"/>
              </w:rPr>
            </w:pPr>
            <w:r w:rsidRPr="00AF3E1F">
              <w:t>Test and document solutions to single phase electronic pow</w:t>
            </w:r>
            <w:r w:rsidRPr="00AF3E1F">
              <w:t>er control.</w:t>
            </w:r>
          </w:p>
        </w:tc>
        <w:tc>
          <w:tcPr>
            <w:tcW w:w="900" w:type="dxa"/>
            <w:tcBorders>
              <w:top w:val="nil"/>
              <w:left w:val="nil"/>
              <w:bottom w:val="nil"/>
              <w:right w:val="nil"/>
            </w:tcBorders>
            <w:tcMar>
              <w:top w:w="0" w:type="dxa"/>
              <w:left w:w="62" w:type="dxa"/>
              <w:bottom w:w="0" w:type="dxa"/>
              <w:right w:w="62" w:type="dxa"/>
            </w:tcMar>
          </w:tcPr>
          <w:p w:rsidR="00000000" w:rsidP="00AF3E1F">
            <w:pPr>
              <w:pStyle w:val="BodyText"/>
              <w:rPr>
                <w:lang w:val="en-NZ"/>
              </w:rPr>
            </w:pPr>
            <w:r w:rsidRPr="00AF3E1F">
              <w:t>3.1</w:t>
            </w:r>
          </w:p>
        </w:tc>
        <w:tc>
          <w:tcPr>
            <w:tcW w:w="4860" w:type="dxa"/>
            <w:tcBorders>
              <w:top w:val="nil"/>
              <w:left w:val="nil"/>
              <w:bottom w:val="nil"/>
              <w:right w:val="nil"/>
            </w:tcBorders>
            <w:tcMar>
              <w:top w:w="0" w:type="dxa"/>
              <w:left w:w="62" w:type="dxa"/>
              <w:bottom w:w="0" w:type="dxa"/>
              <w:right w:w="62" w:type="dxa"/>
            </w:tcMar>
          </w:tcPr>
          <w:p w:rsidR="00000000" w:rsidP="00AF3E1F">
            <w:pPr>
              <w:pStyle w:val="BodyText"/>
              <w:rPr>
                <w:lang w:val="en-NZ"/>
              </w:rPr>
            </w:pPr>
            <w:r w:rsidRPr="00AF3E1F">
              <w:t>OHS risk control measures and procedures for carrying out the work are followed.</w:t>
            </w:r>
          </w:p>
        </w:tc>
      </w:tr>
      <w:tr w:rsidTr="00E557F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3E1F">
            <w:pPr>
              <w:pStyle w:val="BodyText"/>
              <w:rPr>
                <w:lang w:val="en-NZ"/>
              </w:rPr>
            </w:pPr>
            <w:r w:rsidRPr="00AF3E1F">
              <w:t>3.2</w:t>
            </w:r>
          </w:p>
        </w:tc>
        <w:tc>
          <w:tcPr>
            <w:tcW w:w="4860" w:type="dxa"/>
            <w:tcBorders>
              <w:top w:val="nil"/>
              <w:left w:val="nil"/>
              <w:bottom w:val="nil"/>
              <w:right w:val="nil"/>
            </w:tcBorders>
            <w:tcMar>
              <w:top w:w="0" w:type="dxa"/>
              <w:left w:w="62" w:type="dxa"/>
              <w:bottom w:w="0" w:type="dxa"/>
              <w:right w:w="62" w:type="dxa"/>
            </w:tcMar>
          </w:tcPr>
          <w:p w:rsidR="00000000" w:rsidP="00AF3E1F">
            <w:pPr>
              <w:pStyle w:val="BodyText"/>
              <w:rPr>
                <w:lang w:val="en-NZ"/>
              </w:rPr>
            </w:pPr>
            <w:r w:rsidRPr="00AF3E1F">
              <w:t>Solutions to single phase electronic power control problems are tested to determine their effectiveness and modified where necessary.</w:t>
            </w:r>
          </w:p>
        </w:tc>
      </w:tr>
      <w:tr w:rsidTr="00E557F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3E1F">
            <w:pPr>
              <w:pStyle w:val="BodyText"/>
              <w:rPr>
                <w:lang w:val="en-NZ"/>
              </w:rPr>
            </w:pPr>
            <w:r w:rsidRPr="00AF3E1F">
              <w:t>3.3</w:t>
            </w:r>
          </w:p>
        </w:tc>
        <w:tc>
          <w:tcPr>
            <w:tcW w:w="4860" w:type="dxa"/>
            <w:tcBorders>
              <w:top w:val="nil"/>
              <w:left w:val="nil"/>
              <w:bottom w:val="nil"/>
              <w:right w:val="nil"/>
            </w:tcBorders>
            <w:tcMar>
              <w:top w:w="0" w:type="dxa"/>
              <w:left w:w="62" w:type="dxa"/>
              <w:bottom w:w="0" w:type="dxa"/>
              <w:right w:w="62" w:type="dxa"/>
            </w:tcMar>
          </w:tcPr>
          <w:p w:rsidR="00000000" w:rsidP="00AF3E1F">
            <w:pPr>
              <w:pStyle w:val="BodyText"/>
              <w:rPr>
                <w:lang w:val="en-NZ"/>
              </w:rPr>
            </w:pPr>
            <w:r w:rsidRPr="00AF3E1F">
              <w:t>Adopted solutions are documented including instruction for their implementation that incorporates risk control measure to be followed. (See Note)</w:t>
            </w:r>
          </w:p>
        </w:tc>
      </w:tr>
      <w:tr w:rsidTr="00E557F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3E1F">
            <w:pPr>
              <w:pStyle w:val="BodyText"/>
              <w:rPr>
                <w:lang w:val="en-NZ"/>
              </w:rPr>
            </w:pPr>
            <w:r w:rsidRPr="00AF3E1F">
              <w:t>3.4</w:t>
            </w:r>
          </w:p>
        </w:tc>
        <w:tc>
          <w:tcPr>
            <w:tcW w:w="4860" w:type="dxa"/>
            <w:tcBorders>
              <w:top w:val="nil"/>
              <w:left w:val="nil"/>
              <w:bottom w:val="nil"/>
              <w:right w:val="nil"/>
            </w:tcBorders>
            <w:tcMar>
              <w:top w:w="0" w:type="dxa"/>
              <w:left w:w="62" w:type="dxa"/>
              <w:bottom w:w="0" w:type="dxa"/>
              <w:right w:w="62" w:type="dxa"/>
            </w:tcMar>
          </w:tcPr>
          <w:p w:rsidR="00000000" w:rsidP="00AF3E1F">
            <w:pPr>
              <w:pStyle w:val="BodyText"/>
              <w:rPr>
                <w:lang w:val="en-NZ"/>
              </w:rPr>
            </w:pPr>
            <w:r w:rsidRPr="00AF3E1F">
              <w:t>Justification for solutions used to solve single phase electronic power control problems are documented</w:t>
            </w:r>
            <w:r w:rsidRPr="00AF3E1F">
              <w:t xml:space="preserve"> in accordance with established procedures.</w:t>
            </w:r>
          </w:p>
        </w:tc>
      </w:tr>
      <w:tr w:rsidTr="00E557F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0" w:type="dxa"/>
            <w:gridSpan w:val="3"/>
            <w:tcBorders>
              <w:top w:val="nil"/>
              <w:left w:val="nil"/>
              <w:bottom w:val="nil"/>
              <w:right w:val="nil"/>
            </w:tcBorders>
            <w:tcMar>
              <w:top w:w="0" w:type="dxa"/>
              <w:left w:w="62" w:type="dxa"/>
              <w:bottom w:w="0" w:type="dxa"/>
              <w:right w:w="62" w:type="dxa"/>
            </w:tcMar>
          </w:tcPr>
          <w:p w:rsidR="00000000" w:rsidRPr="00AF3E1F" w:rsidP="00AF3E1F">
            <w:pPr>
              <w:pStyle w:val="BodyText"/>
            </w:pPr>
            <w:r w:rsidRPr="00AF3E1F">
              <w:t>Note:</w:t>
            </w:r>
            <w:r w:rsidRPr="00AF3E1F">
              <w:br/>
              <w:t>A license to practice in the workplace is required for work involving direct access to plant and equipment connected to installation wiring at voltages above 50 V a.c. or 120 V d.c.</w:t>
            </w:r>
          </w:p>
        </w:tc>
      </w:tr>
    </w:tbl>
    <w:p w:rsidR="00E557F3" w:rsidP="00AF3E1F">
      <w:pPr>
        <w:pStyle w:val="BodyText"/>
      </w:pPr>
    </w:p>
    <w:p w:rsidR="00E557F3" w:rsidP="00AF3E1F">
      <w:pPr>
        <w:pStyle w:val="BodyText"/>
      </w:pPr>
    </w:p>
    <w:p w:rsidR="00000000" w:rsidRPr="00AF3E1F" w:rsidP="00AF3E1F">
      <w:pPr>
        <w:pStyle w:val="Heading1"/>
      </w:pPr>
      <w:bookmarkStart w:id="9" w:name="O_263213"/>
      <w:bookmarkEnd w:id="9"/>
      <w:r w:rsidRPr="00AF3E1F">
        <w:t>Required Skills and Knowledge</w:t>
      </w:r>
    </w:p>
    <w:tbl>
      <w:tblPr>
        <w:tblW w:w="0" w:type="auto"/>
        <w:tblLayout w:type="fixed"/>
        <w:tblCellMar>
          <w:left w:w="62" w:type="dxa"/>
          <w:right w:w="62" w:type="dxa"/>
        </w:tblCellMar>
        <w:tblLook w:val="0000"/>
      </w:tblPr>
      <w:tblGrid>
        <w:gridCol w:w="2700"/>
        <w:gridCol w:w="1080"/>
        <w:gridCol w:w="4680"/>
      </w:tblGrid>
      <w:tr w:rsidTr="00E557F3">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AF3E1F">
            <w:pPr>
              <w:pStyle w:val="BodyText"/>
              <w:rPr>
                <w:lang w:val="en-NZ"/>
              </w:rPr>
            </w:pPr>
            <w:r w:rsidRPr="00AF3E1F">
              <w:rPr>
                <w:rStyle w:val="SpecialBold"/>
              </w:rPr>
              <w:t>REQUIRED SKILLS AND KNOWLEDGE</w:t>
            </w:r>
          </w:p>
        </w:tc>
      </w:tr>
      <w:tr w:rsidTr="00E557F3">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AF3E1F">
            <w:pPr>
              <w:pStyle w:val="BodyText"/>
              <w:rPr>
                <w:lang w:val="en-NZ"/>
              </w:rPr>
            </w:pPr>
            <w:r w:rsidRPr="00AF3E1F">
              <w:rPr>
                <w:rStyle w:val="SpecialBold"/>
              </w:rPr>
              <w:t>7</w:t>
            </w:r>
            <w:r w:rsidRPr="00AF3E1F">
              <w:t>) This describes the essential skills and knowledge and their level, required for this unit.</w:t>
            </w:r>
          </w:p>
        </w:tc>
      </w:tr>
      <w:tr w:rsidTr="00E557F3">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AF3E1F" w:rsidP="00AF3E1F">
            <w:pPr>
              <w:pStyle w:val="BodyText"/>
            </w:pPr>
            <w:r w:rsidRPr="00AF3E1F">
              <w:t>Evidence shall show that knowledge has been acquired of safe working practices and providing s</w:t>
            </w:r>
            <w:r w:rsidRPr="00AF3E1F">
              <w:t xml:space="preserve">olutions to single phase electronic power control problems. </w:t>
            </w:r>
          </w:p>
          <w:p w:rsidR="00000000" w:rsidRPr="00AF3E1F" w:rsidP="00AF3E1F">
            <w:pPr>
              <w:pStyle w:val="BodyText"/>
            </w:pPr>
            <w:r w:rsidRPr="00AF3E1F">
              <w:t>All knowledge and skills detailed in this unit should be contextualised to current industry practices and technologies.</w:t>
            </w:r>
          </w:p>
          <w:p w:rsidR="00000000" w:rsidP="00AF3E1F">
            <w:pPr>
              <w:pStyle w:val="BodyText"/>
              <w:rPr>
                <w:lang w:val="en-NZ"/>
              </w:rPr>
            </w:pPr>
            <w:r w:rsidRPr="00AF3E1F">
              <w:t>The extent of the essential knowledge and associated skills (EKAS) required</w:t>
            </w:r>
            <w:r w:rsidRPr="00AF3E1F">
              <w:t xml:space="preserve"> is given in Volume 2 - Part 2.2 EKAS.  It forms an integral part of this unit.</w:t>
            </w:r>
          </w:p>
        </w:tc>
      </w:tr>
      <w:tr w:rsidTr="00E557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F3E1F">
            <w:pPr>
              <w:pStyle w:val="BodyText"/>
              <w:rPr>
                <w:lang w:val="en-NZ"/>
              </w:rPr>
            </w:pPr>
            <w:r w:rsidRPr="00AF3E1F">
              <w:t>2.9.7 1</w:t>
            </w:r>
          </w:p>
        </w:tc>
        <w:tc>
          <w:tcPr>
            <w:tcW w:w="4680" w:type="dxa"/>
            <w:tcBorders>
              <w:top w:val="nil"/>
              <w:left w:val="nil"/>
              <w:bottom w:val="nil"/>
              <w:right w:val="nil"/>
            </w:tcBorders>
            <w:tcMar>
              <w:top w:w="0" w:type="dxa"/>
              <w:left w:w="62" w:type="dxa"/>
              <w:bottom w:w="0" w:type="dxa"/>
              <w:right w:w="62" w:type="dxa"/>
            </w:tcMar>
          </w:tcPr>
          <w:p w:rsidR="00000000" w:rsidP="00AF3E1F">
            <w:pPr>
              <w:pStyle w:val="BodyText"/>
              <w:rPr>
                <w:lang w:val="en-NZ"/>
              </w:rPr>
            </w:pPr>
            <w:r w:rsidRPr="00AF3E1F">
              <w:t>Single phase power control</w:t>
            </w:r>
          </w:p>
        </w:tc>
      </w:tr>
      <w:tr w:rsidTr="00E557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AF3E1F" w:rsidP="00AF3E1F">
            <w:pPr>
              <w:pStyle w:val="BodyText"/>
            </w:pPr>
          </w:p>
        </w:tc>
      </w:tr>
    </w:tbl>
    <w:p w:rsidR="00E557F3" w:rsidP="00AF3E1F">
      <w:pPr>
        <w:pStyle w:val="BodyText"/>
      </w:pPr>
    </w:p>
    <w:p w:rsidR="00E557F3" w:rsidP="00AF3E1F">
      <w:pPr>
        <w:pStyle w:val="BodyText"/>
      </w:pPr>
    </w:p>
    <w:p w:rsidR="00000000" w:rsidRPr="00AF3E1F" w:rsidP="00AF3E1F">
      <w:pPr>
        <w:pStyle w:val="Heading1"/>
      </w:pPr>
      <w:bookmarkStart w:id="10" w:name="O_247406"/>
      <w:bookmarkEnd w:id="10"/>
      <w:r w:rsidRPr="00AF3E1F">
        <w:t>Evidence Guide</w:t>
      </w:r>
    </w:p>
    <w:tbl>
      <w:tblPr>
        <w:tblW w:w="0" w:type="auto"/>
        <w:tblLayout w:type="fixed"/>
        <w:tblCellMar>
          <w:left w:w="62" w:type="dxa"/>
          <w:right w:w="62" w:type="dxa"/>
        </w:tblCellMar>
        <w:tblLook w:val="0000"/>
      </w:tblPr>
      <w:tblGrid>
        <w:gridCol w:w="2160"/>
        <w:gridCol w:w="720"/>
        <w:gridCol w:w="540"/>
        <w:gridCol w:w="540"/>
        <w:gridCol w:w="4500"/>
      </w:tblGrid>
      <w:tr w:rsidTr="00E557F3">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AF3E1F">
            <w:pPr>
              <w:pStyle w:val="BodyText"/>
              <w:rPr>
                <w:lang w:val="en-NZ"/>
              </w:rPr>
            </w:pPr>
            <w:r w:rsidRPr="00AF3E1F">
              <w:rPr>
                <w:rStyle w:val="SpecialBold"/>
              </w:rPr>
              <w:t>EVIDENCE GUIDE</w:t>
            </w:r>
          </w:p>
        </w:tc>
      </w:tr>
      <w:tr w:rsidTr="00E557F3">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AF3E1F" w:rsidP="00AF3E1F">
            <w:pPr>
              <w:pStyle w:val="BodyText"/>
            </w:pPr>
            <w:r w:rsidRPr="00AF3E1F">
              <w:rPr>
                <w:rStyle w:val="SpecialBold"/>
              </w:rPr>
              <w:t>9</w:t>
            </w:r>
            <w:r w:rsidRPr="00AF3E1F">
              <w:t>) The evidence guide provides advice on assessment and must be read in conjunction with the Performance Criteria, Required Skills and Knowledge, the Range Statement and the Assessment Guidelines for this Training Package. .</w:t>
            </w:r>
          </w:p>
          <w:p w:rsidR="00000000" w:rsidP="00AF3E1F">
            <w:pPr>
              <w:pStyle w:val="BodyText"/>
              <w:rPr>
                <w:lang w:val="en-NZ"/>
              </w:rPr>
            </w:pPr>
            <w:r w:rsidRPr="00AF3E1F">
              <w:t>The Evidence Guide forms an inte</w:t>
            </w:r>
            <w:r w:rsidRPr="00AF3E1F">
              <w:t>gral part of this unit. It must be used in conjunction with all parts of the unit and performed in accordance with the Assessment Guidelines of this Training Package.</w:t>
            </w:r>
          </w:p>
        </w:tc>
      </w:tr>
      <w:tr w:rsidTr="00E557F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F3E1F" w:rsidP="00AF3E1F">
            <w:pPr>
              <w:pStyle w:val="BodyText"/>
            </w:pPr>
            <w:r w:rsidRPr="00AF3E1F">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AF3E1F" w:rsidP="00AF3E1F">
            <w:pPr>
              <w:pStyle w:val="BodyText"/>
            </w:pPr>
            <w:r w:rsidRPr="00AF3E1F">
              <w:rPr>
                <w:rStyle w:val="SpecialBold"/>
              </w:rPr>
              <w:t>9</w:t>
            </w:r>
            <w:r w:rsidRPr="00AF3E1F">
              <w:t>.</w:t>
            </w:r>
            <w:r w:rsidRPr="00AF3E1F">
              <w:rPr>
                <w:rStyle w:val="SpecialBold"/>
              </w:rPr>
              <w:t>1</w:t>
            </w:r>
            <w:r w:rsidRPr="00AF3E1F">
              <w:t xml:space="preserve">) </w:t>
            </w:r>
          </w:p>
          <w:p w:rsidR="00000000" w:rsidRPr="00AF3E1F" w:rsidP="00AF3E1F">
            <w:pPr>
              <w:pStyle w:val="BodyText"/>
            </w:pPr>
            <w:r w:rsidRPr="00AF3E1F">
              <w:t>Longitudinal competency development approaches to assessment, such as Profiling, require data to be reliably gathered in a form that can be consistently interpreted over time. This approach is best utilised in Apprenticeship programs and reduces assessment</w:t>
            </w:r>
            <w:r w:rsidRPr="00AF3E1F">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AF3E1F">
              <w:t>cy in a realistically simulated work environment. It is recognised that, in some circumstances, assessment in part or full can occur outside the workplace. However, it must be in accord with industry and regulatory policy.</w:t>
            </w:r>
          </w:p>
          <w:p w:rsidR="00000000" w:rsidRPr="00AF3E1F" w:rsidP="00AF3E1F">
            <w:pPr>
              <w:pStyle w:val="BodyText"/>
            </w:pPr>
            <w:r w:rsidRPr="00AF3E1F">
              <w:t>Methods chosen for a particular a</w:t>
            </w:r>
            <w:r w:rsidRPr="00AF3E1F">
              <w:t>ssessment will be influenced by various factors. These include the extent of the assessment, the most effective locations for the assessment activities to take place, access to physical resources, additional safety measures that may be required and the cri</w:t>
            </w:r>
            <w:r w:rsidRPr="00AF3E1F">
              <w:t>tical nature of the competencies being assessed.</w:t>
            </w:r>
          </w:p>
          <w:p w:rsidR="00000000" w:rsidRPr="00AF3E1F" w:rsidP="00AF3E1F">
            <w:pPr>
              <w:pStyle w:val="BodyText"/>
            </w:pPr>
            <w:r w:rsidRPr="00AF3E1F">
              <w:t>The critical safety nature of working with electricity, electrical equipment, gas or any other hazardous substance/material carries risk in deeming a person competent. Sources of evidence need to be 'rich' i</w:t>
            </w:r>
            <w:r w:rsidRPr="00AF3E1F">
              <w:t>n nature to minimise error in judgment.</w:t>
            </w:r>
          </w:p>
          <w:p w:rsidR="00000000" w:rsidP="00AF3E1F">
            <w:pPr>
              <w:pStyle w:val="BodyText"/>
              <w:rPr>
                <w:lang w:val="en-NZ"/>
              </w:rPr>
            </w:pPr>
            <w:r w:rsidRPr="00AF3E1F">
              <w:t xml:space="preserve">Activities associated with normal everyday work influence decisions about  how/how much the data gathered will contribute to its 'richness'. Some skills are more critical to safety and operational requirements while </w:t>
            </w:r>
            <w:r w:rsidRPr="00AF3E1F">
              <w:t>the same skills may be more or less frequently practised. These points are raised for the assessors to consider when choosing an assessment method and developing assessment instruments. Sample assessment instruments are included for Assessors in the Assess</w:t>
            </w:r>
            <w:r w:rsidRPr="00AF3E1F">
              <w:t>ment Guidelines of this Training Package.</w:t>
            </w:r>
          </w:p>
        </w:tc>
      </w:tr>
      <w:tr w:rsidTr="00E557F3">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F3E1F" w:rsidP="00AF3E1F">
            <w:pPr>
              <w:pStyle w:val="BodyText"/>
            </w:pPr>
            <w:r w:rsidRPr="00AF3E1F">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AF3E1F" w:rsidP="00AF3E1F">
            <w:pPr>
              <w:pStyle w:val="BodyText"/>
            </w:pPr>
            <w:r w:rsidRPr="00AF3E1F">
              <w:rPr>
                <w:rStyle w:val="SpecialBold"/>
              </w:rPr>
              <w:t>9</w:t>
            </w:r>
            <w:r w:rsidRPr="00AF3E1F">
              <w:t>.</w:t>
            </w:r>
            <w:r w:rsidRPr="00AF3E1F">
              <w:rPr>
                <w:rStyle w:val="SpecialBold"/>
              </w:rPr>
              <w:t>2</w:t>
            </w:r>
            <w:r w:rsidRPr="00AF3E1F">
              <w:t xml:space="preserve">) </w:t>
            </w:r>
          </w:p>
          <w:p w:rsidR="00000000" w:rsidP="00AF3E1F">
            <w:pPr>
              <w:pStyle w:val="BodyText"/>
              <w:rPr>
                <w:lang w:val="en-NZ"/>
              </w:rPr>
            </w:pPr>
            <w:r w:rsidRPr="00AF3E1F">
              <w:t>Before the critical aspects of evidence are considered all prerequisites shall be met.</w:t>
            </w:r>
          </w:p>
        </w:tc>
      </w:tr>
      <w:tr w:rsidTr="00E557F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AF3E1F" w:rsidP="00AF3E1F">
            <w:pPr>
              <w:pStyle w:val="BodyText"/>
            </w:pPr>
            <w:r w:rsidRPr="00AF3E1F">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AF3E1F">
            <w:pPr>
              <w:pStyle w:val="ListBullet"/>
              <w:rPr>
                <w:lang w:val="en-NZ"/>
              </w:rPr>
            </w:pPr>
            <w:r w:rsidRPr="00AF3E1F">
              <w:t>A representative body of work performance demonstrated within the timeframes typically expected of the discipline, work function and industrial environment. In particular this shall incorporate evidence that shows a candidate is able to:</w:t>
            </w:r>
          </w:p>
        </w:tc>
      </w:tr>
      <w:tr w:rsidTr="00E557F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F3E1F">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AF3E1F" w:rsidP="00AF3E1F">
            <w:pPr>
              <w:pStyle w:val="ListBullet2"/>
            </w:pPr>
            <w:r w:rsidRPr="00AF3E1F">
              <w:t>Implement Oc</w:t>
            </w:r>
            <w:r w:rsidRPr="00AF3E1F">
              <w:t>cupational Health and Safety workplace procedures and practices, including the use of risk control measures as specified in the performance criteria and range statement</w:t>
            </w:r>
          </w:p>
          <w:p w:rsidR="00000000" w:rsidRPr="00AF3E1F" w:rsidP="00AF3E1F">
            <w:pPr>
              <w:pStyle w:val="ListBullet2"/>
            </w:pPr>
            <w:r w:rsidRPr="00AF3E1F">
              <w:t>Apply sustainable energy principles and practices as specified in the performance criteria and range statement</w:t>
            </w:r>
          </w:p>
          <w:p w:rsidR="00000000" w:rsidRPr="00AF3E1F" w:rsidP="00AF3E1F">
            <w:pPr>
              <w:pStyle w:val="ListBullet2"/>
            </w:pPr>
            <w:r w:rsidRPr="00AF3E1F">
              <w:t>Demonstrate an understanding of the essential knowledge and associated skills as described in this unit.  It may be required by some jurisdiction</w:t>
            </w:r>
            <w:r w:rsidRPr="00AF3E1F">
              <w:t>s that RTOs provide a percentile graded result for the purpose of regulatory or licensing requirements.</w:t>
            </w:r>
          </w:p>
          <w:p w:rsidR="00000000" w:rsidRPr="00AF3E1F" w:rsidP="00AF3E1F">
            <w:pPr>
              <w:pStyle w:val="ListBullet2"/>
            </w:pPr>
            <w:r w:rsidRPr="00AF3E1F">
              <w:t>Demonstrate an appropriate level of skills enabling employment</w:t>
            </w:r>
          </w:p>
          <w:p w:rsidR="00000000" w:rsidP="00AF3E1F">
            <w:pPr>
              <w:pStyle w:val="ListBullet2"/>
              <w:rPr>
                <w:lang w:val="en-NZ"/>
              </w:rPr>
            </w:pPr>
            <w:r w:rsidRPr="00AF3E1F">
              <w:t>Conduct work observing the relevant Anti Discrimination legislation, regulations, polices</w:t>
            </w:r>
            <w:r w:rsidRPr="00AF3E1F">
              <w:t xml:space="preserve"> and workplace procedures</w:t>
            </w:r>
          </w:p>
        </w:tc>
      </w:tr>
      <w:tr w:rsidTr="00E557F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F3E1F">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F3E1F">
            <w:pPr>
              <w:pStyle w:val="ListBullet"/>
              <w:rPr>
                <w:lang w:val="en-NZ"/>
              </w:rPr>
            </w:pPr>
            <w:r w:rsidRPr="00AF3E1F">
              <w:t>Demonstrated consistent performance across a representative range of contexts from the prescribed items below:</w:t>
            </w:r>
          </w:p>
        </w:tc>
      </w:tr>
      <w:tr w:rsidTr="00E557F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F3E1F">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F3E1F">
            <w:pPr>
              <w:pStyle w:val="ListBullet2"/>
              <w:rPr>
                <w:lang w:val="en-NZ"/>
              </w:rPr>
            </w:pPr>
            <w:r w:rsidRPr="00AF3E1F">
              <w:t>Provide solutions to single phase electronic power control problems as described in 8) and including:</w:t>
            </w:r>
          </w:p>
        </w:tc>
      </w:tr>
      <w:tr w:rsidTr="00E557F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F3E1F">
            <w:pPr>
              <w:pStyle w:val="BodyText"/>
              <w:rPr>
                <w:lang w:val="en-NZ"/>
              </w:rPr>
            </w:pPr>
            <w:r w:rsidRPr="00AF3E1F">
              <w:t>A</w:t>
            </w:r>
          </w:p>
        </w:tc>
        <w:tc>
          <w:tcPr>
            <w:tcW w:w="5040" w:type="dxa"/>
            <w:gridSpan w:val="2"/>
            <w:tcBorders>
              <w:top w:val="nil"/>
              <w:left w:val="nil"/>
              <w:bottom w:val="nil"/>
              <w:right w:val="nil"/>
            </w:tcBorders>
            <w:tcMar>
              <w:top w:w="0" w:type="dxa"/>
              <w:left w:w="62" w:type="dxa"/>
              <w:bottom w:w="0" w:type="dxa"/>
              <w:right w:w="62" w:type="dxa"/>
            </w:tcMar>
          </w:tcPr>
          <w:p w:rsidR="00000000" w:rsidP="00AF3E1F">
            <w:pPr>
              <w:pStyle w:val="BodyText"/>
              <w:rPr>
                <w:lang w:val="en-NZ"/>
              </w:rPr>
            </w:pPr>
            <w:r w:rsidRPr="00AF3E1F">
              <w:t>Understanding the extent of the single phase electronic power control problem.</w:t>
            </w:r>
          </w:p>
        </w:tc>
      </w:tr>
      <w:tr w:rsidTr="00E557F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F3E1F">
            <w:pPr>
              <w:pStyle w:val="BodyText"/>
              <w:rPr>
                <w:lang w:val="en-NZ"/>
              </w:rPr>
            </w:pPr>
            <w:r w:rsidRPr="00AF3E1F">
              <w:t>B</w:t>
            </w:r>
          </w:p>
        </w:tc>
        <w:tc>
          <w:tcPr>
            <w:tcW w:w="5040" w:type="dxa"/>
            <w:gridSpan w:val="2"/>
            <w:tcBorders>
              <w:top w:val="nil"/>
              <w:left w:val="nil"/>
              <w:bottom w:val="nil"/>
              <w:right w:val="nil"/>
            </w:tcBorders>
            <w:tcMar>
              <w:top w:w="0" w:type="dxa"/>
              <w:left w:w="62" w:type="dxa"/>
              <w:bottom w:w="0" w:type="dxa"/>
              <w:right w:w="62" w:type="dxa"/>
            </w:tcMar>
          </w:tcPr>
          <w:p w:rsidR="00000000" w:rsidP="00AF3E1F">
            <w:pPr>
              <w:pStyle w:val="BodyText"/>
              <w:rPr>
                <w:lang w:val="en-NZ"/>
              </w:rPr>
            </w:pPr>
            <w:r w:rsidRPr="00AF3E1F">
              <w:t>Obtaining electronic device and circuit parameters, specifications and performance requirements appropriate to each problem.</w:t>
            </w:r>
          </w:p>
        </w:tc>
      </w:tr>
      <w:tr w:rsidTr="00E557F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F3E1F">
            <w:pPr>
              <w:pStyle w:val="BodyText"/>
              <w:rPr>
                <w:lang w:val="en-NZ"/>
              </w:rPr>
            </w:pPr>
            <w:r w:rsidRPr="00AF3E1F">
              <w:t>C</w:t>
            </w:r>
          </w:p>
        </w:tc>
        <w:tc>
          <w:tcPr>
            <w:tcW w:w="5040" w:type="dxa"/>
            <w:gridSpan w:val="2"/>
            <w:tcBorders>
              <w:top w:val="nil"/>
              <w:left w:val="nil"/>
              <w:bottom w:val="nil"/>
              <w:right w:val="nil"/>
            </w:tcBorders>
            <w:tcMar>
              <w:top w:w="0" w:type="dxa"/>
              <w:left w:w="62" w:type="dxa"/>
              <w:bottom w:w="0" w:type="dxa"/>
              <w:right w:w="62" w:type="dxa"/>
            </w:tcMar>
          </w:tcPr>
          <w:p w:rsidR="00000000" w:rsidP="00AF3E1F">
            <w:pPr>
              <w:pStyle w:val="BodyText"/>
              <w:rPr>
                <w:lang w:val="en-NZ"/>
              </w:rPr>
            </w:pPr>
            <w:r w:rsidRPr="00AF3E1F">
              <w:t>Testing and solutions to single phase electronic power control problems.</w:t>
            </w:r>
          </w:p>
        </w:tc>
      </w:tr>
      <w:tr w:rsidTr="00E557F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F3E1F">
            <w:pPr>
              <w:pStyle w:val="BodyText"/>
              <w:rPr>
                <w:lang w:val="en-NZ"/>
              </w:rPr>
            </w:pPr>
            <w:r w:rsidRPr="00AF3E1F">
              <w:t>D</w:t>
            </w:r>
          </w:p>
        </w:tc>
        <w:tc>
          <w:tcPr>
            <w:tcW w:w="5040" w:type="dxa"/>
            <w:gridSpan w:val="2"/>
            <w:tcBorders>
              <w:top w:val="nil"/>
              <w:left w:val="nil"/>
              <w:bottom w:val="nil"/>
              <w:right w:val="nil"/>
            </w:tcBorders>
            <w:tcMar>
              <w:top w:w="0" w:type="dxa"/>
              <w:left w:w="62" w:type="dxa"/>
              <w:bottom w:w="0" w:type="dxa"/>
              <w:right w:w="62" w:type="dxa"/>
            </w:tcMar>
          </w:tcPr>
          <w:p w:rsidR="00000000" w:rsidP="00AF3E1F">
            <w:pPr>
              <w:pStyle w:val="BodyText"/>
              <w:rPr>
                <w:lang w:val="en-NZ"/>
              </w:rPr>
            </w:pPr>
            <w:r w:rsidRPr="00AF3E1F">
              <w:t>Documenting justification of solutions implemented in accordance with established procedures.</w:t>
            </w:r>
          </w:p>
        </w:tc>
      </w:tr>
      <w:tr w:rsidTr="00E557F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F3E1F">
            <w:pPr>
              <w:pStyle w:val="BodyText"/>
              <w:rPr>
                <w:lang w:val="en-NZ"/>
              </w:rPr>
            </w:pPr>
            <w:r w:rsidRPr="00AF3E1F">
              <w:t>E</w:t>
            </w:r>
          </w:p>
        </w:tc>
        <w:tc>
          <w:tcPr>
            <w:tcW w:w="5040" w:type="dxa"/>
            <w:gridSpan w:val="2"/>
            <w:tcBorders>
              <w:top w:val="nil"/>
              <w:left w:val="nil"/>
              <w:bottom w:val="nil"/>
              <w:right w:val="nil"/>
            </w:tcBorders>
            <w:tcMar>
              <w:top w:w="0" w:type="dxa"/>
              <w:left w:w="62" w:type="dxa"/>
              <w:bottom w:w="0" w:type="dxa"/>
              <w:right w:w="62" w:type="dxa"/>
            </w:tcMar>
          </w:tcPr>
          <w:p w:rsidR="00000000" w:rsidP="00AF3E1F">
            <w:pPr>
              <w:pStyle w:val="BodyText"/>
              <w:rPr>
                <w:lang w:val="en-NZ"/>
              </w:rPr>
            </w:pPr>
            <w:r w:rsidRPr="00AF3E1F">
              <w:t>Dealing with unplanned events by drawing on essential knowledge and skills to</w:t>
            </w:r>
            <w:r w:rsidRPr="00AF3E1F">
              <w:t xml:space="preserve"> provide appropriate solutions incorporated in a holistic assessment with the above listed items.</w:t>
            </w:r>
          </w:p>
        </w:tc>
      </w:tr>
      <w:tr w:rsidTr="00E557F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F3E1F">
            <w:pPr>
              <w:pStyle w:val="BodyText"/>
              <w:rPr>
                <w:lang w:val="en-NZ"/>
              </w:rPr>
            </w:pPr>
            <w:r w:rsidRPr="00AF3E1F">
              <w:t>Note:</w:t>
            </w:r>
            <w:r w:rsidRPr="00AF3E1F">
              <w:br/>
              <w:t>Successful completion of relevant vendor training may be used to contribute to evidence on which competency is deemed. In these cases the alignment o</w:t>
            </w:r>
            <w:r w:rsidRPr="00AF3E1F">
              <w:t>f outcomes of vendor training with performance criteria and critical aspects of evidence shall be clearly identified.</w:t>
            </w:r>
          </w:p>
        </w:tc>
      </w:tr>
      <w:tr w:rsidTr="00E557F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F3E1F" w:rsidP="00AF3E1F">
            <w:pPr>
              <w:pStyle w:val="BodyText"/>
            </w:pPr>
            <w:r w:rsidRPr="00AF3E1F">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AF3E1F" w:rsidP="00AF3E1F">
            <w:pPr>
              <w:pStyle w:val="BodyText"/>
            </w:pPr>
            <w:r w:rsidRPr="00AF3E1F">
              <w:rPr>
                <w:rStyle w:val="SpecialBold"/>
              </w:rPr>
              <w:t>9</w:t>
            </w:r>
            <w:r w:rsidRPr="00AF3E1F">
              <w:t>.</w:t>
            </w:r>
            <w:r w:rsidRPr="00AF3E1F">
              <w:rPr>
                <w:rStyle w:val="SpecialBold"/>
              </w:rPr>
              <w:t>3</w:t>
            </w:r>
            <w:r w:rsidRPr="00AF3E1F">
              <w:t xml:space="preserve">) </w:t>
            </w:r>
          </w:p>
          <w:p w:rsidR="00000000" w:rsidRPr="00AF3E1F" w:rsidP="00AF3E1F">
            <w:pPr>
              <w:pStyle w:val="BodyText"/>
            </w:pPr>
            <w:r w:rsidRPr="00AF3E1F">
              <w:t>This unit should be assessed as it relates to normal work practice using procedures, information and resources typical of a workplace. This should include:</w:t>
            </w:r>
          </w:p>
          <w:p w:rsidR="00000000" w:rsidRPr="00AF3E1F" w:rsidP="00AF3E1F">
            <w:pPr>
              <w:pStyle w:val="ListBullet"/>
            </w:pPr>
            <w:r w:rsidRPr="00AF3E1F">
              <w:t>OHS policy and work procedures and instructions.</w:t>
            </w:r>
          </w:p>
          <w:p w:rsidR="00000000" w:rsidRPr="00AF3E1F" w:rsidP="00AF3E1F">
            <w:pPr>
              <w:pStyle w:val="ListBullet"/>
            </w:pPr>
            <w:r w:rsidRPr="00AF3E1F">
              <w:t>Suitable work environment, facilities, equipment an</w:t>
            </w:r>
            <w:r w:rsidRPr="00AF3E1F">
              <w:t>d materials to undertake actual work as prescribed by this unit.</w:t>
            </w:r>
          </w:p>
          <w:p w:rsidR="00000000" w:rsidRPr="00AF3E1F" w:rsidP="00AF3E1F">
            <w:pPr>
              <w:pStyle w:val="BodyText"/>
            </w:pPr>
            <w:r w:rsidRPr="00AF3E1F">
              <w:t>These should be part of the formal learning/assessment environment.</w:t>
            </w:r>
          </w:p>
          <w:p w:rsidR="00000000" w:rsidRPr="00AF3E1F" w:rsidP="00AF3E1F">
            <w:pPr>
              <w:pStyle w:val="BodyText"/>
            </w:pPr>
            <w:r w:rsidRPr="00AF3E1F">
              <w:t>Note:</w:t>
            </w:r>
          </w:p>
          <w:p w:rsidR="00000000" w:rsidP="00AF3E1F">
            <w:pPr>
              <w:pStyle w:val="BodyText"/>
              <w:rPr>
                <w:lang w:val="en-NZ"/>
              </w:rPr>
            </w:pPr>
            <w:r w:rsidRPr="00AF3E1F">
              <w:t>Where simulation is considered a suitable strategy for assessment, conditions must be authentic and as far as possibl</w:t>
            </w:r>
            <w:r w:rsidRPr="00AF3E1F">
              <w:t>e reproduce and replicate the workplace and be consistent with the approved industry simulation policy.</w:t>
            </w:r>
          </w:p>
        </w:tc>
      </w:tr>
      <w:tr w:rsidTr="00E557F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F3E1F">
            <w:pPr>
              <w:pStyle w:val="BodyText"/>
              <w:rPr>
                <w:lang w:val="en-NZ"/>
              </w:rPr>
            </w:pPr>
            <w:r w:rsidRPr="00AF3E1F">
              <w:t>The resources used for assessment should reflect current industry practices in relation to providing solutions to single phase electronic power con</w:t>
            </w:r>
            <w:r w:rsidRPr="00AF3E1F">
              <w:t>trol problems.</w:t>
            </w:r>
          </w:p>
        </w:tc>
      </w:tr>
      <w:tr w:rsidTr="00E557F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F3E1F" w:rsidP="00AF3E1F">
            <w:pPr>
              <w:pStyle w:val="BodyText"/>
            </w:pPr>
            <w:r w:rsidRPr="00AF3E1F">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AF3E1F" w:rsidP="00AF3E1F">
            <w:pPr>
              <w:pStyle w:val="BodyText"/>
            </w:pPr>
            <w:r w:rsidRPr="00AF3E1F">
              <w:rPr>
                <w:rStyle w:val="SpecialBold"/>
              </w:rPr>
              <w:t>9</w:t>
            </w:r>
            <w:r w:rsidRPr="00AF3E1F">
              <w:t>.</w:t>
            </w:r>
            <w:r w:rsidRPr="00AF3E1F">
              <w:rPr>
                <w:rStyle w:val="SpecialBold"/>
              </w:rPr>
              <w:t>4</w:t>
            </w:r>
            <w:r w:rsidRPr="00AF3E1F">
              <w:t xml:space="preserve">) </w:t>
            </w:r>
          </w:p>
          <w:p w:rsidR="00000000" w:rsidRPr="00AF3E1F" w:rsidP="00AF3E1F">
            <w:pPr>
              <w:pStyle w:val="BodyText"/>
            </w:pPr>
            <w:r w:rsidRPr="00AF3E1F">
              <w:t>This unit shall be assessed by methods given in Volume 1, Part 3 'Assessment Guidelines'.</w:t>
            </w:r>
          </w:p>
          <w:p w:rsidR="00000000" w:rsidP="00AF3E1F">
            <w:pPr>
              <w:pStyle w:val="BodyText"/>
              <w:rPr>
                <w:lang w:val="en-NZ"/>
              </w:rPr>
            </w:pPr>
            <w:r w:rsidRPr="00AF3E1F">
              <w:t>Note:</w:t>
            </w:r>
            <w:r w:rsidRPr="00AF3E1F">
              <w:br/>
            </w:r>
            <w:r w:rsidRPr="00AF3E1F">
              <w:t>Competent performance with inherent safe working practices is expected in the industry to which this unit applies. This requires that the specified essential knowledge and associated skills are assessed in a structured environment which is primarily intend</w:t>
            </w:r>
            <w:r w:rsidRPr="00AF3E1F">
              <w:t>ed for learning/assessment and incorporates all necessary equipment and facilities for learners to develop and demonstrate the essential knowledge and skills described in this unit.</w:t>
            </w:r>
          </w:p>
        </w:tc>
      </w:tr>
      <w:tr w:rsidTr="00E557F3">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F3E1F" w:rsidP="00AF3E1F">
            <w:pPr>
              <w:pStyle w:val="BodyText"/>
            </w:pPr>
            <w:r w:rsidRPr="00AF3E1F">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AF3E1F">
            <w:pPr>
              <w:pStyle w:val="BodyText"/>
              <w:rPr>
                <w:lang w:val="en-NZ"/>
              </w:rPr>
            </w:pPr>
            <w:r w:rsidRPr="00AF3E1F">
              <w:rPr>
                <w:rStyle w:val="SpecialBold"/>
              </w:rPr>
              <w:t>9</w:t>
            </w:r>
            <w:r w:rsidRPr="00AF3E1F">
              <w:t>.</w:t>
            </w:r>
            <w:r w:rsidRPr="00AF3E1F">
              <w:rPr>
                <w:rStyle w:val="SpecialBold"/>
              </w:rPr>
              <w:t>5</w:t>
            </w:r>
            <w:r w:rsidRPr="00AF3E1F">
              <w:t>)</w:t>
            </w:r>
          </w:p>
        </w:tc>
      </w:tr>
      <w:tr w:rsidTr="00E557F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F3E1F">
            <w:pPr>
              <w:pStyle w:val="BodyText"/>
              <w:rPr>
                <w:lang w:val="en-NZ"/>
              </w:rPr>
            </w:pPr>
            <w:r w:rsidRPr="00AF3E1F">
              <w:t xml:space="preserve">For </w:t>
            </w:r>
            <w:r w:rsidRPr="00AF3E1F">
              <w:t>optimisation of training and assessment effort, competency development in this unit may be arranged concurrently with unit:</w:t>
            </w:r>
          </w:p>
        </w:tc>
      </w:tr>
      <w:tr w:rsidTr="00E557F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AF3E1F">
            <w:pPr>
              <w:pStyle w:val="BodyText"/>
              <w:rPr>
                <w:lang w:val="en-NZ"/>
              </w:rPr>
            </w:pPr>
            <w:r w:rsidRPr="00AF3E1F">
              <w:t>UEENEEH013B</w:t>
            </w:r>
          </w:p>
        </w:tc>
        <w:tc>
          <w:tcPr>
            <w:tcW w:w="4500" w:type="dxa"/>
            <w:tcBorders>
              <w:top w:val="nil"/>
              <w:left w:val="nil"/>
              <w:bottom w:val="nil"/>
              <w:right w:val="nil"/>
            </w:tcBorders>
            <w:tcMar>
              <w:top w:w="0" w:type="dxa"/>
              <w:left w:w="62" w:type="dxa"/>
              <w:bottom w:w="0" w:type="dxa"/>
              <w:right w:w="62" w:type="dxa"/>
            </w:tcMar>
          </w:tcPr>
          <w:p w:rsidR="00000000" w:rsidP="00AF3E1F">
            <w:pPr>
              <w:pStyle w:val="BodyText"/>
              <w:rPr>
                <w:lang w:val="en-NZ"/>
              </w:rPr>
            </w:pPr>
            <w:r w:rsidRPr="00AF3E1F">
              <w:t xml:space="preserve">Troubleshoot amplifiers </w:t>
            </w:r>
          </w:p>
        </w:tc>
      </w:tr>
      <w:tr w:rsidTr="00E557F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AF3E1F">
            <w:pPr>
              <w:pStyle w:val="BodyText"/>
              <w:rPr>
                <w:lang w:val="en-NZ"/>
              </w:rPr>
            </w:pPr>
            <w:r w:rsidRPr="00AF3E1F">
              <w:t>OR</w:t>
            </w:r>
          </w:p>
        </w:tc>
        <w:tc>
          <w:tcPr>
            <w:tcW w:w="4500" w:type="dxa"/>
            <w:tcBorders>
              <w:top w:val="nil"/>
              <w:left w:val="nil"/>
              <w:bottom w:val="nil"/>
              <w:right w:val="nil"/>
            </w:tcBorders>
            <w:tcMar>
              <w:top w:w="0" w:type="dxa"/>
              <w:left w:w="62" w:type="dxa"/>
              <w:bottom w:w="0" w:type="dxa"/>
              <w:right w:w="62" w:type="dxa"/>
            </w:tcMar>
          </w:tcPr>
          <w:p w:rsidR="00000000" w:rsidP="00AF3E1F">
            <w:pPr>
              <w:pStyle w:val="BodyText"/>
              <w:rPr>
                <w:lang w:val="en-NZ"/>
              </w:rPr>
            </w:pPr>
          </w:p>
        </w:tc>
      </w:tr>
      <w:tr w:rsidTr="00E557F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AF3E1F">
            <w:pPr>
              <w:pStyle w:val="BodyText"/>
              <w:rPr>
                <w:lang w:val="en-NZ"/>
              </w:rPr>
            </w:pPr>
            <w:r w:rsidRPr="00AF3E1F">
              <w:t>UEENEEH044B</w:t>
            </w:r>
          </w:p>
        </w:tc>
        <w:tc>
          <w:tcPr>
            <w:tcW w:w="4500" w:type="dxa"/>
            <w:tcBorders>
              <w:top w:val="nil"/>
              <w:left w:val="nil"/>
              <w:bottom w:val="nil"/>
              <w:right w:val="nil"/>
            </w:tcBorders>
            <w:tcMar>
              <w:top w:w="0" w:type="dxa"/>
              <w:left w:w="62" w:type="dxa"/>
              <w:bottom w:w="0" w:type="dxa"/>
              <w:right w:w="62" w:type="dxa"/>
            </w:tcMar>
          </w:tcPr>
          <w:p w:rsidR="00000000" w:rsidP="00AF3E1F">
            <w:pPr>
              <w:pStyle w:val="BodyText"/>
              <w:rPr>
                <w:lang w:val="en-NZ"/>
              </w:rPr>
            </w:pPr>
            <w:r w:rsidRPr="00AF3E1F">
              <w:t>Diagnose and rectify faults in analogue circuits and components in electronic control systems</w:t>
            </w:r>
          </w:p>
        </w:tc>
      </w:tr>
      <w:tr w:rsidTr="00E557F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F3E1F">
            <w:pPr>
              <w:pStyle w:val="BodyText"/>
              <w:rPr>
                <w:lang w:val="en-NZ"/>
              </w:rPr>
            </w:pPr>
            <w:r w:rsidRPr="00AF3E1F">
              <w:t>The critical aspects of occupational health and safety covered in unit UEENEEE001B and other discipline specific occupational health and safety units shall be i</w:t>
            </w:r>
            <w:r w:rsidRPr="00AF3E1F">
              <w:t>ncorporated in relation to this unit.</w:t>
            </w:r>
          </w:p>
        </w:tc>
      </w:tr>
      <w:tr w:rsidTr="00E557F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AF3E1F" w:rsidP="00AF3E1F">
            <w:pPr>
              <w:pStyle w:val="BodyText"/>
            </w:pPr>
          </w:p>
        </w:tc>
      </w:tr>
    </w:tbl>
    <w:p w:rsidR="00E557F3" w:rsidP="00AF3E1F">
      <w:pPr>
        <w:pStyle w:val="BodyText"/>
      </w:pPr>
    </w:p>
    <w:p w:rsidR="00E557F3" w:rsidP="00AF3E1F">
      <w:pPr>
        <w:pStyle w:val="BodyText"/>
      </w:pPr>
    </w:p>
    <w:p w:rsidR="00000000" w:rsidRPr="00AF3E1F" w:rsidP="00AF3E1F">
      <w:pPr>
        <w:pStyle w:val="Heading1"/>
      </w:pPr>
      <w:bookmarkStart w:id="11" w:name="O_255389"/>
      <w:bookmarkEnd w:id="11"/>
      <w:r w:rsidRPr="00AF3E1F">
        <w:t>Range Statement</w:t>
      </w:r>
    </w:p>
    <w:tbl>
      <w:tblPr>
        <w:tblW w:w="0" w:type="auto"/>
        <w:tblLayout w:type="fixed"/>
        <w:tblCellMar>
          <w:left w:w="62" w:type="dxa"/>
          <w:right w:w="62" w:type="dxa"/>
        </w:tblCellMar>
        <w:tblLook w:val="0000"/>
      </w:tblPr>
      <w:tblGrid>
        <w:gridCol w:w="8460"/>
      </w:tblGrid>
      <w:tr w:rsidTr="00E557F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F3E1F">
            <w:pPr>
              <w:pStyle w:val="BodyText"/>
              <w:rPr>
                <w:lang w:val="en-NZ"/>
              </w:rPr>
            </w:pPr>
            <w:r w:rsidRPr="00AF3E1F">
              <w:rPr>
                <w:rStyle w:val="SpecialBold"/>
              </w:rPr>
              <w:t>RANGE STATEMENT</w:t>
            </w:r>
          </w:p>
        </w:tc>
      </w:tr>
      <w:tr w:rsidTr="00E557F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F3E1F">
            <w:pPr>
              <w:pStyle w:val="BodyText"/>
              <w:rPr>
                <w:lang w:val="en-NZ"/>
              </w:rPr>
            </w:pPr>
            <w:r w:rsidRPr="00AF3E1F">
              <w:rPr>
                <w:rStyle w:val="SpecialBold"/>
              </w:rPr>
              <w:t>8</w:t>
            </w:r>
            <w:r w:rsidRPr="00AF3E1F">
              <w:t xml:space="preserve">) This relates to the unit as a whole providing the range of contexts and conditions to which the </w:t>
            </w:r>
            <w:r w:rsidRPr="00AF3E1F">
              <w:t>performance criteria apply. It allows for different work environments and situations that will affect performance.</w:t>
            </w:r>
          </w:p>
        </w:tc>
      </w:tr>
      <w:tr w:rsidTr="00E557F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F3E1F" w:rsidP="00AF3E1F">
            <w:pPr>
              <w:pStyle w:val="BodyText"/>
            </w:pPr>
            <w:r w:rsidRPr="00AF3E1F">
              <w:t>This unit shall be demonstrated in relation to providing solutions to at least four single phase electronic power control problems.</w:t>
            </w:r>
          </w:p>
          <w:p w:rsidR="00000000" w:rsidP="00AF3E1F">
            <w:pPr>
              <w:pStyle w:val="BodyText"/>
              <w:rPr>
                <w:lang w:val="en-NZ"/>
              </w:rPr>
            </w:pPr>
            <w:r w:rsidRPr="00AF3E1F">
              <w:t>Note.</w:t>
            </w:r>
            <w:r w:rsidRPr="00AF3E1F">
              <w:br/>
            </w:r>
            <w:r w:rsidRPr="00AF3E1F">
              <w:t>Typical single phase electronic power control problems are those encountered in meeting performance requirements and compliance standards, revising control operating parameters and dealing with control malfunctions.</w:t>
            </w:r>
          </w:p>
        </w:tc>
      </w:tr>
      <w:tr w:rsidTr="00E557F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F3E1F" w:rsidP="00AF3E1F">
            <w:pPr>
              <w:pStyle w:val="BodyText"/>
            </w:pPr>
            <w:r w:rsidRPr="00AF3E1F">
              <w:t>Generic terms used throughout this Voca</w:t>
            </w:r>
            <w:r w:rsidRPr="00AF3E1F">
              <w:t>tional Standard shall be regarded as part of the Range Statement in which competency is demonstrated. The definition of these and other terms that apply are given in Volume 2, Part 2.1.</w:t>
            </w:r>
          </w:p>
        </w:tc>
      </w:tr>
    </w:tbl>
    <w:p w:rsidR="00E557F3" w:rsidP="00AF3E1F">
      <w:pPr>
        <w:pStyle w:val="BodyText"/>
      </w:pPr>
    </w:p>
    <w:p w:rsidR="00E557F3" w:rsidP="00AF3E1F">
      <w:pPr>
        <w:pStyle w:val="BodyText"/>
      </w:pPr>
    </w:p>
    <w:p w:rsidR="00000000" w:rsidRPr="00AF3E1F" w:rsidP="00AF3E1F">
      <w:pPr>
        <w:pStyle w:val="Heading1"/>
      </w:pPr>
      <w:bookmarkStart w:id="12" w:name="O_296402"/>
      <w:bookmarkEnd w:id="12"/>
      <w:r w:rsidRPr="00AF3E1F">
        <w:t>Unit Sector(s)</w:t>
      </w:r>
    </w:p>
    <w:p w:rsidR="00000000" w:rsidRPr="00AF3E1F" w:rsidP="00AF3E1F">
      <w:pPr>
        <w:pStyle w:val="BodyText"/>
      </w:pPr>
      <w:r w:rsidRPr="00AF3E1F">
        <w:t>Not Applicable</w:t>
      </w:r>
    </w:p>
    <w:p w:rsidR="00000000" w:rsidRPr="00AF3E1F" w:rsidP="00AF3E1F">
      <w:pPr>
        <w:pStyle w:val="AllowPageBreak"/>
      </w:pPr>
    </w:p>
    <w:p w:rsidR="00000000" w:rsidRPr="00AF3E1F" w:rsidP="00AF3E1F">
      <w:pPr>
        <w:pStyle w:val="Heading1"/>
      </w:pPr>
      <w:bookmarkStart w:id="13" w:name="O_226715"/>
      <w:bookmarkEnd w:id="13"/>
      <w:r w:rsidRPr="00AF3E1F">
        <w:t>Com</w:t>
      </w:r>
      <w:r w:rsidRPr="00AF3E1F">
        <w:t>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E557F3">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AF3E1F" w:rsidP="00AF3E1F">
            <w:pPr>
              <w:pStyle w:val="BodyText"/>
            </w:pPr>
            <w:r w:rsidRPr="00AF3E1F">
              <w:rPr>
                <w:rStyle w:val="SpecialBold"/>
              </w:rPr>
              <w:t>2</w:t>
            </w:r>
            <w:r w:rsidRPr="00AF3E1F">
              <w:t>.</w:t>
            </w:r>
            <w:r w:rsidRPr="00AF3E1F">
              <w:rPr>
                <w:rStyle w:val="SpecialBold"/>
              </w:rPr>
              <w:t>2</w:t>
            </w:r>
            <w:r w:rsidRPr="00AF3E1F">
              <w:t xml:space="preserve">) </w:t>
            </w:r>
            <w:r w:rsidRPr="00AF3E1F">
              <w:rPr>
                <w:rStyle w:val="SpecialBold"/>
              </w:rPr>
              <w:t>Literacy and numeracy skills</w:t>
            </w:r>
          </w:p>
          <w:p w:rsidR="00000000" w:rsidP="00AF3E1F">
            <w:pPr>
              <w:pStyle w:val="BodyText"/>
              <w:rPr>
                <w:lang w:val="en-NZ"/>
              </w:rPr>
            </w:pPr>
            <w:r w:rsidRPr="00AF3E1F">
              <w:t>Participants are best equipped to achieve competency in this unit if they have reading, writing and numeracy skills indicated by the following scales. Description of each scale is given in Volume 2, Part 3 'L</w:t>
            </w:r>
            <w:r w:rsidRPr="00AF3E1F">
              <w:t>iteracy and Numeracy'</w:t>
            </w:r>
          </w:p>
        </w:tc>
      </w:tr>
      <w:tr w:rsidTr="00E557F3">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AF3E1F">
            <w:pPr>
              <w:pStyle w:val="BodyText"/>
              <w:rPr>
                <w:lang w:val="en-NZ"/>
              </w:rPr>
            </w:pPr>
            <w:r w:rsidRPr="00AF3E1F">
              <w:t>Reading</w:t>
            </w:r>
          </w:p>
        </w:tc>
        <w:tc>
          <w:tcPr>
            <w:tcW w:w="1182" w:type="dxa"/>
            <w:tcBorders>
              <w:top w:val="nil"/>
              <w:left w:val="nil"/>
              <w:bottom w:val="nil"/>
              <w:right w:val="nil"/>
            </w:tcBorders>
            <w:tcMar>
              <w:top w:w="0" w:type="dxa"/>
              <w:left w:w="62" w:type="dxa"/>
              <w:bottom w:w="0" w:type="dxa"/>
              <w:right w:w="62" w:type="dxa"/>
            </w:tcMar>
          </w:tcPr>
          <w:p w:rsidR="00000000" w:rsidP="00AF3E1F">
            <w:pPr>
              <w:pStyle w:val="BodyText"/>
              <w:rPr>
                <w:lang w:val="en-NZ"/>
              </w:rPr>
            </w:pPr>
            <w:r w:rsidRPr="00AF3E1F">
              <w:t>4</w:t>
            </w:r>
          </w:p>
        </w:tc>
        <w:tc>
          <w:tcPr>
            <w:tcW w:w="1739" w:type="dxa"/>
            <w:tcBorders>
              <w:top w:val="nil"/>
              <w:left w:val="nil"/>
              <w:bottom w:val="nil"/>
              <w:right w:val="nil"/>
            </w:tcBorders>
            <w:tcMar>
              <w:top w:w="0" w:type="dxa"/>
              <w:left w:w="62" w:type="dxa"/>
              <w:bottom w:w="0" w:type="dxa"/>
              <w:right w:w="62" w:type="dxa"/>
            </w:tcMar>
          </w:tcPr>
          <w:p w:rsidR="00000000" w:rsidP="00AF3E1F">
            <w:pPr>
              <w:pStyle w:val="BodyText"/>
              <w:rPr>
                <w:lang w:val="en-NZ"/>
              </w:rPr>
            </w:pPr>
            <w:r w:rsidRPr="00AF3E1F">
              <w:t>Writing</w:t>
            </w:r>
          </w:p>
        </w:tc>
        <w:tc>
          <w:tcPr>
            <w:tcW w:w="1182" w:type="dxa"/>
            <w:tcBorders>
              <w:top w:val="nil"/>
              <w:left w:val="nil"/>
              <w:bottom w:val="nil"/>
              <w:right w:val="nil"/>
            </w:tcBorders>
            <w:tcMar>
              <w:top w:w="0" w:type="dxa"/>
              <w:left w:w="62" w:type="dxa"/>
              <w:bottom w:w="0" w:type="dxa"/>
              <w:right w:w="62" w:type="dxa"/>
            </w:tcMar>
          </w:tcPr>
          <w:p w:rsidR="00000000" w:rsidP="00AF3E1F">
            <w:pPr>
              <w:pStyle w:val="BodyText"/>
              <w:rPr>
                <w:lang w:val="en-NZ"/>
              </w:rPr>
            </w:pPr>
            <w:r w:rsidRPr="00AF3E1F">
              <w:t>4</w:t>
            </w:r>
          </w:p>
        </w:tc>
        <w:tc>
          <w:tcPr>
            <w:tcW w:w="1721" w:type="dxa"/>
            <w:tcBorders>
              <w:top w:val="nil"/>
              <w:left w:val="nil"/>
              <w:bottom w:val="nil"/>
              <w:right w:val="nil"/>
            </w:tcBorders>
            <w:tcMar>
              <w:top w:w="0" w:type="dxa"/>
              <w:left w:w="62" w:type="dxa"/>
              <w:bottom w:w="0" w:type="dxa"/>
              <w:right w:w="62" w:type="dxa"/>
            </w:tcMar>
          </w:tcPr>
          <w:p w:rsidR="00000000" w:rsidP="00AF3E1F">
            <w:pPr>
              <w:pStyle w:val="BodyText"/>
              <w:rPr>
                <w:lang w:val="en-NZ"/>
              </w:rPr>
            </w:pPr>
            <w:r w:rsidRPr="00AF3E1F">
              <w:t>Numeracy</w:t>
            </w:r>
          </w:p>
        </w:tc>
        <w:tc>
          <w:tcPr>
            <w:tcW w:w="1182" w:type="dxa"/>
            <w:tcBorders>
              <w:top w:val="nil"/>
              <w:left w:val="nil"/>
              <w:bottom w:val="nil"/>
              <w:right w:val="nil"/>
            </w:tcBorders>
            <w:tcMar>
              <w:top w:w="0" w:type="dxa"/>
              <w:left w:w="62" w:type="dxa"/>
              <w:bottom w:w="0" w:type="dxa"/>
              <w:right w:w="62" w:type="dxa"/>
            </w:tcMar>
          </w:tcPr>
          <w:p w:rsidR="00000000" w:rsidRPr="00AF3E1F" w:rsidP="00AF3E1F">
            <w:pPr>
              <w:pStyle w:val="BodyText"/>
            </w:pPr>
            <w:r w:rsidRPr="00AF3E1F">
              <w:t>4</w:t>
            </w:r>
          </w:p>
        </w:tc>
      </w:tr>
    </w:tbl>
    <w:p w:rsidR="00E557F3" w:rsidP="00AF3E1F">
      <w:pPr>
        <w:pStyle w:val="BodyText"/>
      </w:pPr>
    </w:p>
    <w:p w:rsidR="00E557F3" w:rsidP="00AF3E1F">
      <w:pPr>
        <w:pStyle w:val="BodyText"/>
      </w:pPr>
    </w:p>
    <w:p w:rsidR="00000000" w:rsidRPr="00AF3E1F" w:rsidP="00AF3E1F">
      <w:pPr>
        <w:pStyle w:val="Heading1"/>
      </w:pPr>
      <w:bookmarkStart w:id="14" w:name="O_226718"/>
      <w:bookmarkEnd w:id="14"/>
      <w:r w:rsidRPr="00AF3E1F">
        <w:t>Custom Content Section</w:t>
      </w:r>
    </w:p>
    <w:tbl>
      <w:tblPr>
        <w:tblW w:w="0" w:type="auto"/>
        <w:tblLayout w:type="fixed"/>
        <w:tblCellMar>
          <w:left w:w="62" w:type="dxa"/>
          <w:right w:w="62" w:type="dxa"/>
        </w:tblCellMar>
        <w:tblLook w:val="0000"/>
      </w:tblPr>
      <w:tblGrid>
        <w:gridCol w:w="2700"/>
        <w:gridCol w:w="5760"/>
      </w:tblGrid>
      <w:tr w:rsidTr="00E557F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F3E1F" w:rsidP="00AF3E1F">
            <w:pPr>
              <w:pStyle w:val="BodyText"/>
            </w:pPr>
            <w:r w:rsidRPr="00AF3E1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F3E1F">
            <w:pPr>
              <w:pStyle w:val="BodyText"/>
              <w:rPr>
                <w:lang w:val="en-NZ"/>
              </w:rPr>
            </w:pPr>
            <w:r w:rsidRPr="00AF3E1F">
              <w:rPr>
                <w:rStyle w:val="SpecialBold"/>
              </w:rPr>
              <w:t>5</w:t>
            </w:r>
            <w:r w:rsidRPr="00AF3E1F">
              <w:t>)</w:t>
            </w:r>
          </w:p>
        </w:tc>
      </w:tr>
      <w:tr w:rsidTr="00E557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F3E1F" w:rsidP="00AF3E1F">
            <w:pPr>
              <w:pStyle w:val="BodyText"/>
            </w:pPr>
            <w:r w:rsidRPr="00AF3E1F">
              <w:t>Electronics</w:t>
            </w:r>
          </w:p>
        </w:tc>
      </w:tr>
    </w:tbl>
    <w:p w:rsidR="00E557F3" w:rsidP="00AF3E1F">
      <w:pPr>
        <w:pStyle w:val="BodyText"/>
      </w:pPr>
    </w:p>
    <w:p w:rsidR="00E557F3" w:rsidP="00AF3E1F">
      <w:pPr>
        <w:pStyle w:val="BodyText"/>
      </w:pPr>
    </w:p>
    <w:p w:rsidR="00000000" w:rsidRPr="00AF3E1F" w:rsidP="00AF3E1F"/>
    <w:sectPr w:rsidSect="00AF3E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E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57F3" w:rsidP="00E557F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E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7F3" w:rsidP="00AF3E1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557F3" w:rsidP="00AF3E1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E557F3" w:rsidP="00AF3E1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E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E1F" w:rsidRPr="00E557F3" w:rsidP="00E557F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E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7F3" w:rsidRPr="002D2AF8" w:rsidP="00AF3E1F">
    <w:pPr>
      <w:pStyle w:val="Header"/>
      <w:framePr w:wrap="around"/>
    </w:pPr>
    <w:r>
      <w:fldChar w:fldCharType="begin"/>
    </w:r>
    <w:r>
      <w:instrText xml:space="preserve"> TITLE   \* MERGEFORMAT </w:instrText>
    </w:r>
    <w:r>
      <w:fldChar w:fldCharType="separate"/>
    </w:r>
    <w:r>
      <w:t>UEENEEH025B Provide solutions to single phase electronic power control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E557F3" w:rsidP="00AF3E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005F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323F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2E5F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3E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3E1F"/>
    <w:pPr>
      <w:spacing w:before="360" w:after="60"/>
      <w:outlineLvl w:val="0"/>
    </w:pPr>
    <w:rPr>
      <w:sz w:val="32"/>
    </w:rPr>
  </w:style>
  <w:style w:type="paragraph" w:styleId="Heading2">
    <w:name w:val="heading 2"/>
    <w:basedOn w:val="HeadingBase"/>
    <w:next w:val="BodyText"/>
    <w:link w:val="Heading2Char"/>
    <w:qFormat/>
    <w:rsid w:val="00AF3E1F"/>
    <w:pPr>
      <w:keepLines/>
      <w:spacing w:before="240" w:after="120"/>
      <w:outlineLvl w:val="1"/>
    </w:pPr>
    <w:rPr>
      <w:sz w:val="28"/>
      <w:szCs w:val="40"/>
    </w:rPr>
  </w:style>
  <w:style w:type="paragraph" w:styleId="Heading3">
    <w:name w:val="heading 3"/>
    <w:basedOn w:val="HeadingBase"/>
    <w:next w:val="BodyText"/>
    <w:link w:val="Heading3Char"/>
    <w:qFormat/>
    <w:rsid w:val="00AF3E1F"/>
    <w:pPr>
      <w:spacing w:before="180" w:after="120"/>
      <w:outlineLvl w:val="2"/>
    </w:pPr>
    <w:rPr>
      <w:spacing w:val="-10"/>
      <w:kern w:val="32"/>
    </w:rPr>
  </w:style>
  <w:style w:type="paragraph" w:styleId="Heading4">
    <w:name w:val="heading 4"/>
    <w:basedOn w:val="HeadingBase"/>
    <w:next w:val="BodyText"/>
    <w:link w:val="Heading4Char"/>
    <w:qFormat/>
    <w:rsid w:val="00AF3E1F"/>
    <w:pPr>
      <w:spacing w:before="160" w:after="120"/>
      <w:outlineLvl w:val="3"/>
    </w:pPr>
    <w:rPr>
      <w:sz w:val="22"/>
    </w:rPr>
  </w:style>
  <w:style w:type="paragraph" w:styleId="Heading5">
    <w:name w:val="heading 5"/>
    <w:basedOn w:val="HeadingBase"/>
    <w:next w:val="Normal"/>
    <w:link w:val="Heading5Char"/>
    <w:qFormat/>
    <w:rsid w:val="00AF3E1F"/>
    <w:pPr>
      <w:spacing w:before="80"/>
      <w:outlineLvl w:val="4"/>
    </w:pPr>
    <w:rPr>
      <w:color w:val="918585"/>
      <w:sz w:val="20"/>
    </w:rPr>
  </w:style>
  <w:style w:type="paragraph" w:styleId="Heading6">
    <w:name w:val="heading 6"/>
    <w:basedOn w:val="HeadingBase"/>
    <w:next w:val="Normal"/>
    <w:link w:val="Heading6Char"/>
    <w:qFormat/>
    <w:rsid w:val="00AF3E1F"/>
    <w:pPr>
      <w:spacing w:before="60"/>
      <w:outlineLvl w:val="5"/>
    </w:pPr>
    <w:rPr>
      <w:color w:val="918585"/>
      <w:sz w:val="20"/>
    </w:rPr>
  </w:style>
  <w:style w:type="paragraph" w:styleId="Heading7">
    <w:name w:val="heading 7"/>
    <w:basedOn w:val="Normal"/>
    <w:next w:val="Normal"/>
    <w:link w:val="Heading7Char"/>
    <w:qFormat/>
    <w:rsid w:val="00AF3E1F"/>
    <w:pPr>
      <w:ind w:left="720"/>
      <w:outlineLvl w:val="6"/>
    </w:pPr>
    <w:rPr>
      <w:i/>
    </w:rPr>
  </w:style>
  <w:style w:type="paragraph" w:styleId="Heading8">
    <w:name w:val="heading 8"/>
    <w:basedOn w:val="Normal"/>
    <w:next w:val="Normal"/>
    <w:link w:val="Heading8Char"/>
    <w:qFormat/>
    <w:rsid w:val="00AF3E1F"/>
    <w:pPr>
      <w:ind w:left="720"/>
      <w:outlineLvl w:val="7"/>
    </w:pPr>
    <w:rPr>
      <w:i/>
    </w:rPr>
  </w:style>
  <w:style w:type="paragraph" w:styleId="Heading9">
    <w:name w:val="heading 9"/>
    <w:basedOn w:val="Normal"/>
    <w:next w:val="Normal"/>
    <w:link w:val="Heading9Char"/>
    <w:qFormat/>
    <w:rsid w:val="00AF3E1F"/>
    <w:pPr>
      <w:ind w:left="720"/>
      <w:outlineLvl w:val="8"/>
    </w:pPr>
    <w:rPr>
      <w:i/>
    </w:rPr>
  </w:style>
  <w:style w:type="character" w:default="1" w:styleId="DefaultParagraphFont">
    <w:name w:val="Default Paragraph Font"/>
    <w:uiPriority w:val="1"/>
    <w:unhideWhenUsed/>
    <w:rsid w:val="00AF3E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3E1F"/>
  </w:style>
  <w:style w:type="character" w:customStyle="1" w:styleId="Heading1Char">
    <w:name w:val="Heading 1 Char"/>
    <w:basedOn w:val="DefaultParagraphFont"/>
    <w:link w:val="Heading1"/>
    <w:rsid w:val="00AF3E1F"/>
    <w:rPr>
      <w:rFonts w:ascii="Times New Roman" w:eastAsia="Times New Roman" w:hAnsi="Times New Roman" w:cs="Times New Roman"/>
      <w:b/>
      <w:sz w:val="32"/>
      <w:szCs w:val="20"/>
      <w:lang w:eastAsia="en-US"/>
    </w:rPr>
  </w:style>
  <w:style w:type="paragraph" w:styleId="BodyText">
    <w:name w:val="Body Text"/>
    <w:basedOn w:val="Normal"/>
    <w:link w:val="BodyTextChar"/>
    <w:rsid w:val="00AF3E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F3E1F"/>
    <w:rPr>
      <w:rFonts w:ascii="Times New Roman" w:eastAsia="Times New Roman" w:hAnsi="Times New Roman" w:cs="Times New Roman"/>
      <w:sz w:val="24"/>
      <w:lang w:eastAsia="en-US"/>
    </w:rPr>
  </w:style>
  <w:style w:type="paragraph" w:styleId="Footer">
    <w:name w:val="footer"/>
    <w:basedOn w:val="Normal"/>
    <w:link w:val="FooterChar"/>
    <w:rsid w:val="00AF3E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3E1F"/>
    <w:rPr>
      <w:rFonts w:ascii="Times New Roman" w:eastAsia="Times New Roman" w:hAnsi="Times New Roman" w:cs="Times New Roman"/>
      <w:sz w:val="16"/>
      <w:lang w:eastAsia="en-US"/>
    </w:rPr>
  </w:style>
  <w:style w:type="paragraph" w:styleId="ListBullet">
    <w:name w:val="List Bullet"/>
    <w:basedOn w:val="List"/>
    <w:rsid w:val="00AF3E1F"/>
    <w:pPr>
      <w:numPr>
        <w:numId w:val="13"/>
      </w:numPr>
      <w:tabs>
        <w:tab w:val="clear" w:pos="340"/>
      </w:tabs>
      <w:spacing w:before="40" w:after="40"/>
    </w:pPr>
  </w:style>
  <w:style w:type="character" w:customStyle="1" w:styleId="SpecialBold">
    <w:name w:val="Special Bold"/>
    <w:basedOn w:val="DefaultParagraphFont"/>
    <w:rsid w:val="00AF3E1F"/>
    <w:rPr>
      <w:b/>
      <w:spacing w:val="0"/>
    </w:rPr>
  </w:style>
  <w:style w:type="paragraph" w:styleId="ListBullet2">
    <w:name w:val="List Bullet 2"/>
    <w:basedOn w:val="List2"/>
    <w:rsid w:val="00AF3E1F"/>
    <w:pPr>
      <w:numPr>
        <w:numId w:val="14"/>
      </w:numPr>
      <w:tabs>
        <w:tab w:val="clear" w:pos="680"/>
      </w:tabs>
    </w:pPr>
  </w:style>
  <w:style w:type="paragraph" w:customStyle="1" w:styleId="SuperHeading">
    <w:name w:val="SuperHeading"/>
    <w:basedOn w:val="Normal"/>
    <w:rsid w:val="00AF3E1F"/>
    <w:pPr>
      <w:spacing w:before="240" w:after="120"/>
      <w:outlineLvl w:val="0"/>
    </w:pPr>
    <w:rPr>
      <w:rFonts w:ascii="Times New Roman" w:hAnsi="Times New Roman"/>
      <w:b/>
      <w:sz w:val="28"/>
    </w:rPr>
  </w:style>
  <w:style w:type="paragraph" w:customStyle="1" w:styleId="AllowPageBreak">
    <w:name w:val="AllowPageBreak"/>
    <w:rsid w:val="00AF3E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3E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3E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3E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3E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3E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3E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3E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3E1F"/>
    <w:rPr>
      <w:rFonts w:ascii="Courier New" w:eastAsia="Times New Roman" w:hAnsi="Courier New" w:cs="Times New Roman"/>
      <w:i/>
      <w:szCs w:val="20"/>
      <w:lang w:eastAsia="en-US"/>
    </w:rPr>
  </w:style>
  <w:style w:type="paragraph" w:customStyle="1" w:styleId="HeadingBase">
    <w:name w:val="Heading Base"/>
    <w:rsid w:val="00AF3E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3E1F"/>
    <w:pPr>
      <w:tabs>
        <w:tab w:val="right" w:leader="dot" w:pos="9072"/>
      </w:tabs>
      <w:ind w:left="567"/>
    </w:pPr>
    <w:rPr>
      <w:szCs w:val="22"/>
    </w:rPr>
  </w:style>
  <w:style w:type="paragraph" w:customStyle="1" w:styleId="TOCBase">
    <w:name w:val="TOC Base"/>
    <w:rsid w:val="00AF3E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3E1F"/>
    <w:pPr>
      <w:tabs>
        <w:tab w:val="right" w:leader="dot" w:pos="9072"/>
      </w:tabs>
      <w:spacing w:before="40" w:after="40"/>
      <w:ind w:left="284"/>
    </w:pPr>
    <w:rPr>
      <w:rFonts w:ascii="Times New Roman" w:hAnsi="Times New Roman"/>
    </w:rPr>
  </w:style>
  <w:style w:type="paragraph" w:styleId="TOC1">
    <w:name w:val="toc 1"/>
    <w:basedOn w:val="TOCBase"/>
    <w:next w:val="Normal"/>
    <w:rsid w:val="00AF3E1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F3E1F"/>
    <w:pPr>
      <w:spacing w:before="5040"/>
      <w:jc w:val="center"/>
    </w:pPr>
    <w:rPr>
      <w:sz w:val="48"/>
      <w:szCs w:val="72"/>
      <w:lang w:val="en-US"/>
    </w:rPr>
  </w:style>
  <w:style w:type="character" w:customStyle="1" w:styleId="TitleChar">
    <w:name w:val="Title Char"/>
    <w:basedOn w:val="DefaultParagraphFont"/>
    <w:link w:val="Title"/>
    <w:rsid w:val="00AF3E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3E1F"/>
    <w:pPr>
      <w:tabs>
        <w:tab w:val="left" w:pos="3600"/>
        <w:tab w:val="left" w:pos="3958"/>
      </w:tabs>
    </w:pPr>
  </w:style>
  <w:style w:type="paragraph" w:styleId="List">
    <w:name w:val="List"/>
    <w:basedOn w:val="BodyText"/>
    <w:next w:val="BodyText"/>
    <w:rsid w:val="00AF3E1F"/>
    <w:pPr>
      <w:tabs>
        <w:tab w:val="left" w:pos="340"/>
      </w:tabs>
      <w:spacing w:before="60" w:after="60"/>
      <w:ind w:left="340" w:hanging="340"/>
    </w:pPr>
  </w:style>
  <w:style w:type="paragraph" w:customStyle="1" w:styleId="Note">
    <w:name w:val="Note"/>
    <w:basedOn w:val="BodyText"/>
    <w:rsid w:val="00AF3E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3E1F"/>
    <w:pPr>
      <w:framePr w:wrap="auto" w:hAnchor="text" w:y="6049"/>
    </w:pPr>
    <w:rPr>
      <w:color w:val="000000"/>
      <w:sz w:val="40"/>
    </w:rPr>
  </w:style>
  <w:style w:type="paragraph" w:customStyle="1" w:styleId="TOCTitle">
    <w:name w:val="TOCTitle"/>
    <w:basedOn w:val="Heading1"/>
    <w:rsid w:val="00AF3E1F"/>
    <w:pPr>
      <w:spacing w:after="240"/>
      <w:jc w:val="center"/>
      <w:outlineLvl w:val="9"/>
    </w:pPr>
    <w:rPr>
      <w:caps/>
    </w:rPr>
  </w:style>
  <w:style w:type="paragraph" w:customStyle="1" w:styleId="Version">
    <w:name w:val="Version"/>
    <w:rsid w:val="00AF3E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3E1F"/>
    <w:pPr>
      <w:keepNext w:val="0"/>
      <w:tabs>
        <w:tab w:val="right" w:pos="4176"/>
      </w:tabs>
      <w:ind w:left="198" w:hanging="198"/>
    </w:pPr>
    <w:rPr>
      <w:rFonts w:ascii="Garamond" w:hAnsi="Garamond"/>
    </w:rPr>
  </w:style>
  <w:style w:type="paragraph" w:styleId="IndexHeading">
    <w:name w:val="index heading"/>
    <w:basedOn w:val="Normal"/>
    <w:next w:val="Index1"/>
    <w:semiHidden/>
    <w:rsid w:val="00AF3E1F"/>
    <w:pPr>
      <w:spacing w:before="120" w:after="120"/>
    </w:pPr>
    <w:rPr>
      <w:rFonts w:ascii="Arial" w:hAnsi="Arial"/>
      <w:b/>
      <w:color w:val="918585"/>
      <w:sz w:val="24"/>
    </w:rPr>
  </w:style>
  <w:style w:type="paragraph" w:styleId="Header">
    <w:name w:val="header"/>
    <w:basedOn w:val="Normal"/>
    <w:link w:val="HeaderChar"/>
    <w:rsid w:val="00AF3E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3E1F"/>
    <w:rPr>
      <w:rFonts w:ascii="Times New Roman" w:eastAsia="Times New Roman" w:hAnsi="Times New Roman" w:cs="Times New Roman"/>
      <w:sz w:val="16"/>
      <w:szCs w:val="20"/>
      <w:lang w:val="en-GB" w:eastAsia="en-US"/>
    </w:rPr>
  </w:style>
  <w:style w:type="paragraph" w:customStyle="1" w:styleId="Chapter">
    <w:name w:val="Chapter"/>
    <w:basedOn w:val="Normal"/>
    <w:rsid w:val="00AF3E1F"/>
    <w:pPr>
      <w:spacing w:before="240"/>
    </w:pPr>
    <w:rPr>
      <w:rFonts w:ascii="Times New Roman" w:hAnsi="Times New Roman"/>
      <w:smallCaps/>
      <w:spacing w:val="80"/>
      <w:sz w:val="28"/>
    </w:rPr>
  </w:style>
  <w:style w:type="paragraph" w:customStyle="1" w:styleId="InChapter">
    <w:name w:val="InChapter"/>
    <w:basedOn w:val="Heading3"/>
    <w:rsid w:val="00AF3E1F"/>
    <w:pPr>
      <w:spacing w:after="240"/>
      <w:outlineLvl w:val="9"/>
    </w:pPr>
    <w:rPr>
      <w:noProof/>
    </w:rPr>
  </w:style>
  <w:style w:type="paragraph" w:styleId="Index2">
    <w:name w:val="index 2"/>
    <w:basedOn w:val="Normal"/>
    <w:next w:val="Normal"/>
    <w:semiHidden/>
    <w:rsid w:val="00AF3E1F"/>
    <w:pPr>
      <w:tabs>
        <w:tab w:val="right" w:pos="4176"/>
      </w:tabs>
      <w:ind w:left="568" w:hanging="284"/>
    </w:pPr>
    <w:rPr>
      <w:rFonts w:ascii="Garamond" w:hAnsi="Garamond"/>
    </w:rPr>
  </w:style>
  <w:style w:type="paragraph" w:customStyle="1" w:styleId="Byline">
    <w:name w:val="Byline"/>
    <w:rsid w:val="00AF3E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3E1F"/>
    <w:pPr>
      <w:tabs>
        <w:tab w:val="clear" w:pos="3600"/>
        <w:tab w:val="clear" w:pos="3958"/>
      </w:tabs>
      <w:jc w:val="right"/>
    </w:pPr>
  </w:style>
  <w:style w:type="character" w:styleId="Emphasis">
    <w:name w:val="Emphasis"/>
    <w:basedOn w:val="DefaultParagraphFont"/>
    <w:qFormat/>
    <w:rsid w:val="00AF3E1F"/>
    <w:rPr>
      <w:i/>
    </w:rPr>
  </w:style>
  <w:style w:type="paragraph" w:styleId="Caption">
    <w:name w:val="caption"/>
    <w:basedOn w:val="BodyText"/>
    <w:next w:val="Normal"/>
    <w:qFormat/>
    <w:rsid w:val="00AF3E1F"/>
    <w:pPr>
      <w:framePr w:w="2268" w:hSpace="181" w:vSpace="181" w:wrap="around" w:vAnchor="text" w:hAnchor="page" w:x="1135" w:y="285" w:anchorLock="1"/>
    </w:pPr>
    <w:rPr>
      <w:i/>
    </w:rPr>
  </w:style>
  <w:style w:type="paragraph" w:customStyle="1" w:styleId="MiniTOCTitle">
    <w:name w:val="MiniTOCTitle"/>
    <w:basedOn w:val="Heading4"/>
    <w:rsid w:val="00AF3E1F"/>
    <w:pPr>
      <w:spacing w:before="240"/>
      <w:outlineLvl w:val="9"/>
    </w:pPr>
    <w:rPr>
      <w:noProof/>
      <w:sz w:val="24"/>
    </w:rPr>
  </w:style>
  <w:style w:type="paragraph" w:customStyle="1" w:styleId="MiniTOCItem">
    <w:name w:val="MiniTOCItem"/>
    <w:basedOn w:val="ListBullet"/>
    <w:rsid w:val="00AF3E1F"/>
    <w:pPr>
      <w:numPr>
        <w:numId w:val="0"/>
      </w:numPr>
      <w:tabs>
        <w:tab w:val="right" w:leader="dot" w:pos="6521"/>
      </w:tabs>
      <w:spacing w:before="0" w:after="0"/>
    </w:pPr>
  </w:style>
  <w:style w:type="paragraph" w:customStyle="1" w:styleId="TOFTitle">
    <w:name w:val="TOFTitle"/>
    <w:basedOn w:val="TOCTitle"/>
    <w:rsid w:val="00AF3E1F"/>
  </w:style>
  <w:style w:type="paragraph" w:styleId="TableofFigures">
    <w:name w:val="table of figures"/>
    <w:basedOn w:val="Normal"/>
    <w:next w:val="Normal"/>
    <w:semiHidden/>
    <w:rsid w:val="00AF3E1F"/>
    <w:pPr>
      <w:tabs>
        <w:tab w:val="right" w:leader="dot" w:pos="9072"/>
      </w:tabs>
      <w:ind w:left="970" w:hanging="403"/>
    </w:pPr>
    <w:rPr>
      <w:rFonts w:ascii="Times New Roman" w:hAnsi="Times New Roman"/>
      <w:b/>
    </w:rPr>
  </w:style>
  <w:style w:type="paragraph" w:styleId="ListNumber">
    <w:name w:val="List Number"/>
    <w:basedOn w:val="List"/>
    <w:rsid w:val="00AF3E1F"/>
    <w:pPr>
      <w:numPr>
        <w:numId w:val="11"/>
      </w:numPr>
    </w:pPr>
  </w:style>
  <w:style w:type="character" w:customStyle="1" w:styleId="WingdingSymbols">
    <w:name w:val="Wingding Symbols"/>
    <w:rsid w:val="00AF3E1F"/>
    <w:rPr>
      <w:rFonts w:ascii="Wingdings" w:hAnsi="Wingdings"/>
    </w:rPr>
  </w:style>
  <w:style w:type="paragraph" w:customStyle="1" w:styleId="TableHeading">
    <w:name w:val="Table Heading"/>
    <w:basedOn w:val="HeadingBase"/>
    <w:rsid w:val="00AF3E1F"/>
    <w:pPr>
      <w:keepLines/>
      <w:pBdr>
        <w:bottom w:val="single" w:sz="6" w:space="1" w:color="918585"/>
      </w:pBdr>
      <w:spacing w:before="240"/>
    </w:pPr>
  </w:style>
  <w:style w:type="character" w:customStyle="1" w:styleId="HotSpot">
    <w:name w:val="HotSpot"/>
    <w:rsid w:val="00AF3E1F"/>
    <w:rPr>
      <w:color w:val="0033CC"/>
      <w:u w:val="none"/>
    </w:rPr>
  </w:style>
  <w:style w:type="paragraph" w:customStyle="1" w:styleId="BodyTextRight">
    <w:name w:val="Body Text Right"/>
    <w:basedOn w:val="BodyText"/>
    <w:rsid w:val="00AF3E1F"/>
    <w:pPr>
      <w:spacing w:before="0" w:after="0"/>
      <w:jc w:val="right"/>
    </w:pPr>
  </w:style>
  <w:style w:type="paragraph" w:styleId="Index3">
    <w:name w:val="index 3"/>
    <w:basedOn w:val="ListNumber2"/>
    <w:next w:val="Normal"/>
    <w:semiHidden/>
    <w:rsid w:val="00AF3E1F"/>
    <w:pPr>
      <w:numPr>
        <w:numId w:val="0"/>
      </w:numPr>
      <w:tabs>
        <w:tab w:val="right" w:leader="dot" w:pos="4176"/>
      </w:tabs>
    </w:pPr>
  </w:style>
  <w:style w:type="paragraph" w:styleId="ListNumber2">
    <w:name w:val="List Number 2"/>
    <w:basedOn w:val="List2"/>
    <w:rsid w:val="00AF3E1F"/>
    <w:pPr>
      <w:numPr>
        <w:numId w:val="10"/>
      </w:numPr>
      <w:tabs>
        <w:tab w:val="clear" w:pos="1060"/>
      </w:tabs>
    </w:pPr>
  </w:style>
  <w:style w:type="paragraph" w:customStyle="1" w:styleId="MarginNote">
    <w:name w:val="Margin Note"/>
    <w:basedOn w:val="BodyText"/>
    <w:rsid w:val="00AF3E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3E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3E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3E1F"/>
    <w:rPr>
      <w:sz w:val="32"/>
    </w:rPr>
  </w:style>
  <w:style w:type="paragraph" w:customStyle="1" w:styleId="HeadingProcedure">
    <w:name w:val="Heading Procedure"/>
    <w:basedOn w:val="HeadingBase"/>
    <w:next w:val="Normal"/>
    <w:rsid w:val="00AF3E1F"/>
    <w:pPr>
      <w:tabs>
        <w:tab w:val="left" w:pos="0"/>
      </w:tabs>
      <w:spacing w:before="120" w:after="60"/>
    </w:pPr>
    <w:rPr>
      <w:i/>
      <w:color w:val="918585"/>
      <w:sz w:val="22"/>
    </w:rPr>
  </w:style>
  <w:style w:type="paragraph" w:customStyle="1" w:styleId="TableBodyText">
    <w:name w:val="Table Body Text"/>
    <w:basedOn w:val="BodyText"/>
    <w:rsid w:val="00AF3E1F"/>
    <w:pPr>
      <w:spacing w:before="60" w:after="60"/>
    </w:pPr>
  </w:style>
  <w:style w:type="paragraph" w:styleId="ListContinue">
    <w:name w:val="List Continue"/>
    <w:basedOn w:val="List"/>
    <w:rsid w:val="00AF3E1F"/>
    <w:pPr>
      <w:ind w:firstLine="0"/>
    </w:pPr>
  </w:style>
  <w:style w:type="paragraph" w:customStyle="1" w:styleId="ListNote">
    <w:name w:val="List Note"/>
    <w:basedOn w:val="List"/>
    <w:rsid w:val="00AF3E1F"/>
    <w:pPr>
      <w:pBdr>
        <w:top w:val="single" w:sz="6" w:space="2" w:color="918585"/>
        <w:bottom w:val="single" w:sz="6" w:space="2" w:color="918585"/>
      </w:pBdr>
      <w:tabs>
        <w:tab w:val="left" w:pos="1021"/>
      </w:tabs>
      <w:ind w:firstLine="0"/>
    </w:pPr>
  </w:style>
  <w:style w:type="paragraph" w:customStyle="1" w:styleId="Warning">
    <w:name w:val="Warning"/>
    <w:basedOn w:val="BodyText"/>
    <w:rsid w:val="00AF3E1F"/>
    <w:pPr>
      <w:shd w:val="clear" w:color="auto" w:fill="D9D9D9"/>
      <w:tabs>
        <w:tab w:val="left" w:pos="992"/>
      </w:tabs>
      <w:ind w:left="119" w:right="119"/>
    </w:pPr>
    <w:rPr>
      <w:sz w:val="20"/>
    </w:rPr>
  </w:style>
  <w:style w:type="paragraph" w:customStyle="1" w:styleId="MarginIcons">
    <w:name w:val="Margin Icons"/>
    <w:basedOn w:val="BodyText"/>
    <w:rsid w:val="00AF3E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3E1F"/>
    <w:rPr>
      <w:rFonts w:ascii="Courier New" w:hAnsi="Courier New"/>
    </w:rPr>
  </w:style>
  <w:style w:type="paragraph" w:customStyle="1" w:styleId="NoteBullet">
    <w:name w:val="Note Bullet"/>
    <w:basedOn w:val="Note"/>
    <w:rsid w:val="00AF3E1F"/>
    <w:pPr>
      <w:tabs>
        <w:tab w:val="clear" w:pos="680"/>
      </w:tabs>
      <w:spacing w:before="60" w:after="60"/>
    </w:pPr>
  </w:style>
  <w:style w:type="paragraph" w:customStyle="1" w:styleId="SubHeading2">
    <w:name w:val="SubHeading2"/>
    <w:basedOn w:val="HeadingBase"/>
    <w:rsid w:val="00AF3E1F"/>
    <w:pPr>
      <w:spacing w:before="240" w:after="60"/>
    </w:pPr>
    <w:rPr>
      <w:sz w:val="20"/>
    </w:rPr>
  </w:style>
  <w:style w:type="paragraph" w:customStyle="1" w:styleId="SubHeading1">
    <w:name w:val="SubHeading1"/>
    <w:basedOn w:val="HeadingBase"/>
    <w:rsid w:val="00AF3E1F"/>
    <w:pPr>
      <w:spacing w:before="240" w:after="60"/>
    </w:pPr>
    <w:rPr>
      <w:color w:val="918585"/>
      <w:sz w:val="22"/>
    </w:rPr>
  </w:style>
  <w:style w:type="paragraph" w:customStyle="1" w:styleId="SideHeading">
    <w:name w:val="Side Heading"/>
    <w:basedOn w:val="HeadingBase"/>
    <w:rsid w:val="00AF3E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3E1F"/>
    <w:pPr>
      <w:numPr>
        <w:numId w:val="12"/>
      </w:numPr>
    </w:pPr>
  </w:style>
  <w:style w:type="paragraph" w:styleId="PlainText">
    <w:name w:val="Plain Text"/>
    <w:basedOn w:val="Normal"/>
    <w:link w:val="PlainTextChar"/>
    <w:rsid w:val="00AF3E1F"/>
    <w:rPr>
      <w:sz w:val="20"/>
    </w:rPr>
  </w:style>
  <w:style w:type="character" w:customStyle="1" w:styleId="PlainTextChar">
    <w:name w:val="Plain Text Char"/>
    <w:basedOn w:val="DefaultParagraphFont"/>
    <w:link w:val="PlainText"/>
    <w:rsid w:val="00AF3E1F"/>
    <w:rPr>
      <w:rFonts w:ascii="Courier New" w:eastAsia="Times New Roman" w:hAnsi="Courier New" w:cs="Times New Roman"/>
      <w:sz w:val="20"/>
      <w:szCs w:val="20"/>
      <w:lang w:eastAsia="en-US"/>
    </w:rPr>
  </w:style>
  <w:style w:type="character" w:customStyle="1" w:styleId="MenuOption">
    <w:name w:val="Menu Option"/>
    <w:basedOn w:val="DefaultParagraphFont"/>
    <w:rsid w:val="00AF3E1F"/>
    <w:rPr>
      <w:b/>
      <w:smallCaps/>
    </w:rPr>
  </w:style>
  <w:style w:type="paragraph" w:customStyle="1" w:styleId="TableListNumber">
    <w:name w:val="Table List Number"/>
    <w:basedOn w:val="ListNumber"/>
    <w:rsid w:val="00AF3E1F"/>
    <w:pPr>
      <w:numPr>
        <w:numId w:val="0"/>
      </w:numPr>
    </w:pPr>
  </w:style>
  <w:style w:type="paragraph" w:styleId="TOC4">
    <w:name w:val="toc 4"/>
    <w:basedOn w:val="TOCBase"/>
    <w:next w:val="Normal"/>
    <w:semiHidden/>
    <w:rsid w:val="00AF3E1F"/>
    <w:pPr>
      <w:tabs>
        <w:tab w:val="right" w:leader="dot" w:pos="9071"/>
      </w:tabs>
      <w:ind w:left="1701"/>
    </w:pPr>
  </w:style>
  <w:style w:type="paragraph" w:customStyle="1" w:styleId="ListAlpha">
    <w:name w:val="List Alpha"/>
    <w:basedOn w:val="List"/>
    <w:rsid w:val="00AF3E1F"/>
    <w:pPr>
      <w:numPr>
        <w:numId w:val="9"/>
      </w:numPr>
    </w:pPr>
  </w:style>
  <w:style w:type="paragraph" w:customStyle="1" w:styleId="ListAlpha2">
    <w:name w:val="List Alpha 2"/>
    <w:basedOn w:val="List2"/>
    <w:rsid w:val="00AF3E1F"/>
    <w:pPr>
      <w:numPr>
        <w:numId w:val="8"/>
      </w:numPr>
    </w:pPr>
  </w:style>
  <w:style w:type="paragraph" w:styleId="List2">
    <w:name w:val="List 2"/>
    <w:basedOn w:val="BodyText"/>
    <w:rsid w:val="00AF3E1F"/>
    <w:pPr>
      <w:tabs>
        <w:tab w:val="left" w:pos="680"/>
      </w:tabs>
      <w:spacing w:before="60" w:after="60"/>
      <w:ind w:left="680" w:hanging="340"/>
    </w:pPr>
  </w:style>
  <w:style w:type="paragraph" w:styleId="List3">
    <w:name w:val="List 3"/>
    <w:basedOn w:val="BodyText"/>
    <w:rsid w:val="00AF3E1F"/>
    <w:pPr>
      <w:tabs>
        <w:tab w:val="left" w:pos="1021"/>
      </w:tabs>
      <w:spacing w:before="60" w:after="60"/>
      <w:ind w:left="1020" w:hanging="340"/>
    </w:pPr>
  </w:style>
  <w:style w:type="paragraph" w:styleId="List4">
    <w:name w:val="List 4"/>
    <w:basedOn w:val="BodyText"/>
    <w:rsid w:val="00AF3E1F"/>
    <w:pPr>
      <w:tabs>
        <w:tab w:val="left" w:pos="1361"/>
      </w:tabs>
      <w:spacing w:before="60" w:after="60"/>
      <w:ind w:left="1361" w:hanging="340"/>
    </w:pPr>
  </w:style>
  <w:style w:type="paragraph" w:styleId="List5">
    <w:name w:val="List 5"/>
    <w:basedOn w:val="BodyText"/>
    <w:rsid w:val="00AF3E1F"/>
    <w:pPr>
      <w:tabs>
        <w:tab w:val="left" w:pos="1701"/>
      </w:tabs>
      <w:spacing w:before="60" w:after="60"/>
      <w:ind w:left="1701" w:hanging="340"/>
    </w:pPr>
  </w:style>
  <w:style w:type="paragraph" w:styleId="ListBullet3">
    <w:name w:val="List Bullet 3"/>
    <w:basedOn w:val="List3"/>
    <w:rsid w:val="00AF3E1F"/>
    <w:pPr>
      <w:numPr>
        <w:numId w:val="15"/>
      </w:numPr>
      <w:tabs>
        <w:tab w:val="clear" w:pos="1021"/>
      </w:tabs>
      <w:ind w:left="1037" w:hanging="357"/>
    </w:pPr>
  </w:style>
  <w:style w:type="paragraph" w:styleId="ListBullet4">
    <w:name w:val="List Bullet 4"/>
    <w:basedOn w:val="List4"/>
    <w:rsid w:val="00AF3E1F"/>
    <w:pPr>
      <w:numPr>
        <w:numId w:val="3"/>
      </w:numPr>
    </w:pPr>
  </w:style>
  <w:style w:type="paragraph" w:styleId="ListBullet5">
    <w:name w:val="List Bullet 5"/>
    <w:basedOn w:val="List5"/>
    <w:rsid w:val="00AF3E1F"/>
    <w:pPr>
      <w:numPr>
        <w:numId w:val="4"/>
      </w:numPr>
    </w:pPr>
  </w:style>
  <w:style w:type="paragraph" w:styleId="ListContinue2">
    <w:name w:val="List Continue 2"/>
    <w:basedOn w:val="List2"/>
    <w:rsid w:val="00AF3E1F"/>
    <w:pPr>
      <w:ind w:firstLine="0"/>
    </w:pPr>
  </w:style>
  <w:style w:type="paragraph" w:styleId="ListContinue3">
    <w:name w:val="List Continue 3"/>
    <w:basedOn w:val="List3"/>
    <w:rsid w:val="00AF3E1F"/>
    <w:pPr>
      <w:ind w:left="1021" w:firstLine="0"/>
    </w:pPr>
  </w:style>
  <w:style w:type="paragraph" w:styleId="ListContinue4">
    <w:name w:val="List Continue 4"/>
    <w:basedOn w:val="List4"/>
    <w:rsid w:val="00AF3E1F"/>
    <w:pPr>
      <w:ind w:firstLine="0"/>
    </w:pPr>
  </w:style>
  <w:style w:type="paragraph" w:styleId="ListContinue5">
    <w:name w:val="List Continue 5"/>
    <w:basedOn w:val="List5"/>
    <w:rsid w:val="00AF3E1F"/>
    <w:pPr>
      <w:ind w:firstLine="0"/>
    </w:pPr>
  </w:style>
  <w:style w:type="paragraph" w:styleId="ListNumber3">
    <w:name w:val="List Number 3"/>
    <w:basedOn w:val="List3"/>
    <w:rsid w:val="00AF3E1F"/>
    <w:pPr>
      <w:numPr>
        <w:numId w:val="5"/>
      </w:numPr>
    </w:pPr>
  </w:style>
  <w:style w:type="paragraph" w:styleId="ListNumber4">
    <w:name w:val="List Number 4"/>
    <w:basedOn w:val="List4"/>
    <w:rsid w:val="00AF3E1F"/>
    <w:pPr>
      <w:numPr>
        <w:numId w:val="6"/>
      </w:numPr>
    </w:pPr>
  </w:style>
  <w:style w:type="paragraph" w:styleId="ListNumber5">
    <w:name w:val="List Number 5"/>
    <w:basedOn w:val="List5"/>
    <w:rsid w:val="00AF3E1F"/>
    <w:pPr>
      <w:numPr>
        <w:numId w:val="7"/>
      </w:numPr>
    </w:pPr>
  </w:style>
  <w:style w:type="paragraph" w:styleId="BlockText">
    <w:name w:val="Block Text"/>
    <w:basedOn w:val="Normal"/>
    <w:rsid w:val="00AF3E1F"/>
    <w:pPr>
      <w:spacing w:after="120"/>
      <w:ind w:left="1440" w:right="1440"/>
    </w:pPr>
  </w:style>
  <w:style w:type="character" w:customStyle="1" w:styleId="Subscript">
    <w:name w:val="Subscript"/>
    <w:basedOn w:val="DefaultParagraphFont"/>
    <w:rsid w:val="00AF3E1F"/>
    <w:rPr>
      <w:sz w:val="16"/>
      <w:vertAlign w:val="subscript"/>
    </w:rPr>
  </w:style>
  <w:style w:type="character" w:customStyle="1" w:styleId="Superscript">
    <w:name w:val="Superscript"/>
    <w:basedOn w:val="DefaultParagraphFont"/>
    <w:rsid w:val="00AF3E1F"/>
    <w:rPr>
      <w:sz w:val="16"/>
      <w:vertAlign w:val="superscript"/>
    </w:rPr>
  </w:style>
  <w:style w:type="character" w:customStyle="1" w:styleId="Symbols">
    <w:name w:val="Symbols"/>
    <w:basedOn w:val="DefaultParagraphFont"/>
    <w:rsid w:val="00AF3E1F"/>
    <w:rPr>
      <w:rFonts w:ascii="Symbol" w:hAnsi="Symbol"/>
    </w:rPr>
  </w:style>
  <w:style w:type="character" w:customStyle="1" w:styleId="MenuOptions">
    <w:name w:val="Menu Options"/>
    <w:basedOn w:val="DefaultParagraphFont"/>
    <w:rsid w:val="00AF3E1F"/>
    <w:rPr>
      <w:rFonts w:ascii="Arial Narrow" w:hAnsi="Arial Narrow"/>
      <w:smallCaps/>
    </w:rPr>
  </w:style>
  <w:style w:type="character" w:customStyle="1" w:styleId="Buttons">
    <w:name w:val="Buttons"/>
    <w:basedOn w:val="DefaultParagraphFont"/>
    <w:rsid w:val="00AF3E1F"/>
    <w:rPr>
      <w:b/>
    </w:rPr>
  </w:style>
  <w:style w:type="character" w:customStyle="1" w:styleId="Underlined">
    <w:name w:val="Underlined"/>
    <w:basedOn w:val="DefaultParagraphFont"/>
    <w:rsid w:val="00AF3E1F"/>
    <w:rPr>
      <w:u w:val="single"/>
    </w:rPr>
  </w:style>
  <w:style w:type="paragraph" w:customStyle="1" w:styleId="TableBodyTextRight">
    <w:name w:val="Table Body Text Right"/>
    <w:basedOn w:val="TableBodyText"/>
    <w:rsid w:val="00AF3E1F"/>
    <w:pPr>
      <w:widowControl w:val="0"/>
      <w:autoSpaceDE w:val="0"/>
      <w:autoSpaceDN w:val="0"/>
      <w:adjustRightInd w:val="0"/>
      <w:jc w:val="right"/>
    </w:pPr>
    <w:rPr>
      <w:rFonts w:cs="Arial"/>
      <w:szCs w:val="18"/>
    </w:rPr>
  </w:style>
  <w:style w:type="paragraph" w:customStyle="1" w:styleId="CopyrightText">
    <w:name w:val="Copyright Text"/>
    <w:basedOn w:val="BodyText"/>
    <w:rsid w:val="00AF3E1F"/>
    <w:rPr>
      <w:sz w:val="18"/>
    </w:rPr>
  </w:style>
  <w:style w:type="paragraph" w:customStyle="1" w:styleId="BodySmallRight">
    <w:name w:val="Body Small Right"/>
    <w:basedOn w:val="BodyTextRight"/>
    <w:rsid w:val="00AF3E1F"/>
    <w:rPr>
      <w:sz w:val="18"/>
      <w:szCs w:val="18"/>
    </w:rPr>
  </w:style>
  <w:style w:type="paragraph" w:customStyle="1" w:styleId="MarginEdition">
    <w:name w:val="Margin Edition"/>
    <w:basedOn w:val="MarginNote"/>
    <w:rsid w:val="00AF3E1F"/>
    <w:pPr>
      <w:spacing w:before="0" w:after="0"/>
    </w:pPr>
    <w:rPr>
      <w:rFonts w:ascii="Times New Roman" w:hAnsi="Times New Roman"/>
      <w:color w:val="999999"/>
    </w:rPr>
  </w:style>
  <w:style w:type="paragraph" w:customStyle="1" w:styleId="Spacer">
    <w:name w:val="Spacer"/>
    <w:basedOn w:val="Normal"/>
    <w:rsid w:val="00AF3E1F"/>
    <w:rPr>
      <w:sz w:val="2"/>
      <w:szCs w:val="2"/>
    </w:rPr>
  </w:style>
  <w:style w:type="character" w:customStyle="1" w:styleId="Small">
    <w:name w:val="Small"/>
    <w:basedOn w:val="DefaultParagraphFont"/>
    <w:rsid w:val="00AF3E1F"/>
    <w:rPr>
      <w:sz w:val="16"/>
    </w:rPr>
  </w:style>
  <w:style w:type="paragraph" w:customStyle="1" w:styleId="WideTable">
    <w:name w:val="Wide Table"/>
    <w:basedOn w:val="Normal"/>
    <w:rsid w:val="00AF3E1F"/>
    <w:pPr>
      <w:ind w:left="-1418"/>
    </w:pPr>
    <w:rPr>
      <w:sz w:val="2"/>
      <w:szCs w:val="2"/>
    </w:rPr>
  </w:style>
  <w:style w:type="character" w:styleId="PageNumber">
    <w:name w:val="page number"/>
    <w:basedOn w:val="DefaultParagraphFont"/>
    <w:rsid w:val="00AF3E1F"/>
  </w:style>
  <w:style w:type="paragraph" w:styleId="Quote">
    <w:name w:val="Quote"/>
    <w:basedOn w:val="Heading1"/>
    <w:link w:val="QuoteChar"/>
    <w:qFormat/>
    <w:rsid w:val="00AF3E1F"/>
    <w:rPr>
      <w:b w:val="0"/>
      <w:sz w:val="72"/>
      <w:szCs w:val="72"/>
      <w:lang w:val="en-NZ"/>
    </w:rPr>
  </w:style>
  <w:style w:type="character" w:customStyle="1" w:styleId="QuoteChar">
    <w:name w:val="Quote Char"/>
    <w:basedOn w:val="DefaultParagraphFont"/>
    <w:link w:val="Quote"/>
    <w:rsid w:val="00AF3E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3E1F"/>
    <w:pPr>
      <w:pageBreakBefore/>
    </w:pPr>
  </w:style>
  <w:style w:type="paragraph" w:customStyle="1" w:styleId="Border">
    <w:name w:val="Border"/>
    <w:basedOn w:val="Normal"/>
    <w:qFormat/>
    <w:rsid w:val="00AF3E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3E1F"/>
    <w:rPr>
      <w:b/>
      <w:bCs/>
      <w:i/>
      <w:iCs/>
      <w:color w:val="auto"/>
    </w:rPr>
  </w:style>
  <w:style w:type="paragraph" w:styleId="IntenseQuote">
    <w:name w:val="Intense Quote"/>
    <w:basedOn w:val="Normal"/>
    <w:next w:val="Normal"/>
    <w:link w:val="IntenseQuoteChar"/>
    <w:uiPriority w:val="30"/>
    <w:qFormat/>
    <w:rsid w:val="00AF3E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3E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3E1F"/>
    <w:rPr>
      <w:smallCaps/>
      <w:color w:val="auto"/>
      <w:u w:val="single"/>
    </w:rPr>
  </w:style>
  <w:style w:type="character" w:styleId="IntenseReference">
    <w:name w:val="Intense Reference"/>
    <w:basedOn w:val="DefaultParagraphFont"/>
    <w:uiPriority w:val="32"/>
    <w:qFormat/>
    <w:rsid w:val="00AF3E1F"/>
    <w:rPr>
      <w:b/>
      <w:bCs/>
      <w:smallCaps/>
      <w:color w:val="auto"/>
      <w:spacing w:val="5"/>
      <w:u w:val="single"/>
    </w:rPr>
  </w:style>
  <w:style w:type="paragraph" w:customStyle="1" w:styleId="2ColumnHeading">
    <w:name w:val="2Column Heading"/>
    <w:basedOn w:val="BodyText"/>
    <w:qFormat/>
    <w:rsid w:val="00AF3E1F"/>
    <w:pPr>
      <w:spacing w:after="60"/>
      <w:ind w:left="-2268"/>
    </w:pPr>
    <w:rPr>
      <w:b/>
    </w:rPr>
  </w:style>
  <w:style w:type="paragraph" w:customStyle="1" w:styleId="Heading1TOC">
    <w:name w:val="Heading1 TOC"/>
    <w:basedOn w:val="Normal"/>
    <w:qFormat/>
    <w:rsid w:val="00AF3E1F"/>
    <w:pPr>
      <w:spacing w:before="240" w:after="120"/>
    </w:pPr>
    <w:rPr>
      <w:rFonts w:ascii="Times New Roman" w:hAnsi="Times New Roman"/>
      <w:b/>
      <w:sz w:val="32"/>
    </w:rPr>
  </w:style>
  <w:style w:type="paragraph" w:customStyle="1" w:styleId="Heading2TOC">
    <w:name w:val="Heading2 TOC"/>
    <w:basedOn w:val="Normal"/>
    <w:qFormat/>
    <w:rsid w:val="00AF3E1F"/>
    <w:pPr>
      <w:spacing w:before="240" w:after="60"/>
    </w:pPr>
    <w:rPr>
      <w:rFonts w:ascii="Times New Roman" w:hAnsi="Times New Roman"/>
      <w:b/>
      <w:sz w:val="28"/>
    </w:rPr>
  </w:style>
  <w:style w:type="character" w:customStyle="1" w:styleId="Underline">
    <w:name w:val="Underline"/>
    <w:basedOn w:val="DefaultParagraphFont"/>
    <w:qFormat/>
    <w:rsid w:val="00AF3E1F"/>
    <w:rPr>
      <w:u w:val="single"/>
    </w:rPr>
  </w:style>
  <w:style w:type="character" w:customStyle="1" w:styleId="BoldandItalics">
    <w:name w:val="Bold and Italics"/>
    <w:qFormat/>
    <w:rsid w:val="00AF3E1F"/>
    <w:rPr>
      <w:b/>
      <w:i/>
      <w:u w:val="none"/>
    </w:rPr>
  </w:style>
  <w:style w:type="paragraph" w:styleId="BalloonText">
    <w:name w:val="Balloon Text"/>
    <w:basedOn w:val="Normal"/>
    <w:link w:val="BalloonTextChar"/>
    <w:rsid w:val="00AF3E1F"/>
    <w:rPr>
      <w:rFonts w:ascii="Tahoma" w:hAnsi="Tahoma" w:cs="Tahoma"/>
      <w:sz w:val="16"/>
      <w:szCs w:val="16"/>
    </w:rPr>
  </w:style>
  <w:style w:type="character" w:customStyle="1" w:styleId="BalloonTextChar">
    <w:name w:val="Balloon Text Char"/>
    <w:basedOn w:val="DefaultParagraphFont"/>
    <w:link w:val="BalloonText"/>
    <w:rsid w:val="00AF3E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3E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F3E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3E1F"/>
    <w:rPr>
      <w:b/>
      <w:color w:val="660033"/>
      <w:spacing w:val="0"/>
    </w:rPr>
  </w:style>
  <w:style w:type="paragraph" w:customStyle="1" w:styleId="Nameditemlist">
    <w:name w:val="Named item list"/>
    <w:basedOn w:val="BodyText"/>
    <w:qFormat/>
    <w:rsid w:val="00AF3E1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2061</Words>
  <Characters>12252</Characters>
  <Application>Microsoft Office Word</Application>
  <DocSecurity>0</DocSecurity>
  <Lines>451</Lines>
  <Paragraphs>160</Paragraphs>
  <ScaleCrop>false</ScaleCrop>
  <Company>Author-it Software Corporation Ltd.</Company>
  <LinksUpToDate>false</LinksUpToDate>
  <CharactersWithSpaces>14177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UEENEEH025B Provide solutions to single phase electronic power control problems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2012-10-11T18:19:00Z</dcterms:created>
  <dcterms:modified xsi:type="dcterms:W3CDTF">2012-10-11T18:19:00Z</dcterms:modified>
</cp:coreProperties>
</file>