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07A0" w:rsidP="00C107A0">
      <w:pPr>
        <w:pStyle w:val="Title"/>
      </w:pPr>
      <w:r>
        <w:fldChar w:fldCharType="begin"/>
      </w:r>
      <w:r>
        <w:instrText xml:space="preserve"> TITLE   \* MERGEFORMAT </w:instrText>
      </w:r>
      <w:r>
        <w:fldChar w:fldCharType="separate"/>
      </w:r>
      <w:r>
        <w:t>UEENEEH012B Troubleshoot digital subsystems</w:t>
      </w:r>
      <w:r>
        <w:fldChar w:fldCharType="end"/>
      </w:r>
    </w:p>
    <w:p w:rsidR="00C107A0" w:rsidP="00C107A0">
      <w:pPr>
        <w:pStyle w:val="Version"/>
        <w:sectPr w:rsidSect="001D17D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17DC" w:rsidP="001D17DC">
      <w:pPr>
        <w:pStyle w:val="SuperHeading"/>
      </w:pPr>
      <w:r w:rsidRPr="001D17DC">
        <w:t>UEENEEH012B Troubleshoot digital subsystems</w:t>
      </w:r>
    </w:p>
    <w:p w:rsidR="00000000" w:rsidRPr="001D17DC" w:rsidP="001D17DC">
      <w:pPr>
        <w:pStyle w:val="Heading1"/>
      </w:pPr>
      <w:bookmarkStart w:id="1" w:name="O_274695"/>
      <w:bookmarkEnd w:id="1"/>
      <w:r w:rsidRPr="001D17DC">
        <w:t>Modification History</w:t>
      </w:r>
    </w:p>
    <w:p w:rsidR="00000000" w:rsidRPr="001D17DC" w:rsidP="001D17DC">
      <w:pPr>
        <w:pStyle w:val="BodyText"/>
      </w:pPr>
      <w:r w:rsidRPr="001D17DC">
        <w:t>Not Applicable</w:t>
      </w:r>
    </w:p>
    <w:p w:rsidR="00000000" w:rsidRPr="001D17DC" w:rsidP="001D17DC">
      <w:pPr>
        <w:pStyle w:val="AllowPageBreak"/>
      </w:pPr>
    </w:p>
    <w:p w:rsidR="00000000" w:rsidRPr="001D17DC" w:rsidP="001D17DC">
      <w:pPr>
        <w:pStyle w:val="Heading1"/>
      </w:pPr>
      <w:bookmarkStart w:id="2" w:name="O_226621"/>
      <w:bookmarkEnd w:id="2"/>
      <w:r w:rsidRPr="001D17DC">
        <w:t>Unit Descriptor</w:t>
      </w:r>
    </w:p>
    <w:tbl>
      <w:tblPr>
        <w:tblW w:w="0" w:type="auto"/>
        <w:tblLayout w:type="fixed"/>
        <w:tblCellMar>
          <w:left w:w="62" w:type="dxa"/>
          <w:right w:w="62" w:type="dxa"/>
        </w:tblCellMar>
        <w:tblLook w:val="0000"/>
      </w:tblPr>
      <w:tblGrid>
        <w:gridCol w:w="2700"/>
        <w:gridCol w:w="5760"/>
      </w:tblGrid>
      <w:tr w:rsidTr="00C107A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D17DC" w:rsidP="001D17DC">
            <w:pPr>
              <w:pStyle w:val="BodyText"/>
            </w:pPr>
            <w:r w:rsidRPr="001D17DC">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1D17DC" w:rsidP="001D17DC">
            <w:pPr>
              <w:pStyle w:val="BodyText"/>
            </w:pPr>
            <w:r w:rsidRPr="001D17DC">
              <w:rPr>
                <w:rStyle w:val="SpecialBold"/>
              </w:rPr>
              <w:t>1</w:t>
            </w:r>
            <w:r w:rsidRPr="001D17DC">
              <w:t>)</w:t>
            </w:r>
          </w:p>
          <w:p w:rsidR="00000000" w:rsidP="001D17DC">
            <w:pPr>
              <w:pStyle w:val="BodyText"/>
              <w:rPr>
                <w:lang w:val="en-NZ"/>
              </w:rPr>
            </w:pPr>
            <w:r w:rsidRPr="001D17DC">
              <w:rPr>
                <w:rStyle w:val="SpecialBold"/>
              </w:rPr>
              <w:t>1</w:t>
            </w:r>
            <w:r w:rsidRPr="001D17DC">
              <w:t>.</w:t>
            </w:r>
            <w:r w:rsidRPr="001D17DC">
              <w:rPr>
                <w:rStyle w:val="SpecialBold"/>
              </w:rPr>
              <w:t>1</w:t>
            </w:r>
            <w:r w:rsidRPr="001D17DC">
              <w:t xml:space="preserve">) </w:t>
            </w:r>
            <w:r w:rsidRPr="001D17DC">
              <w:rPr>
                <w:rStyle w:val="SpecialBold"/>
              </w:rPr>
              <w:t>Descriptor</w:t>
            </w:r>
          </w:p>
        </w:tc>
      </w:tr>
      <w:tr w:rsidTr="00C107A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D17DC" w:rsidP="001D17DC">
            <w:pPr>
              <w:pStyle w:val="BodyText"/>
            </w:pPr>
            <w:r w:rsidRPr="001D17DC">
              <w:t>This unit covers determining correct operation of digital systems. It encompasses working safely, problem solving procedures, including the use of voltage, current and resistance measuring devices, providing solutions derived from measurements and calculat</w:t>
            </w:r>
            <w:r w:rsidRPr="001D17DC">
              <w:t>ions to predictable problems in digital components circuits.</w:t>
            </w:r>
          </w:p>
        </w:tc>
      </w:tr>
    </w:tbl>
    <w:p w:rsidR="00C107A0" w:rsidP="001D17DC">
      <w:pPr>
        <w:pStyle w:val="BodyText"/>
      </w:pPr>
    </w:p>
    <w:p w:rsidR="00C107A0" w:rsidP="001D17DC">
      <w:pPr>
        <w:pStyle w:val="BodyText"/>
      </w:pPr>
    </w:p>
    <w:p w:rsidR="00000000" w:rsidRPr="001D17DC" w:rsidP="001D17DC">
      <w:pPr>
        <w:pStyle w:val="Heading1"/>
      </w:pPr>
      <w:bookmarkStart w:id="3" w:name="O_226626"/>
      <w:bookmarkEnd w:id="3"/>
      <w:r w:rsidRPr="001D17DC">
        <w:t>Application of the Unit</w:t>
      </w:r>
    </w:p>
    <w:tbl>
      <w:tblPr>
        <w:tblW w:w="0" w:type="auto"/>
        <w:tblLayout w:type="fixed"/>
        <w:tblCellMar>
          <w:left w:w="62" w:type="dxa"/>
          <w:right w:w="62" w:type="dxa"/>
        </w:tblCellMar>
        <w:tblLook w:val="0000"/>
      </w:tblPr>
      <w:tblGrid>
        <w:gridCol w:w="2700"/>
        <w:gridCol w:w="5760"/>
      </w:tblGrid>
      <w:tr w:rsidTr="00C107A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D17DC" w:rsidP="001D17DC">
            <w:pPr>
              <w:pStyle w:val="BodyText"/>
            </w:pPr>
            <w:r w:rsidRPr="001D17DC">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1D17DC">
            <w:pPr>
              <w:pStyle w:val="BodyText"/>
              <w:rPr>
                <w:lang w:val="en-NZ"/>
              </w:rPr>
            </w:pPr>
            <w:r w:rsidRPr="001D17DC">
              <w:rPr>
                <w:rStyle w:val="SpecialBold"/>
              </w:rPr>
              <w:t>4</w:t>
            </w:r>
            <w:r w:rsidRPr="001D17DC">
              <w:t>)</w:t>
            </w:r>
          </w:p>
        </w:tc>
      </w:tr>
      <w:tr w:rsidTr="00C107A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1D17DC">
            <w:pPr>
              <w:pStyle w:val="BodyText"/>
              <w:rPr>
                <w:lang w:val="en-NZ"/>
              </w:rPr>
            </w:pPr>
            <w:r w:rsidRPr="001D17DC">
              <w:t>This competency standard un</w:t>
            </w:r>
            <w:r w:rsidRPr="001D17DC">
              <w:t>it is intended for development of competency in either entry-level employment based programs incorporated in approved contracts of training or other approved training programs. It may also be used to augment formally acquired competencies.</w:t>
            </w:r>
          </w:p>
        </w:tc>
      </w:tr>
      <w:tr w:rsidTr="00C107A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D17DC" w:rsidP="001D17DC">
            <w:pPr>
              <w:pStyle w:val="BodyText"/>
            </w:pPr>
            <w:r w:rsidRPr="001D17DC">
              <w:t>This unit is i</w:t>
            </w:r>
            <w:r w:rsidRPr="001D17DC">
              <w:t>ntended to apply to any recognised development program that leads to the acquisition of a formal award at AQF level 3 or higher.</w:t>
            </w:r>
          </w:p>
        </w:tc>
      </w:tr>
    </w:tbl>
    <w:p w:rsidR="00C107A0" w:rsidP="001D17DC">
      <w:pPr>
        <w:pStyle w:val="BodyText"/>
      </w:pPr>
    </w:p>
    <w:p w:rsidR="00C107A0" w:rsidP="001D17DC">
      <w:pPr>
        <w:pStyle w:val="BodyText"/>
      </w:pPr>
    </w:p>
    <w:p w:rsidR="00000000" w:rsidRPr="001D17DC" w:rsidP="001D17DC">
      <w:pPr>
        <w:pStyle w:val="Heading1"/>
      </w:pPr>
      <w:bookmarkStart w:id="4" w:name="O_226622"/>
      <w:bookmarkEnd w:id="4"/>
      <w:r w:rsidRPr="001D17DC">
        <w:t>Licensing/Regulatory Information</w:t>
      </w:r>
    </w:p>
    <w:tbl>
      <w:tblPr>
        <w:tblW w:w="0" w:type="auto"/>
        <w:tblLayout w:type="fixed"/>
        <w:tblCellMar>
          <w:left w:w="62" w:type="dxa"/>
          <w:right w:w="62" w:type="dxa"/>
        </w:tblCellMar>
        <w:tblLook w:val="0000"/>
      </w:tblPr>
      <w:tblGrid>
        <w:gridCol w:w="8460"/>
      </w:tblGrid>
      <w:tr w:rsidTr="00C107A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D17DC">
            <w:pPr>
              <w:pStyle w:val="BodyText"/>
              <w:rPr>
                <w:lang w:val="en-NZ"/>
              </w:rPr>
            </w:pPr>
            <w:r w:rsidRPr="001D17DC">
              <w:rPr>
                <w:rStyle w:val="SpecialBold"/>
              </w:rPr>
              <w:t>1</w:t>
            </w:r>
            <w:r w:rsidRPr="001D17DC">
              <w:t>.</w:t>
            </w:r>
            <w:r w:rsidRPr="001D17DC">
              <w:rPr>
                <w:rStyle w:val="SpecialBold"/>
              </w:rPr>
              <w:t>2</w:t>
            </w:r>
            <w:r w:rsidRPr="001D17DC">
              <w:t xml:space="preserve">) </w:t>
            </w:r>
            <w:r w:rsidRPr="001D17DC">
              <w:rPr>
                <w:rStyle w:val="SpecialBold"/>
              </w:rPr>
              <w:t>License to practice</w:t>
            </w:r>
          </w:p>
        </w:tc>
      </w:tr>
      <w:tr w:rsidTr="00C107A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D17DC" w:rsidP="001D17DC">
            <w:pPr>
              <w:pStyle w:val="BodyText"/>
            </w:pPr>
            <w:r w:rsidRPr="001D17DC">
              <w:t>The skills and knowledge described in this unit</w:t>
            </w:r>
            <w:r w:rsidRPr="001D17DC">
              <w:t xml:space="preserve"> do not require a license to practice in the workplace provided equipment is not connected to installation wiring at voltage above 50 V a.c. or 120 V d.c. However other conditions may apply in some States/Territories subject to regulations related to elect</w:t>
            </w:r>
            <w:r w:rsidRPr="001D17DC">
              <w:t xml:space="preserve">rical work. </w:t>
            </w:r>
          </w:p>
          <w:p w:rsidR="00000000" w:rsidRPr="001D17DC" w:rsidP="001D17DC">
            <w:pPr>
              <w:pStyle w:val="BodyText"/>
            </w:pPr>
            <w:r w:rsidRPr="001D17DC">
              <w:t>Practice in the workplace and during training is also subject to regulations directly related to occupational health and safety and where applicable contracts of training such as apprenticeships.</w:t>
            </w:r>
          </w:p>
          <w:p w:rsidR="00000000" w:rsidRPr="001D17DC" w:rsidP="001D17DC">
            <w:pPr>
              <w:pStyle w:val="BodyText"/>
            </w:pPr>
            <w:r w:rsidRPr="001D17DC">
              <w:t>Note:</w:t>
            </w:r>
            <w:r w:rsidRPr="001D17DC">
              <w:br/>
              <w:t>1. Compliance with permits may be require</w:t>
            </w:r>
            <w:r w:rsidRPr="001D17DC">
              <w:t xml:space="preserve">d in various jurisdictions and typically relates to the operation of plant, machinery and equipment such as elevating work platforms, powder operated fixing tools, power operated tools, vehicles, road signage and traffic control, lifting equipment and the </w:t>
            </w:r>
            <w:r w:rsidRPr="001D17DC">
              <w:t>like. Permits may also be required for some work environments such as confined spaces, working aloft, near live electrical apparatus and site rehabilitation.</w:t>
            </w:r>
            <w:r w:rsidRPr="001D17DC">
              <w:br/>
              <w:t>2. Compliance may be required in various jurisdictions relating to currency in First Aid, confined</w:t>
            </w:r>
            <w:r w:rsidRPr="001D17DC">
              <w:t xml:space="preserve"> space, lifting and risk safety measures.</w:t>
            </w:r>
          </w:p>
        </w:tc>
      </w:tr>
    </w:tbl>
    <w:p w:rsidR="00C107A0" w:rsidP="001D17DC">
      <w:pPr>
        <w:pStyle w:val="BodyText"/>
      </w:pPr>
    </w:p>
    <w:p w:rsidR="00C107A0" w:rsidP="001D17DC">
      <w:pPr>
        <w:pStyle w:val="BodyText"/>
      </w:pPr>
    </w:p>
    <w:p w:rsidR="00000000" w:rsidRPr="001D17DC" w:rsidP="001D17DC">
      <w:pPr>
        <w:pStyle w:val="Heading1"/>
      </w:pPr>
      <w:bookmarkStart w:id="5" w:name="O_226623"/>
      <w:bookmarkEnd w:id="5"/>
      <w:r w:rsidRPr="001D17DC">
        <w:t>Pre-Requisites</w:t>
      </w:r>
    </w:p>
    <w:tbl>
      <w:tblPr>
        <w:tblW w:w="0" w:type="auto"/>
        <w:tblLayout w:type="fixed"/>
        <w:tblCellMar>
          <w:left w:w="62" w:type="dxa"/>
          <w:right w:w="62" w:type="dxa"/>
        </w:tblCellMar>
        <w:tblLook w:val="0000"/>
      </w:tblPr>
      <w:tblGrid>
        <w:gridCol w:w="2700"/>
        <w:gridCol w:w="5760"/>
      </w:tblGrid>
      <w:tr w:rsidTr="00C107A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D17DC" w:rsidP="001D17DC">
            <w:pPr>
              <w:pStyle w:val="BodyText"/>
            </w:pPr>
            <w:r w:rsidRPr="001D17DC">
              <w:rPr>
                <w:rStyle w:val="SpecialBold"/>
              </w:rPr>
              <w:t>Prerequisite Unit</w:t>
            </w:r>
            <w:r w:rsidRPr="001D17DC">
              <w:t>(</w:t>
            </w:r>
            <w:r w:rsidRPr="001D17DC">
              <w:rPr>
                <w:rStyle w:val="SpecialBold"/>
              </w:rPr>
              <w:t>s</w:t>
            </w:r>
            <w:r w:rsidRPr="001D17DC">
              <w:t>)</w:t>
            </w:r>
          </w:p>
        </w:tc>
        <w:tc>
          <w:tcPr>
            <w:tcW w:w="5760" w:type="dxa"/>
            <w:tcBorders>
              <w:top w:val="nil"/>
              <w:left w:val="nil"/>
              <w:bottom w:val="nil"/>
              <w:right w:val="nil"/>
            </w:tcBorders>
            <w:tcMar>
              <w:top w:w="0" w:type="dxa"/>
              <w:left w:w="62" w:type="dxa"/>
              <w:bottom w:w="0" w:type="dxa"/>
              <w:right w:w="62" w:type="dxa"/>
            </w:tcMar>
          </w:tcPr>
          <w:p w:rsidR="00000000" w:rsidP="001D17DC">
            <w:pPr>
              <w:pStyle w:val="BodyText"/>
              <w:rPr>
                <w:lang w:val="en-NZ"/>
              </w:rPr>
            </w:pPr>
            <w:r w:rsidRPr="001D17DC">
              <w:rPr>
                <w:rStyle w:val="SpecialBold"/>
              </w:rPr>
              <w:t>2</w:t>
            </w:r>
            <w:r w:rsidRPr="001D17DC">
              <w:t>)</w:t>
            </w:r>
          </w:p>
        </w:tc>
      </w:tr>
      <w:tr w:rsidTr="00C107A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D17DC">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1D17DC">
            <w:pPr>
              <w:pStyle w:val="BodyText"/>
              <w:rPr>
                <w:lang w:val="en-NZ"/>
              </w:rPr>
            </w:pPr>
            <w:r w:rsidRPr="001D17DC">
              <w:rPr>
                <w:rStyle w:val="SpecialBold"/>
              </w:rPr>
              <w:t>2</w:t>
            </w:r>
            <w:r w:rsidRPr="001D17DC">
              <w:t>.</w:t>
            </w:r>
            <w:r w:rsidRPr="001D17DC">
              <w:rPr>
                <w:rStyle w:val="SpecialBold"/>
              </w:rPr>
              <w:t>1</w:t>
            </w:r>
            <w:r w:rsidRPr="001D17DC">
              <w:t xml:space="preserve">) </w:t>
            </w:r>
            <w:r w:rsidRPr="001D17DC">
              <w:rPr>
                <w:rStyle w:val="SpecialBold"/>
              </w:rPr>
              <w:t>Competencies</w:t>
            </w:r>
          </w:p>
        </w:tc>
      </w:tr>
      <w:tr w:rsidTr="00C107A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D17DC" w:rsidP="001D17DC">
            <w:pPr>
              <w:pStyle w:val="BodyText"/>
            </w:pPr>
            <w:r w:rsidRPr="001D17DC">
              <w:t>Granting competency in this unit shall be made only after competency in the following unit(s) has/have been confirmed.</w:t>
            </w:r>
          </w:p>
          <w:p w:rsidR="00000000" w:rsidRPr="001D17DC" w:rsidP="001D17DC">
            <w:pPr>
              <w:pStyle w:val="BodyText"/>
            </w:pPr>
            <w:r w:rsidRPr="001D17DC">
              <w:t>UEENEEH002B Carry out basic repairs to electronic apparatus by replacement of components</w:t>
            </w:r>
          </w:p>
          <w:p w:rsidR="00000000" w:rsidRPr="001D17DC" w:rsidP="001D17DC">
            <w:pPr>
              <w:pStyle w:val="BodyText"/>
            </w:pPr>
            <w:r w:rsidRPr="001D17DC">
              <w:t>For the full prerequisite chain details for this unit please refer to Table 2 in Volume 1, Part 2</w:t>
            </w:r>
          </w:p>
        </w:tc>
      </w:tr>
    </w:tbl>
    <w:p w:rsidR="00C107A0" w:rsidP="001D17DC">
      <w:pPr>
        <w:pStyle w:val="BodyText"/>
      </w:pPr>
    </w:p>
    <w:p w:rsidR="00C107A0" w:rsidP="001D17DC">
      <w:pPr>
        <w:pStyle w:val="BodyText"/>
      </w:pPr>
    </w:p>
    <w:p w:rsidR="00000000" w:rsidRPr="001D17DC" w:rsidP="001D17DC">
      <w:pPr>
        <w:pStyle w:val="Heading1"/>
      </w:pPr>
      <w:bookmarkStart w:id="6" w:name="O_226625"/>
      <w:bookmarkEnd w:id="6"/>
      <w:r w:rsidRPr="001D17DC">
        <w:t>Employability Skills Information</w:t>
      </w:r>
    </w:p>
    <w:tbl>
      <w:tblPr>
        <w:tblW w:w="0" w:type="auto"/>
        <w:tblLayout w:type="fixed"/>
        <w:tblCellMar>
          <w:left w:w="62" w:type="dxa"/>
          <w:right w:w="62" w:type="dxa"/>
        </w:tblCellMar>
        <w:tblLook w:val="0000"/>
      </w:tblPr>
      <w:tblGrid>
        <w:gridCol w:w="2700"/>
        <w:gridCol w:w="5760"/>
      </w:tblGrid>
      <w:tr w:rsidTr="00C107A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D17DC" w:rsidP="001D17DC">
            <w:pPr>
              <w:pStyle w:val="BodyText"/>
            </w:pPr>
            <w:r w:rsidRPr="001D17DC">
              <w:rPr>
                <w:rStyle w:val="SpecialBold"/>
              </w:rPr>
              <w:t>Employability Sk</w:t>
            </w:r>
            <w:r w:rsidRPr="001D17DC">
              <w:rPr>
                <w:rStyle w:val="SpecialBold"/>
              </w:rPr>
              <w:t>ills</w:t>
            </w:r>
          </w:p>
        </w:tc>
        <w:tc>
          <w:tcPr>
            <w:tcW w:w="5760" w:type="dxa"/>
            <w:tcBorders>
              <w:top w:val="nil"/>
              <w:left w:val="nil"/>
              <w:bottom w:val="nil"/>
              <w:right w:val="nil"/>
            </w:tcBorders>
            <w:tcMar>
              <w:top w:w="0" w:type="dxa"/>
              <w:left w:w="62" w:type="dxa"/>
              <w:bottom w:w="0" w:type="dxa"/>
              <w:right w:w="62" w:type="dxa"/>
            </w:tcMar>
          </w:tcPr>
          <w:p w:rsidR="00000000" w:rsidRPr="001D17DC" w:rsidP="001D17DC">
            <w:pPr>
              <w:pStyle w:val="BodyText"/>
            </w:pPr>
            <w:r w:rsidRPr="001D17DC">
              <w:rPr>
                <w:rStyle w:val="SpecialBold"/>
              </w:rPr>
              <w:t>3</w:t>
            </w:r>
            <w:r w:rsidRPr="001D17DC">
              <w:t>)</w:t>
            </w:r>
          </w:p>
          <w:p w:rsidR="00000000" w:rsidRPr="001D17DC" w:rsidP="001D17DC">
            <w:pPr>
              <w:pStyle w:val="BodyText"/>
            </w:pPr>
            <w:r w:rsidRPr="001D17DC">
              <w:t>This unit contains Employability Skills</w:t>
            </w:r>
          </w:p>
          <w:p w:rsidR="00000000" w:rsidRPr="001D17DC" w:rsidP="001D17DC">
            <w:pPr>
              <w:pStyle w:val="BodyText"/>
            </w:pPr>
            <w:r w:rsidRPr="001D17DC">
              <w:t>The required outcomes described in this unit of competency contain applicable facets of Employability Skills. The Employability Skills Summary of the qualification in which this unit of competency is packaged</w:t>
            </w:r>
            <w:r w:rsidRPr="001D17DC">
              <w:t xml:space="preserve"> will assist in identifying Employability Skill requirements.</w:t>
            </w:r>
          </w:p>
        </w:tc>
      </w:tr>
    </w:tbl>
    <w:p w:rsidR="00C107A0" w:rsidP="001D17DC">
      <w:pPr>
        <w:pStyle w:val="BodyText"/>
      </w:pPr>
    </w:p>
    <w:p w:rsidR="00C107A0" w:rsidP="001D17DC">
      <w:pPr>
        <w:pStyle w:val="BodyText"/>
      </w:pPr>
    </w:p>
    <w:p w:rsidR="00000000" w:rsidRPr="001D17DC" w:rsidP="001D17DC">
      <w:pPr>
        <w:pStyle w:val="Heading1"/>
      </w:pPr>
      <w:bookmarkStart w:id="7" w:name="O_292741"/>
      <w:bookmarkEnd w:id="7"/>
      <w:r w:rsidRPr="001D17DC">
        <w:t>Elements and Performance Criteria Pre-Content</w:t>
      </w:r>
    </w:p>
    <w:tbl>
      <w:tblPr>
        <w:tblW w:w="0" w:type="auto"/>
        <w:tblLayout w:type="fixed"/>
        <w:tblCellMar>
          <w:left w:w="62" w:type="dxa"/>
          <w:right w:w="62" w:type="dxa"/>
        </w:tblCellMar>
        <w:tblLook w:val="0000"/>
      </w:tblPr>
      <w:tblGrid>
        <w:gridCol w:w="2700"/>
        <w:gridCol w:w="5760"/>
      </w:tblGrid>
      <w:tr w:rsidTr="00C107A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D17DC">
            <w:pPr>
              <w:pStyle w:val="BodyText"/>
              <w:rPr>
                <w:lang w:val="en-NZ"/>
              </w:rPr>
            </w:pPr>
            <w:r w:rsidRPr="001D17DC">
              <w:rPr>
                <w:rStyle w:val="SpecialBold"/>
              </w:rPr>
              <w:t>6</w:t>
            </w:r>
            <w:r w:rsidRPr="001D17DC">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1D17DC" w:rsidP="001D17DC">
            <w:pPr>
              <w:pStyle w:val="BodyText"/>
            </w:pPr>
            <w:r w:rsidRPr="001D17DC">
              <w:t>Performance criteria describe the required performance neede</w:t>
            </w:r>
            <w:r w:rsidRPr="001D17DC">
              <w:t>d to demonstrate achievement of the Element. Assessment of performance is to be consistent with the evidence guide.</w:t>
            </w:r>
          </w:p>
        </w:tc>
      </w:tr>
    </w:tbl>
    <w:p w:rsidR="00000000" w:rsidRPr="001D17DC" w:rsidP="001D17DC">
      <w:pPr>
        <w:pStyle w:val="BodyText"/>
      </w:pPr>
    </w:p>
    <w:p w:rsidR="00000000" w:rsidRPr="001D17DC" w:rsidP="001D17DC">
      <w:pPr>
        <w:pStyle w:val="AllowPageBreak"/>
      </w:pPr>
    </w:p>
    <w:p w:rsidR="00000000" w:rsidRPr="001D17DC" w:rsidP="001D17DC">
      <w:pPr>
        <w:pStyle w:val="Heading1"/>
      </w:pPr>
      <w:bookmarkStart w:id="8" w:name="O_239409"/>
      <w:bookmarkEnd w:id="8"/>
      <w:r w:rsidRPr="001D17DC">
        <w:t>Elements and Performance Criteria</w:t>
      </w:r>
    </w:p>
    <w:tbl>
      <w:tblPr>
        <w:tblW w:w="0" w:type="auto"/>
        <w:tblLayout w:type="fixed"/>
        <w:tblCellMar>
          <w:left w:w="62" w:type="dxa"/>
          <w:right w:w="62" w:type="dxa"/>
        </w:tblCellMar>
        <w:tblLook w:val="0000"/>
      </w:tblPr>
      <w:tblGrid>
        <w:gridCol w:w="360"/>
        <w:gridCol w:w="2340"/>
        <w:gridCol w:w="900"/>
        <w:gridCol w:w="4860"/>
      </w:tblGrid>
      <w:tr w:rsidTr="00C107A0">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1D17DC" w:rsidP="001D17DC">
            <w:pPr>
              <w:pStyle w:val="BodyText"/>
            </w:pPr>
            <w:r w:rsidRPr="001D17DC">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1D17DC">
            <w:pPr>
              <w:pStyle w:val="BodyText"/>
              <w:rPr>
                <w:lang w:val="en-NZ"/>
              </w:rPr>
            </w:pPr>
            <w:r w:rsidRPr="001D17DC">
              <w:rPr>
                <w:rStyle w:val="SpecialBold"/>
              </w:rPr>
              <w:t>PERFORMANCE CRITERIA</w:t>
            </w:r>
          </w:p>
        </w:tc>
      </w:tr>
      <w:tr w:rsidTr="00C107A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1D17DC">
            <w:pPr>
              <w:pStyle w:val="BodyText"/>
              <w:rPr>
                <w:lang w:val="en-NZ"/>
              </w:rPr>
            </w:pPr>
            <w:r w:rsidRPr="001D17DC">
              <w:t>1</w:t>
            </w:r>
          </w:p>
        </w:tc>
        <w:tc>
          <w:tcPr>
            <w:tcW w:w="2340" w:type="dxa"/>
            <w:vMerge w:val="restart"/>
            <w:tcBorders>
              <w:top w:val="nil"/>
              <w:left w:val="nil"/>
              <w:bottom w:val="nil"/>
              <w:right w:val="nil"/>
            </w:tcBorders>
            <w:tcMar>
              <w:top w:w="0" w:type="dxa"/>
              <w:left w:w="62" w:type="dxa"/>
              <w:bottom w:w="0" w:type="dxa"/>
              <w:right w:w="62" w:type="dxa"/>
            </w:tcMar>
          </w:tcPr>
          <w:p w:rsidR="00000000" w:rsidP="001D17DC">
            <w:pPr>
              <w:pStyle w:val="BodyText"/>
              <w:rPr>
                <w:lang w:val="en-NZ"/>
              </w:rPr>
            </w:pPr>
            <w:r w:rsidRPr="001D17DC">
              <w:t>Prepare to troubleshoot digital subsystems.</w:t>
            </w:r>
          </w:p>
        </w:tc>
        <w:tc>
          <w:tcPr>
            <w:tcW w:w="900" w:type="dxa"/>
            <w:tcBorders>
              <w:top w:val="nil"/>
              <w:left w:val="nil"/>
              <w:bottom w:val="nil"/>
              <w:right w:val="nil"/>
            </w:tcBorders>
            <w:tcMar>
              <w:top w:w="0" w:type="dxa"/>
              <w:left w:w="62" w:type="dxa"/>
              <w:bottom w:w="0" w:type="dxa"/>
              <w:right w:w="62" w:type="dxa"/>
            </w:tcMar>
          </w:tcPr>
          <w:p w:rsidR="00000000" w:rsidP="001D17DC">
            <w:pPr>
              <w:pStyle w:val="BodyText"/>
              <w:rPr>
                <w:lang w:val="en-NZ"/>
              </w:rPr>
            </w:pPr>
            <w:r w:rsidRPr="001D17DC">
              <w:t>1.1</w:t>
            </w:r>
          </w:p>
        </w:tc>
        <w:tc>
          <w:tcPr>
            <w:tcW w:w="4860" w:type="dxa"/>
            <w:tcBorders>
              <w:top w:val="nil"/>
              <w:left w:val="nil"/>
              <w:bottom w:val="nil"/>
              <w:right w:val="nil"/>
            </w:tcBorders>
            <w:tcMar>
              <w:top w:w="0" w:type="dxa"/>
              <w:left w:w="62" w:type="dxa"/>
              <w:bottom w:w="0" w:type="dxa"/>
              <w:right w:w="62" w:type="dxa"/>
            </w:tcMar>
          </w:tcPr>
          <w:p w:rsidR="00000000" w:rsidP="001D17DC">
            <w:pPr>
              <w:pStyle w:val="BodyText"/>
              <w:rPr>
                <w:lang w:val="en-NZ"/>
              </w:rPr>
            </w:pPr>
            <w:r w:rsidRPr="001D17DC">
              <w:t>OHS procedures for a given work area are obtained and understood.</w:t>
            </w:r>
          </w:p>
        </w:tc>
      </w:tr>
      <w:tr w:rsidTr="00C107A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17DC">
            <w:pPr>
              <w:pStyle w:val="BodyText"/>
              <w:rPr>
                <w:lang w:val="en-NZ"/>
              </w:rPr>
            </w:pPr>
            <w:r w:rsidRPr="001D17DC">
              <w:t>1.2</w:t>
            </w:r>
          </w:p>
        </w:tc>
        <w:tc>
          <w:tcPr>
            <w:tcW w:w="4860" w:type="dxa"/>
            <w:tcBorders>
              <w:top w:val="nil"/>
              <w:left w:val="nil"/>
              <w:bottom w:val="nil"/>
              <w:right w:val="nil"/>
            </w:tcBorders>
            <w:tcMar>
              <w:top w:w="0" w:type="dxa"/>
              <w:left w:w="62" w:type="dxa"/>
              <w:bottom w:w="0" w:type="dxa"/>
              <w:right w:w="62" w:type="dxa"/>
            </w:tcMar>
          </w:tcPr>
          <w:p w:rsidR="00000000" w:rsidP="001D17DC">
            <w:pPr>
              <w:pStyle w:val="BodyText"/>
              <w:rPr>
                <w:lang w:val="en-NZ"/>
              </w:rPr>
            </w:pPr>
            <w:r w:rsidRPr="001D17DC">
              <w:t>OHS risk control work preparation measures and procedures are followed.</w:t>
            </w:r>
          </w:p>
        </w:tc>
      </w:tr>
      <w:tr w:rsidTr="00C107A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17DC">
            <w:pPr>
              <w:pStyle w:val="BodyText"/>
              <w:rPr>
                <w:lang w:val="en-NZ"/>
              </w:rPr>
            </w:pPr>
            <w:r w:rsidRPr="001D17DC">
              <w:t>1.3</w:t>
            </w:r>
          </w:p>
        </w:tc>
        <w:tc>
          <w:tcPr>
            <w:tcW w:w="4860" w:type="dxa"/>
            <w:tcBorders>
              <w:top w:val="nil"/>
              <w:left w:val="nil"/>
              <w:bottom w:val="nil"/>
              <w:right w:val="nil"/>
            </w:tcBorders>
            <w:tcMar>
              <w:top w:w="0" w:type="dxa"/>
              <w:left w:w="62" w:type="dxa"/>
              <w:bottom w:w="0" w:type="dxa"/>
              <w:right w:w="62" w:type="dxa"/>
            </w:tcMar>
          </w:tcPr>
          <w:p w:rsidR="00000000" w:rsidP="001D17DC">
            <w:pPr>
              <w:pStyle w:val="BodyText"/>
              <w:rPr>
                <w:lang w:val="en-NZ"/>
              </w:rPr>
            </w:pPr>
            <w:r w:rsidRPr="001D17DC">
              <w:t>The nature of the fault is obtained from docume</w:t>
            </w:r>
            <w:r w:rsidRPr="001D17DC">
              <w:t>ntation or from work supervisor to establish the scope of work to be undertaken.</w:t>
            </w:r>
          </w:p>
        </w:tc>
      </w:tr>
      <w:tr w:rsidTr="00C107A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17DC">
            <w:pPr>
              <w:pStyle w:val="BodyText"/>
              <w:rPr>
                <w:lang w:val="en-NZ"/>
              </w:rPr>
            </w:pPr>
            <w:r w:rsidRPr="001D17DC">
              <w:t>1.4</w:t>
            </w:r>
          </w:p>
        </w:tc>
        <w:tc>
          <w:tcPr>
            <w:tcW w:w="4860" w:type="dxa"/>
            <w:tcBorders>
              <w:top w:val="nil"/>
              <w:left w:val="nil"/>
              <w:bottom w:val="nil"/>
              <w:right w:val="nil"/>
            </w:tcBorders>
            <w:tcMar>
              <w:top w:w="0" w:type="dxa"/>
              <w:left w:w="62" w:type="dxa"/>
              <w:bottom w:w="0" w:type="dxa"/>
              <w:right w:w="62" w:type="dxa"/>
            </w:tcMar>
          </w:tcPr>
          <w:p w:rsidR="00000000" w:rsidP="001D17DC">
            <w:pPr>
              <w:pStyle w:val="BodyText"/>
              <w:rPr>
                <w:lang w:val="en-NZ"/>
              </w:rPr>
            </w:pPr>
            <w:r w:rsidRPr="001D17DC">
              <w:t xml:space="preserve">Advice is sought from the work supervisor to ensure the work is co-ordinated effectively with others. </w:t>
            </w:r>
          </w:p>
        </w:tc>
      </w:tr>
      <w:tr w:rsidTr="00C107A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17DC">
            <w:pPr>
              <w:pStyle w:val="BodyText"/>
              <w:rPr>
                <w:lang w:val="en-NZ"/>
              </w:rPr>
            </w:pPr>
            <w:r w:rsidRPr="001D17DC">
              <w:t>1.5</w:t>
            </w:r>
          </w:p>
        </w:tc>
        <w:tc>
          <w:tcPr>
            <w:tcW w:w="4860" w:type="dxa"/>
            <w:tcBorders>
              <w:top w:val="nil"/>
              <w:left w:val="nil"/>
              <w:bottom w:val="nil"/>
              <w:right w:val="nil"/>
            </w:tcBorders>
            <w:tcMar>
              <w:top w:w="0" w:type="dxa"/>
              <w:left w:w="62" w:type="dxa"/>
              <w:bottom w:w="0" w:type="dxa"/>
              <w:right w:w="62" w:type="dxa"/>
            </w:tcMar>
          </w:tcPr>
          <w:p w:rsidR="00000000" w:rsidP="001D17DC">
            <w:pPr>
              <w:pStyle w:val="BodyText"/>
              <w:rPr>
                <w:lang w:val="en-NZ"/>
              </w:rPr>
            </w:pPr>
            <w:r w:rsidRPr="001D17DC">
              <w:t>Sources of materials that may be required for the work are established in accordance with established procedures.</w:t>
            </w:r>
          </w:p>
        </w:tc>
      </w:tr>
      <w:tr w:rsidTr="00C107A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17DC">
            <w:pPr>
              <w:pStyle w:val="BodyText"/>
              <w:rPr>
                <w:lang w:val="en-NZ"/>
              </w:rPr>
            </w:pPr>
            <w:r w:rsidRPr="001D17DC">
              <w:t>1.6</w:t>
            </w:r>
          </w:p>
        </w:tc>
        <w:tc>
          <w:tcPr>
            <w:tcW w:w="4860" w:type="dxa"/>
            <w:tcBorders>
              <w:top w:val="nil"/>
              <w:left w:val="nil"/>
              <w:bottom w:val="nil"/>
              <w:right w:val="nil"/>
            </w:tcBorders>
            <w:tcMar>
              <w:top w:w="0" w:type="dxa"/>
              <w:left w:w="62" w:type="dxa"/>
              <w:bottom w:w="0" w:type="dxa"/>
              <w:right w:w="62" w:type="dxa"/>
            </w:tcMar>
          </w:tcPr>
          <w:p w:rsidR="00000000" w:rsidP="001D17DC">
            <w:pPr>
              <w:pStyle w:val="BodyText"/>
              <w:rPr>
                <w:lang w:val="en-NZ"/>
              </w:rPr>
            </w:pPr>
            <w:r w:rsidRPr="001D17DC">
              <w:t>Tools, equipment and testing devices needed to carry out the work are obtained and checked for correct operation and safety.</w:t>
            </w:r>
          </w:p>
        </w:tc>
      </w:tr>
      <w:tr w:rsidTr="00C107A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1D17DC">
            <w:pPr>
              <w:pStyle w:val="BodyText"/>
              <w:rPr>
                <w:lang w:val="en-NZ"/>
              </w:rPr>
            </w:pPr>
            <w:r w:rsidRPr="001D17DC">
              <w:t>2</w:t>
            </w:r>
          </w:p>
        </w:tc>
        <w:tc>
          <w:tcPr>
            <w:tcW w:w="2340" w:type="dxa"/>
            <w:vMerge w:val="restart"/>
            <w:tcBorders>
              <w:top w:val="nil"/>
              <w:left w:val="nil"/>
              <w:bottom w:val="nil"/>
              <w:right w:val="nil"/>
            </w:tcBorders>
            <w:tcMar>
              <w:top w:w="0" w:type="dxa"/>
              <w:left w:w="62" w:type="dxa"/>
              <w:bottom w:w="0" w:type="dxa"/>
              <w:right w:w="62" w:type="dxa"/>
            </w:tcMar>
          </w:tcPr>
          <w:p w:rsidR="00000000" w:rsidP="001D17DC">
            <w:pPr>
              <w:pStyle w:val="BodyText"/>
              <w:rPr>
                <w:lang w:val="en-NZ"/>
              </w:rPr>
            </w:pPr>
            <w:r w:rsidRPr="001D17DC">
              <w:t>Trouble</w:t>
            </w:r>
            <w:r w:rsidRPr="001D17DC">
              <w:t>shoot digital subsystems.</w:t>
            </w:r>
          </w:p>
        </w:tc>
        <w:tc>
          <w:tcPr>
            <w:tcW w:w="900" w:type="dxa"/>
            <w:tcBorders>
              <w:top w:val="nil"/>
              <w:left w:val="nil"/>
              <w:bottom w:val="nil"/>
              <w:right w:val="nil"/>
            </w:tcBorders>
            <w:tcMar>
              <w:top w:w="0" w:type="dxa"/>
              <w:left w:w="62" w:type="dxa"/>
              <w:bottom w:w="0" w:type="dxa"/>
              <w:right w:w="62" w:type="dxa"/>
            </w:tcMar>
          </w:tcPr>
          <w:p w:rsidR="00000000" w:rsidP="001D17DC">
            <w:pPr>
              <w:pStyle w:val="BodyText"/>
              <w:rPr>
                <w:lang w:val="en-NZ"/>
              </w:rPr>
            </w:pPr>
            <w:r w:rsidRPr="001D17DC">
              <w:t>2.1</w:t>
            </w:r>
          </w:p>
        </w:tc>
        <w:tc>
          <w:tcPr>
            <w:tcW w:w="4860" w:type="dxa"/>
            <w:tcBorders>
              <w:top w:val="nil"/>
              <w:left w:val="nil"/>
              <w:bottom w:val="nil"/>
              <w:right w:val="nil"/>
            </w:tcBorders>
            <w:tcMar>
              <w:top w:w="0" w:type="dxa"/>
              <w:left w:w="62" w:type="dxa"/>
              <w:bottom w:w="0" w:type="dxa"/>
              <w:right w:w="62" w:type="dxa"/>
            </w:tcMar>
          </w:tcPr>
          <w:p w:rsidR="00000000" w:rsidP="001D17DC">
            <w:pPr>
              <w:pStyle w:val="BodyText"/>
              <w:rPr>
                <w:lang w:val="en-NZ"/>
              </w:rPr>
            </w:pPr>
            <w:r w:rsidRPr="001D17DC">
              <w:t>OHS risk control work measures and procedures are followed.</w:t>
            </w:r>
          </w:p>
        </w:tc>
      </w:tr>
      <w:tr w:rsidTr="00C107A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17DC">
            <w:pPr>
              <w:pStyle w:val="BodyText"/>
              <w:rPr>
                <w:lang w:val="en-NZ"/>
              </w:rPr>
            </w:pPr>
            <w:r w:rsidRPr="001D17DC">
              <w:t>2.2</w:t>
            </w:r>
          </w:p>
        </w:tc>
        <w:tc>
          <w:tcPr>
            <w:tcW w:w="4860" w:type="dxa"/>
            <w:tcBorders>
              <w:top w:val="nil"/>
              <w:left w:val="nil"/>
              <w:bottom w:val="nil"/>
              <w:right w:val="nil"/>
            </w:tcBorders>
            <w:tcMar>
              <w:top w:w="0" w:type="dxa"/>
              <w:left w:w="62" w:type="dxa"/>
              <w:bottom w:w="0" w:type="dxa"/>
              <w:right w:w="62" w:type="dxa"/>
            </w:tcMar>
          </w:tcPr>
          <w:p w:rsidR="00000000" w:rsidP="001D17DC">
            <w:pPr>
              <w:pStyle w:val="BodyText"/>
              <w:rPr>
                <w:lang w:val="en-NZ"/>
              </w:rPr>
            </w:pPr>
            <w:r w:rsidRPr="001D17DC">
              <w:t>The need to test or measure live is determined in strict accordance with OHS requirements and when necessary conducted within established safety procedures.</w:t>
            </w:r>
          </w:p>
        </w:tc>
      </w:tr>
      <w:tr w:rsidTr="00C107A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17DC">
            <w:pPr>
              <w:pStyle w:val="BodyText"/>
              <w:rPr>
                <w:lang w:val="en-NZ"/>
              </w:rPr>
            </w:pPr>
            <w:r w:rsidRPr="001D17DC">
              <w:t>2.3</w:t>
            </w:r>
          </w:p>
        </w:tc>
        <w:tc>
          <w:tcPr>
            <w:tcW w:w="4860" w:type="dxa"/>
            <w:tcBorders>
              <w:top w:val="nil"/>
              <w:left w:val="nil"/>
              <w:bottom w:val="nil"/>
              <w:right w:val="nil"/>
            </w:tcBorders>
            <w:tcMar>
              <w:top w:w="0" w:type="dxa"/>
              <w:left w:w="62" w:type="dxa"/>
              <w:bottom w:w="0" w:type="dxa"/>
              <w:right w:w="62" w:type="dxa"/>
            </w:tcMar>
          </w:tcPr>
          <w:p w:rsidR="00000000" w:rsidP="001D17DC">
            <w:pPr>
              <w:pStyle w:val="BodyText"/>
              <w:rPr>
                <w:lang w:val="en-NZ"/>
              </w:rPr>
            </w:pPr>
            <w:r w:rsidRPr="001D17DC">
              <w:t>Circuits are checked as being isolated where necessary in strict accordance OHS requirements and procedures.</w:t>
            </w:r>
          </w:p>
        </w:tc>
      </w:tr>
      <w:tr w:rsidTr="00C107A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17DC">
            <w:pPr>
              <w:pStyle w:val="BodyText"/>
              <w:rPr>
                <w:lang w:val="en-NZ"/>
              </w:rPr>
            </w:pPr>
            <w:r w:rsidRPr="001D17DC">
              <w:t>2.4</w:t>
            </w:r>
          </w:p>
        </w:tc>
        <w:tc>
          <w:tcPr>
            <w:tcW w:w="4860" w:type="dxa"/>
            <w:tcBorders>
              <w:top w:val="nil"/>
              <w:left w:val="nil"/>
              <w:bottom w:val="nil"/>
              <w:right w:val="nil"/>
            </w:tcBorders>
            <w:tcMar>
              <w:top w:w="0" w:type="dxa"/>
              <w:left w:w="62" w:type="dxa"/>
              <w:bottom w:w="0" w:type="dxa"/>
              <w:right w:w="62" w:type="dxa"/>
            </w:tcMar>
          </w:tcPr>
          <w:p w:rsidR="00000000" w:rsidP="001D17DC">
            <w:pPr>
              <w:pStyle w:val="BodyText"/>
              <w:rPr>
                <w:lang w:val="en-NZ"/>
              </w:rPr>
            </w:pPr>
            <w:r w:rsidRPr="001D17DC">
              <w:t>Fault finding is approached methodically drawing on knowledge of digital components using measured and calculated values of parameters.</w:t>
            </w:r>
          </w:p>
        </w:tc>
      </w:tr>
      <w:tr w:rsidTr="00C107A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17DC">
            <w:pPr>
              <w:pStyle w:val="BodyText"/>
              <w:rPr>
                <w:lang w:val="en-NZ"/>
              </w:rPr>
            </w:pPr>
            <w:r w:rsidRPr="001D17DC">
              <w:t>2.5</w:t>
            </w:r>
          </w:p>
        </w:tc>
        <w:tc>
          <w:tcPr>
            <w:tcW w:w="4860" w:type="dxa"/>
            <w:tcBorders>
              <w:top w:val="nil"/>
              <w:left w:val="nil"/>
              <w:bottom w:val="nil"/>
              <w:right w:val="nil"/>
            </w:tcBorders>
            <w:tcMar>
              <w:top w:w="0" w:type="dxa"/>
              <w:left w:w="62" w:type="dxa"/>
              <w:bottom w:w="0" w:type="dxa"/>
              <w:right w:w="62" w:type="dxa"/>
            </w:tcMar>
          </w:tcPr>
          <w:p w:rsidR="00000000" w:rsidP="001D17DC">
            <w:pPr>
              <w:pStyle w:val="BodyText"/>
              <w:rPr>
                <w:lang w:val="en-NZ"/>
              </w:rPr>
            </w:pPr>
            <w:r w:rsidRPr="001D17DC">
              <w:t>Unexpected situations are dealt with safely and with the approval of an authorised person.</w:t>
            </w:r>
          </w:p>
        </w:tc>
      </w:tr>
      <w:tr w:rsidTr="00C107A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17DC">
            <w:pPr>
              <w:pStyle w:val="BodyText"/>
              <w:rPr>
                <w:lang w:val="en-NZ"/>
              </w:rPr>
            </w:pPr>
            <w:r w:rsidRPr="001D17DC">
              <w:t>2.6</w:t>
            </w:r>
          </w:p>
        </w:tc>
        <w:tc>
          <w:tcPr>
            <w:tcW w:w="4860" w:type="dxa"/>
            <w:tcBorders>
              <w:top w:val="nil"/>
              <w:left w:val="nil"/>
              <w:bottom w:val="nil"/>
              <w:right w:val="nil"/>
            </w:tcBorders>
            <w:tcMar>
              <w:top w:w="0" w:type="dxa"/>
              <w:left w:w="62" w:type="dxa"/>
              <w:bottom w:w="0" w:type="dxa"/>
              <w:right w:w="62" w:type="dxa"/>
            </w:tcMar>
          </w:tcPr>
          <w:p w:rsidR="00000000" w:rsidP="001D17DC">
            <w:pPr>
              <w:pStyle w:val="BodyText"/>
              <w:rPr>
                <w:lang w:val="en-NZ"/>
              </w:rPr>
            </w:pPr>
            <w:r w:rsidRPr="001D17DC">
              <w:t xml:space="preserve">Fault finding activities are carried out efficiently without unnecessary waste of materials or damage to apparatus and the surrounding environment or </w:t>
            </w:r>
            <w:r w:rsidRPr="001D17DC">
              <w:t>services and using sustainable energy practices.</w:t>
            </w:r>
          </w:p>
        </w:tc>
      </w:tr>
      <w:tr w:rsidTr="00C107A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1D17DC">
            <w:pPr>
              <w:pStyle w:val="BodyText"/>
              <w:rPr>
                <w:lang w:val="en-NZ"/>
              </w:rPr>
            </w:pPr>
            <w:r w:rsidRPr="001D17DC">
              <w:t>3</w:t>
            </w:r>
          </w:p>
        </w:tc>
        <w:tc>
          <w:tcPr>
            <w:tcW w:w="2340" w:type="dxa"/>
            <w:vMerge w:val="restart"/>
            <w:tcBorders>
              <w:top w:val="nil"/>
              <w:left w:val="nil"/>
              <w:bottom w:val="nil"/>
              <w:right w:val="nil"/>
            </w:tcBorders>
            <w:tcMar>
              <w:top w:w="0" w:type="dxa"/>
              <w:left w:w="62" w:type="dxa"/>
              <w:bottom w:w="0" w:type="dxa"/>
              <w:right w:w="62" w:type="dxa"/>
            </w:tcMar>
          </w:tcPr>
          <w:p w:rsidR="00000000" w:rsidP="001D17DC">
            <w:pPr>
              <w:pStyle w:val="BodyText"/>
              <w:rPr>
                <w:lang w:val="en-NZ"/>
              </w:rPr>
            </w:pPr>
            <w:r w:rsidRPr="001D17DC">
              <w:t>Complete work and document troubleshooting activities.</w:t>
            </w:r>
          </w:p>
        </w:tc>
        <w:tc>
          <w:tcPr>
            <w:tcW w:w="900" w:type="dxa"/>
            <w:tcBorders>
              <w:top w:val="nil"/>
              <w:left w:val="nil"/>
              <w:bottom w:val="nil"/>
              <w:right w:val="nil"/>
            </w:tcBorders>
            <w:tcMar>
              <w:top w:w="0" w:type="dxa"/>
              <w:left w:w="62" w:type="dxa"/>
              <w:bottom w:w="0" w:type="dxa"/>
              <w:right w:w="62" w:type="dxa"/>
            </w:tcMar>
          </w:tcPr>
          <w:p w:rsidR="00000000" w:rsidP="001D17DC">
            <w:pPr>
              <w:pStyle w:val="BodyText"/>
              <w:rPr>
                <w:lang w:val="en-NZ"/>
              </w:rPr>
            </w:pPr>
            <w:r w:rsidRPr="001D17DC">
              <w:t>3.1</w:t>
            </w:r>
          </w:p>
        </w:tc>
        <w:tc>
          <w:tcPr>
            <w:tcW w:w="4860" w:type="dxa"/>
            <w:tcBorders>
              <w:top w:val="nil"/>
              <w:left w:val="nil"/>
              <w:bottom w:val="nil"/>
              <w:right w:val="nil"/>
            </w:tcBorders>
            <w:tcMar>
              <w:top w:w="0" w:type="dxa"/>
              <w:left w:w="62" w:type="dxa"/>
              <w:bottom w:w="0" w:type="dxa"/>
              <w:right w:w="62" w:type="dxa"/>
            </w:tcMar>
          </w:tcPr>
          <w:p w:rsidR="00000000" w:rsidP="001D17DC">
            <w:pPr>
              <w:pStyle w:val="BodyText"/>
              <w:rPr>
                <w:lang w:val="en-NZ"/>
              </w:rPr>
            </w:pPr>
            <w:r w:rsidRPr="001D17DC">
              <w:t>OHS work completion risk control measures and procedures are followed.</w:t>
            </w:r>
          </w:p>
        </w:tc>
      </w:tr>
      <w:tr w:rsidTr="00C107A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17DC">
            <w:pPr>
              <w:pStyle w:val="BodyText"/>
              <w:rPr>
                <w:lang w:val="en-NZ"/>
              </w:rPr>
            </w:pPr>
            <w:r w:rsidRPr="001D17DC">
              <w:t>3.2</w:t>
            </w:r>
          </w:p>
        </w:tc>
        <w:tc>
          <w:tcPr>
            <w:tcW w:w="4860" w:type="dxa"/>
            <w:tcBorders>
              <w:top w:val="nil"/>
              <w:left w:val="nil"/>
              <w:bottom w:val="nil"/>
              <w:right w:val="nil"/>
            </w:tcBorders>
            <w:tcMar>
              <w:top w:w="0" w:type="dxa"/>
              <w:left w:w="62" w:type="dxa"/>
              <w:bottom w:w="0" w:type="dxa"/>
              <w:right w:w="62" w:type="dxa"/>
            </w:tcMar>
          </w:tcPr>
          <w:p w:rsidR="00000000" w:rsidP="001D17DC">
            <w:pPr>
              <w:pStyle w:val="BodyText"/>
              <w:rPr>
                <w:lang w:val="en-NZ"/>
              </w:rPr>
            </w:pPr>
            <w:r w:rsidRPr="001D17DC">
              <w:t>Work site is cleaned and made safe in accordance with established procedures.</w:t>
            </w:r>
          </w:p>
        </w:tc>
      </w:tr>
      <w:tr w:rsidTr="00C107A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17DC">
            <w:pPr>
              <w:pStyle w:val="BodyText"/>
              <w:rPr>
                <w:lang w:val="en-NZ"/>
              </w:rPr>
            </w:pPr>
            <w:r w:rsidRPr="001D17DC">
              <w:t>3.3</w:t>
            </w:r>
          </w:p>
        </w:tc>
        <w:tc>
          <w:tcPr>
            <w:tcW w:w="4860" w:type="dxa"/>
            <w:tcBorders>
              <w:top w:val="nil"/>
              <w:left w:val="nil"/>
              <w:bottom w:val="nil"/>
              <w:right w:val="nil"/>
            </w:tcBorders>
            <w:tcMar>
              <w:top w:w="0" w:type="dxa"/>
              <w:left w:w="62" w:type="dxa"/>
              <w:bottom w:w="0" w:type="dxa"/>
              <w:right w:w="62" w:type="dxa"/>
            </w:tcMar>
          </w:tcPr>
          <w:p w:rsidR="00000000" w:rsidP="001D17DC">
            <w:pPr>
              <w:pStyle w:val="BodyText"/>
              <w:rPr>
                <w:lang w:val="en-NZ"/>
              </w:rPr>
            </w:pPr>
            <w:r w:rsidRPr="001D17DC">
              <w:t>Justification for solutions used to troubleshooting  problems is documented.</w:t>
            </w:r>
          </w:p>
        </w:tc>
      </w:tr>
      <w:tr w:rsidTr="00C107A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17DC">
            <w:pPr>
              <w:pStyle w:val="BodyText"/>
              <w:rPr>
                <w:lang w:val="en-NZ"/>
              </w:rPr>
            </w:pPr>
            <w:r w:rsidRPr="001D17DC">
              <w:t>3.4</w:t>
            </w:r>
          </w:p>
        </w:tc>
        <w:tc>
          <w:tcPr>
            <w:tcW w:w="4860" w:type="dxa"/>
            <w:tcBorders>
              <w:top w:val="nil"/>
              <w:left w:val="nil"/>
              <w:bottom w:val="nil"/>
              <w:right w:val="nil"/>
            </w:tcBorders>
            <w:tcMar>
              <w:top w:w="0" w:type="dxa"/>
              <w:left w:w="62" w:type="dxa"/>
              <w:bottom w:w="0" w:type="dxa"/>
              <w:right w:w="62" w:type="dxa"/>
            </w:tcMar>
          </w:tcPr>
          <w:p w:rsidR="00000000" w:rsidRPr="001D17DC" w:rsidP="001D17DC">
            <w:pPr>
              <w:pStyle w:val="BodyText"/>
            </w:pPr>
            <w:r w:rsidRPr="001D17DC">
              <w:t>Work completion is documented and an appropriate person or persons notified in accordan</w:t>
            </w:r>
            <w:r w:rsidRPr="001D17DC">
              <w:t>ce with established procedures.</w:t>
            </w:r>
          </w:p>
        </w:tc>
      </w:tr>
    </w:tbl>
    <w:p w:rsidR="00C107A0" w:rsidP="001D17DC">
      <w:pPr>
        <w:pStyle w:val="BodyText"/>
      </w:pPr>
    </w:p>
    <w:p w:rsidR="00C107A0" w:rsidP="001D17DC">
      <w:pPr>
        <w:pStyle w:val="BodyText"/>
      </w:pPr>
    </w:p>
    <w:p w:rsidR="00000000" w:rsidRPr="001D17DC" w:rsidP="001D17DC">
      <w:pPr>
        <w:pStyle w:val="Heading1"/>
      </w:pPr>
      <w:bookmarkStart w:id="9" w:name="O_263200"/>
      <w:bookmarkEnd w:id="9"/>
      <w:r w:rsidRPr="001D17DC">
        <w:t>Required Skills and Knowledge</w:t>
      </w:r>
    </w:p>
    <w:tbl>
      <w:tblPr>
        <w:tblW w:w="0" w:type="auto"/>
        <w:tblLayout w:type="fixed"/>
        <w:tblCellMar>
          <w:left w:w="62" w:type="dxa"/>
          <w:right w:w="62" w:type="dxa"/>
        </w:tblCellMar>
        <w:tblLook w:val="0000"/>
      </w:tblPr>
      <w:tblGrid>
        <w:gridCol w:w="2700"/>
        <w:gridCol w:w="1080"/>
        <w:gridCol w:w="4680"/>
      </w:tblGrid>
      <w:tr w:rsidTr="00C107A0">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1D17DC">
            <w:pPr>
              <w:pStyle w:val="BodyText"/>
              <w:rPr>
                <w:lang w:val="en-NZ"/>
              </w:rPr>
            </w:pPr>
            <w:r w:rsidRPr="001D17DC">
              <w:rPr>
                <w:rStyle w:val="SpecialBold"/>
              </w:rPr>
              <w:t>REQUIRED SKILLS AND KNOWLEDGE</w:t>
            </w:r>
          </w:p>
        </w:tc>
      </w:tr>
      <w:tr w:rsidTr="00C107A0">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1D17DC">
            <w:pPr>
              <w:pStyle w:val="BodyText"/>
              <w:rPr>
                <w:lang w:val="en-NZ"/>
              </w:rPr>
            </w:pPr>
            <w:r w:rsidRPr="001D17DC">
              <w:rPr>
                <w:rStyle w:val="SpecialBold"/>
              </w:rPr>
              <w:t>7</w:t>
            </w:r>
            <w:r w:rsidRPr="001D17DC">
              <w:t>) This describes the essential skills and knowledge and their level, required for this unit.</w:t>
            </w:r>
          </w:p>
        </w:tc>
      </w:tr>
      <w:tr w:rsidTr="00C107A0">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1D17DC" w:rsidP="001D17DC">
            <w:pPr>
              <w:pStyle w:val="BodyText"/>
            </w:pPr>
            <w:r w:rsidRPr="001D17DC">
              <w:t>Evidence shall show that knowledge has been acquired of safe working practices and troubleshooting digital subsystems.</w:t>
            </w:r>
          </w:p>
          <w:p w:rsidR="00000000" w:rsidRPr="001D17DC" w:rsidP="001D17DC">
            <w:pPr>
              <w:pStyle w:val="BodyText"/>
            </w:pPr>
            <w:r w:rsidRPr="001D17DC">
              <w:t>All knowledge and skills detailed in this unit should be contextualised to current industry practices and technologies.</w:t>
            </w:r>
          </w:p>
          <w:p w:rsidR="00000000" w:rsidP="001D17DC">
            <w:pPr>
              <w:pStyle w:val="BodyText"/>
              <w:rPr>
                <w:lang w:val="en-NZ"/>
              </w:rPr>
            </w:pPr>
            <w:r w:rsidRPr="001D17DC">
              <w:t>The extent of the</w:t>
            </w:r>
            <w:r w:rsidRPr="001D17DC">
              <w:t xml:space="preserve"> essential knowledge and associated skills (EKAS) required is given in Volume 2 - Part 2.2 EKAS.  It forms an integral part of this unit.</w:t>
            </w:r>
          </w:p>
        </w:tc>
      </w:tr>
      <w:tr w:rsidTr="00C107A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D17DC">
            <w:pPr>
              <w:pStyle w:val="BodyText"/>
              <w:rPr>
                <w:lang w:val="en-NZ"/>
              </w:rPr>
            </w:pPr>
            <w:r w:rsidRPr="001D17DC">
              <w:t>2.9.4.1</w:t>
            </w:r>
          </w:p>
        </w:tc>
        <w:tc>
          <w:tcPr>
            <w:tcW w:w="4680" w:type="dxa"/>
            <w:tcBorders>
              <w:top w:val="nil"/>
              <w:left w:val="nil"/>
              <w:bottom w:val="nil"/>
              <w:right w:val="nil"/>
            </w:tcBorders>
            <w:tcMar>
              <w:top w:w="0" w:type="dxa"/>
              <w:left w:w="62" w:type="dxa"/>
              <w:bottom w:w="0" w:type="dxa"/>
              <w:right w:w="62" w:type="dxa"/>
            </w:tcMar>
          </w:tcPr>
          <w:p w:rsidR="00000000" w:rsidP="001D17DC">
            <w:pPr>
              <w:pStyle w:val="BodyText"/>
              <w:rPr>
                <w:lang w:val="en-NZ"/>
              </w:rPr>
            </w:pPr>
            <w:r w:rsidRPr="001D17DC">
              <w:t>Digital electronic fundamentals</w:t>
            </w:r>
          </w:p>
        </w:tc>
      </w:tr>
      <w:tr w:rsidTr="00C107A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D17DC">
            <w:pPr>
              <w:pStyle w:val="BodyText"/>
              <w:rPr>
                <w:lang w:val="en-NZ"/>
              </w:rPr>
            </w:pPr>
            <w:r w:rsidRPr="001D17DC">
              <w:t>2.9.12</w:t>
            </w:r>
          </w:p>
        </w:tc>
        <w:tc>
          <w:tcPr>
            <w:tcW w:w="4680" w:type="dxa"/>
            <w:tcBorders>
              <w:top w:val="nil"/>
              <w:left w:val="nil"/>
              <w:bottom w:val="nil"/>
              <w:right w:val="nil"/>
            </w:tcBorders>
            <w:tcMar>
              <w:top w:w="0" w:type="dxa"/>
              <w:left w:w="62" w:type="dxa"/>
              <w:bottom w:w="0" w:type="dxa"/>
              <w:right w:w="62" w:type="dxa"/>
            </w:tcMar>
          </w:tcPr>
          <w:p w:rsidR="00000000" w:rsidP="001D17DC">
            <w:pPr>
              <w:pStyle w:val="BodyText"/>
              <w:rPr>
                <w:lang w:val="en-NZ"/>
              </w:rPr>
            </w:pPr>
            <w:r w:rsidRPr="001D17DC">
              <w:t>Electronic fault finding</w:t>
            </w:r>
          </w:p>
        </w:tc>
      </w:tr>
      <w:tr w:rsidTr="00C107A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D17DC">
            <w:pPr>
              <w:pStyle w:val="BodyText"/>
              <w:rPr>
                <w:lang w:val="en-NZ"/>
              </w:rPr>
            </w:pPr>
            <w:r w:rsidRPr="001D17DC">
              <w:t>2.11.7.1</w:t>
            </w:r>
          </w:p>
        </w:tc>
        <w:tc>
          <w:tcPr>
            <w:tcW w:w="4680" w:type="dxa"/>
            <w:tcBorders>
              <w:top w:val="nil"/>
              <w:left w:val="nil"/>
              <w:bottom w:val="nil"/>
              <w:right w:val="nil"/>
            </w:tcBorders>
            <w:tcMar>
              <w:top w:w="0" w:type="dxa"/>
              <w:left w:w="62" w:type="dxa"/>
              <w:bottom w:w="0" w:type="dxa"/>
              <w:right w:w="62" w:type="dxa"/>
            </w:tcMar>
          </w:tcPr>
          <w:p w:rsidR="00000000" w:rsidP="001D17DC">
            <w:pPr>
              <w:pStyle w:val="BodyText"/>
              <w:rPr>
                <w:lang w:val="en-NZ"/>
              </w:rPr>
            </w:pPr>
            <w:r w:rsidRPr="001D17DC">
              <w:t>Electronic testing and measuring devices and techniques</w:t>
            </w:r>
          </w:p>
        </w:tc>
      </w:tr>
      <w:tr w:rsidTr="00C107A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P="001D17DC">
            <w:pPr>
              <w:pStyle w:val="BodyText"/>
              <w:rPr>
                <w:lang w:val="en-NZ"/>
              </w:rPr>
            </w:pPr>
          </w:p>
        </w:tc>
      </w:tr>
      <w:tr w:rsidTr="00C107A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RPr="001D17DC" w:rsidP="001D17DC">
            <w:pPr>
              <w:pStyle w:val="BodyText"/>
            </w:pPr>
          </w:p>
        </w:tc>
      </w:tr>
    </w:tbl>
    <w:p w:rsidR="00C107A0" w:rsidP="001D17DC">
      <w:pPr>
        <w:pStyle w:val="BodyText"/>
      </w:pPr>
    </w:p>
    <w:p w:rsidR="00C107A0" w:rsidP="001D17DC">
      <w:pPr>
        <w:pStyle w:val="BodyText"/>
      </w:pPr>
    </w:p>
    <w:p w:rsidR="00000000" w:rsidRPr="001D17DC" w:rsidP="001D17DC">
      <w:pPr>
        <w:pStyle w:val="Heading1"/>
      </w:pPr>
      <w:bookmarkStart w:id="10" w:name="O_247393"/>
      <w:bookmarkEnd w:id="10"/>
      <w:r w:rsidRPr="001D17DC">
        <w:t>Evidence Guide</w:t>
      </w:r>
    </w:p>
    <w:tbl>
      <w:tblPr>
        <w:tblW w:w="0" w:type="auto"/>
        <w:tblLayout w:type="fixed"/>
        <w:tblCellMar>
          <w:left w:w="62" w:type="dxa"/>
          <w:right w:w="62" w:type="dxa"/>
        </w:tblCellMar>
        <w:tblLook w:val="0000"/>
      </w:tblPr>
      <w:tblGrid>
        <w:gridCol w:w="2160"/>
        <w:gridCol w:w="720"/>
        <w:gridCol w:w="540"/>
        <w:gridCol w:w="720"/>
        <w:gridCol w:w="4320"/>
      </w:tblGrid>
      <w:tr w:rsidTr="00C107A0">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1D17DC">
            <w:pPr>
              <w:pStyle w:val="BodyText"/>
              <w:rPr>
                <w:lang w:val="en-NZ"/>
              </w:rPr>
            </w:pPr>
            <w:r w:rsidRPr="001D17DC">
              <w:rPr>
                <w:rStyle w:val="SpecialBold"/>
              </w:rPr>
              <w:t>EVIDENCE GUIDE</w:t>
            </w:r>
          </w:p>
        </w:tc>
      </w:tr>
      <w:tr w:rsidTr="00C107A0">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1D17DC" w:rsidP="001D17DC">
            <w:pPr>
              <w:pStyle w:val="BodyText"/>
            </w:pPr>
            <w:r w:rsidRPr="001D17DC">
              <w:rPr>
                <w:rStyle w:val="SpecialBold"/>
              </w:rPr>
              <w:t>9</w:t>
            </w:r>
            <w:r w:rsidRPr="001D17DC">
              <w:t xml:space="preserve">) The evidence guide provides advice on assessment and must be read in conjunction with the Performance </w:t>
            </w:r>
            <w:r w:rsidRPr="001D17DC">
              <w:t>Criteria, Required Skills and Knowledge, the Range Statement and the Assessment Guidelines for this Training Package. .</w:t>
            </w:r>
          </w:p>
          <w:p w:rsidR="00000000" w:rsidP="001D17DC">
            <w:pPr>
              <w:pStyle w:val="BodyText"/>
              <w:rPr>
                <w:lang w:val="en-NZ"/>
              </w:rPr>
            </w:pPr>
            <w:r w:rsidRPr="001D17DC">
              <w:t>The Evidence Guide forms an integral part of this unit. It must be used in conjunction with all parts of the unit and performed in accor</w:t>
            </w:r>
            <w:r w:rsidRPr="001D17DC">
              <w:t>dance with the Assessment Guidelines of this Training Package.</w:t>
            </w:r>
          </w:p>
        </w:tc>
      </w:tr>
      <w:tr w:rsidTr="00C107A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D17DC" w:rsidP="001D17DC">
            <w:pPr>
              <w:pStyle w:val="BodyText"/>
            </w:pPr>
            <w:r w:rsidRPr="001D17DC">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1D17DC" w:rsidP="001D17DC">
            <w:pPr>
              <w:pStyle w:val="BodyText"/>
            </w:pPr>
            <w:r w:rsidRPr="001D17DC">
              <w:rPr>
                <w:rStyle w:val="SpecialBold"/>
              </w:rPr>
              <w:t>9</w:t>
            </w:r>
            <w:r w:rsidRPr="001D17DC">
              <w:t>.</w:t>
            </w:r>
            <w:r w:rsidRPr="001D17DC">
              <w:rPr>
                <w:rStyle w:val="SpecialBold"/>
              </w:rPr>
              <w:t>1</w:t>
            </w:r>
            <w:r w:rsidRPr="001D17DC">
              <w:t xml:space="preserve">) </w:t>
            </w:r>
          </w:p>
          <w:p w:rsidR="00000000" w:rsidRPr="001D17DC" w:rsidP="001D17DC">
            <w:pPr>
              <w:pStyle w:val="BodyText"/>
            </w:pPr>
            <w:r w:rsidRPr="001D17DC">
              <w:t>Longitudinal competency development approaches to assessment, su</w:t>
            </w:r>
            <w:r w:rsidRPr="001D17DC">
              <w:t>ch as Profiling, require data to be reliably gathered in a form that can be consistently interpreted over time. This approach is best utilised in Apprenticeship programs and reduces assessment intervention. It is the Industry-preferred model for apprentice</w:t>
            </w:r>
            <w:r w:rsidRPr="001D17DC">
              <w:t>ships. However, where summative (or final) assessment is used it must include the application of the competency in the normal work environment or, at a minimum, the application of the competency in a realistically simulated work environment. It is recognis</w:t>
            </w:r>
            <w:r w:rsidRPr="001D17DC">
              <w:t>ed that, in some circumstances, assessment in part or full can occur outside the workplace. However, it must be in accord with industry and regulatory policy.</w:t>
            </w:r>
          </w:p>
          <w:p w:rsidR="00000000" w:rsidRPr="001D17DC" w:rsidP="001D17DC">
            <w:pPr>
              <w:pStyle w:val="BodyText"/>
            </w:pPr>
            <w:r w:rsidRPr="001D17DC">
              <w:t>Methods chosen for a particular assessment will be influenced by various factors. These include t</w:t>
            </w:r>
            <w:r w:rsidRPr="001D17DC">
              <w:t>he extent of the assessment, the most effective locations for the assessment activities to take place, access to physical resources, additional safety measures that may be required and the critical nature of the competencies being assessed.</w:t>
            </w:r>
          </w:p>
          <w:p w:rsidR="00000000" w:rsidRPr="001D17DC" w:rsidP="001D17DC">
            <w:pPr>
              <w:pStyle w:val="BodyText"/>
            </w:pPr>
            <w:r w:rsidRPr="001D17DC">
              <w:t>The critical sa</w:t>
            </w:r>
            <w:r w:rsidRPr="001D17DC">
              <w:t>fety nature of working with electricity, electrical equipment, gas or any other hazardous substance/material carries risk in deeming a person competent. Sources of evidence need to be 'rich' in nature to minimise error in judgment.</w:t>
            </w:r>
          </w:p>
          <w:p w:rsidR="00000000" w:rsidP="001D17DC">
            <w:pPr>
              <w:pStyle w:val="BodyText"/>
              <w:rPr>
                <w:lang w:val="en-NZ"/>
              </w:rPr>
            </w:pPr>
            <w:r w:rsidRPr="001D17DC">
              <w:t>Activities associated wi</w:t>
            </w:r>
            <w:r w:rsidRPr="001D17DC">
              <w:t>th normal everyday work influence decisions about how/how much the data gathered will contribute to its 'richness'. Some skills are more critical to safety and operational requirements while the same skills may be more or less frequently practised. These p</w:t>
            </w:r>
            <w:r w:rsidRPr="001D17DC">
              <w:t>oints are raised for the assessors to consider when choosing an assessment method and developing assessment instruments. Sample assessment instruments are included for Assessors in the Assessment Guidelines of this Training Package.</w:t>
            </w:r>
          </w:p>
        </w:tc>
      </w:tr>
      <w:tr w:rsidTr="00C107A0">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1D17DC" w:rsidP="001D17DC">
            <w:pPr>
              <w:pStyle w:val="BodyText"/>
            </w:pPr>
            <w:r w:rsidRPr="001D17DC">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1D17DC" w:rsidP="001D17DC">
            <w:pPr>
              <w:pStyle w:val="BodyText"/>
            </w:pPr>
            <w:r w:rsidRPr="001D17DC">
              <w:rPr>
                <w:rStyle w:val="SpecialBold"/>
              </w:rPr>
              <w:t>9</w:t>
            </w:r>
            <w:r w:rsidRPr="001D17DC">
              <w:t>.</w:t>
            </w:r>
            <w:r w:rsidRPr="001D17DC">
              <w:rPr>
                <w:rStyle w:val="SpecialBold"/>
              </w:rPr>
              <w:t>2</w:t>
            </w:r>
            <w:r w:rsidRPr="001D17DC">
              <w:t xml:space="preserve">) </w:t>
            </w:r>
          </w:p>
          <w:p w:rsidR="00000000" w:rsidP="001D17DC">
            <w:pPr>
              <w:pStyle w:val="BodyText"/>
              <w:rPr>
                <w:lang w:val="en-NZ"/>
              </w:rPr>
            </w:pPr>
            <w:r w:rsidRPr="001D17DC">
              <w:t>Before the critical aspects of evidence are considered all prerequisites shall be met.</w:t>
            </w:r>
          </w:p>
        </w:tc>
      </w:tr>
      <w:tr w:rsidTr="00C107A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1D17DC" w:rsidP="001D17DC">
            <w:pPr>
              <w:pStyle w:val="BodyText"/>
            </w:pPr>
            <w:r w:rsidRPr="001D17DC">
              <w:t>Evidence for competence in this unit shall be considered holistically.  Each Elem</w:t>
            </w:r>
            <w:r w:rsidRPr="001D17DC">
              <w:t>ent and associated performance criteria shall be demonstrated on at least two occasions in accordance with the 'Assessment Guidelines - UEE07'.  Evidence shall also comprise:</w:t>
            </w:r>
          </w:p>
          <w:p w:rsidR="00000000" w:rsidP="001D17DC">
            <w:pPr>
              <w:pStyle w:val="ListBullet"/>
              <w:rPr>
                <w:lang w:val="en-NZ"/>
              </w:rPr>
            </w:pPr>
            <w:r w:rsidRPr="001D17DC">
              <w:t>A representative body of work performance demonstrated within the timeframes typ</w:t>
            </w:r>
            <w:r w:rsidRPr="001D17DC">
              <w:t>ically expected of the discipline, work function and industrial environment. In particular this shall incorporate evidence that shows a candidate is able to:</w:t>
            </w:r>
          </w:p>
        </w:tc>
      </w:tr>
      <w:tr w:rsidTr="00C107A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D17DC">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1D17DC" w:rsidP="001D17DC">
            <w:pPr>
              <w:pStyle w:val="ListBullet2"/>
            </w:pPr>
            <w:r w:rsidRPr="001D17DC">
              <w:t xml:space="preserve">Implement Occupational Health and Safety workplace procedures and practices, including </w:t>
            </w:r>
            <w:r w:rsidRPr="001D17DC">
              <w:t>the use of risk control measures as specified in the performance criteria and range statement</w:t>
            </w:r>
          </w:p>
          <w:p w:rsidR="00000000" w:rsidRPr="001D17DC" w:rsidP="001D17DC">
            <w:pPr>
              <w:pStyle w:val="ListBullet2"/>
            </w:pPr>
            <w:r w:rsidRPr="001D17DC">
              <w:t>Apply sustainable energy principles and practices as specified in the performance criteria and range statement</w:t>
            </w:r>
          </w:p>
          <w:p w:rsidR="00000000" w:rsidRPr="001D17DC" w:rsidP="001D17DC">
            <w:pPr>
              <w:pStyle w:val="ListBullet2"/>
            </w:pPr>
            <w:r w:rsidRPr="001D17DC">
              <w:t>Demonstrate an understanding of the essential knowledge and associated skills as described in this unit. .  It may be required by some jurisdictions that RTOs provide a percentile graded result for the purpose of regulatory or licensing requirements.</w:t>
            </w:r>
          </w:p>
          <w:p w:rsidR="00000000" w:rsidRPr="001D17DC" w:rsidP="001D17DC">
            <w:pPr>
              <w:pStyle w:val="ListBullet2"/>
            </w:pPr>
            <w:r w:rsidRPr="001D17DC">
              <w:t>Demon</w:t>
            </w:r>
            <w:r w:rsidRPr="001D17DC">
              <w:t>strate an appropriate level of skills enabling employment</w:t>
            </w:r>
          </w:p>
          <w:p w:rsidR="00000000" w:rsidP="001D17DC">
            <w:pPr>
              <w:pStyle w:val="ListBullet2"/>
              <w:rPr>
                <w:lang w:val="en-NZ"/>
              </w:rPr>
            </w:pPr>
            <w:r w:rsidRPr="001D17DC">
              <w:t>Conduct work observing the relevant Anti Discrimination legislation, regulations, polices and workplace procedures</w:t>
            </w:r>
          </w:p>
        </w:tc>
      </w:tr>
      <w:tr w:rsidTr="00C107A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D17DC">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1D17DC">
            <w:pPr>
              <w:pStyle w:val="ListBullet"/>
              <w:rPr>
                <w:lang w:val="en-NZ"/>
              </w:rPr>
            </w:pPr>
            <w:r w:rsidRPr="001D17DC">
              <w:t>Demonstrated consistent performance across a representative range of contexts</w:t>
            </w:r>
            <w:r w:rsidRPr="001D17DC">
              <w:t xml:space="preserve"> from the prescribed items below:</w:t>
            </w:r>
          </w:p>
        </w:tc>
      </w:tr>
      <w:tr w:rsidTr="00C107A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D17DC">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1D17DC">
            <w:pPr>
              <w:pStyle w:val="ListBullet2"/>
              <w:rPr>
                <w:lang w:val="en-NZ"/>
              </w:rPr>
            </w:pPr>
            <w:r w:rsidRPr="001D17DC">
              <w:t>Troubleshoot digital subsystems as described in 8) and including:</w:t>
            </w:r>
          </w:p>
        </w:tc>
      </w:tr>
      <w:tr w:rsidTr="00C107A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D17DC">
            <w:pPr>
              <w:pStyle w:val="BodyText"/>
              <w:rPr>
                <w:lang w:val="en-NZ"/>
              </w:rPr>
            </w:pPr>
            <w:r w:rsidRPr="001D17DC">
              <w:t>A</w:t>
            </w:r>
          </w:p>
        </w:tc>
        <w:tc>
          <w:tcPr>
            <w:tcW w:w="5040" w:type="dxa"/>
            <w:gridSpan w:val="2"/>
            <w:tcBorders>
              <w:top w:val="nil"/>
              <w:left w:val="nil"/>
              <w:bottom w:val="nil"/>
              <w:right w:val="nil"/>
            </w:tcBorders>
            <w:tcMar>
              <w:top w:w="0" w:type="dxa"/>
              <w:left w:w="62" w:type="dxa"/>
              <w:bottom w:w="0" w:type="dxa"/>
              <w:right w:w="62" w:type="dxa"/>
            </w:tcMar>
          </w:tcPr>
          <w:p w:rsidR="00000000" w:rsidP="001D17DC">
            <w:pPr>
              <w:pStyle w:val="BodyText"/>
              <w:rPr>
                <w:lang w:val="en-NZ"/>
              </w:rPr>
            </w:pPr>
            <w:r w:rsidRPr="001D17DC">
              <w:t>Using methodical problem solving methods.</w:t>
            </w:r>
          </w:p>
        </w:tc>
      </w:tr>
      <w:tr w:rsidTr="00C107A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D17DC">
            <w:pPr>
              <w:pStyle w:val="BodyText"/>
              <w:rPr>
                <w:lang w:val="en-NZ"/>
              </w:rPr>
            </w:pPr>
            <w:r w:rsidRPr="001D17DC">
              <w:t>B</w:t>
            </w:r>
          </w:p>
        </w:tc>
        <w:tc>
          <w:tcPr>
            <w:tcW w:w="5040" w:type="dxa"/>
            <w:gridSpan w:val="2"/>
            <w:tcBorders>
              <w:top w:val="nil"/>
              <w:left w:val="nil"/>
              <w:bottom w:val="nil"/>
              <w:right w:val="nil"/>
            </w:tcBorders>
            <w:tcMar>
              <w:top w:w="0" w:type="dxa"/>
              <w:left w:w="62" w:type="dxa"/>
              <w:bottom w:w="0" w:type="dxa"/>
              <w:right w:w="62" w:type="dxa"/>
            </w:tcMar>
          </w:tcPr>
          <w:p w:rsidR="00000000" w:rsidP="001D17DC">
            <w:pPr>
              <w:pStyle w:val="BodyText"/>
              <w:rPr>
                <w:lang w:val="en-NZ"/>
              </w:rPr>
            </w:pPr>
            <w:r w:rsidRPr="001D17DC">
              <w:t>Taking measurements correctly and accurately.</w:t>
            </w:r>
          </w:p>
        </w:tc>
      </w:tr>
      <w:tr w:rsidTr="00C107A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D17DC">
            <w:pPr>
              <w:pStyle w:val="BodyText"/>
              <w:rPr>
                <w:lang w:val="en-NZ"/>
              </w:rPr>
            </w:pPr>
            <w:r w:rsidRPr="001D17DC">
              <w:t>C</w:t>
            </w:r>
          </w:p>
        </w:tc>
        <w:tc>
          <w:tcPr>
            <w:tcW w:w="5040" w:type="dxa"/>
            <w:gridSpan w:val="2"/>
            <w:tcBorders>
              <w:top w:val="nil"/>
              <w:left w:val="nil"/>
              <w:bottom w:val="nil"/>
              <w:right w:val="nil"/>
            </w:tcBorders>
            <w:tcMar>
              <w:top w:w="0" w:type="dxa"/>
              <w:left w:w="62" w:type="dxa"/>
              <w:bottom w:w="0" w:type="dxa"/>
              <w:right w:w="62" w:type="dxa"/>
            </w:tcMar>
          </w:tcPr>
          <w:p w:rsidR="00000000" w:rsidP="001D17DC">
            <w:pPr>
              <w:pStyle w:val="BodyText"/>
              <w:rPr>
                <w:lang w:val="en-NZ"/>
              </w:rPr>
            </w:pPr>
            <w:r w:rsidRPr="001D17DC">
              <w:t>Calculating parameters correctly and accurately.</w:t>
            </w:r>
          </w:p>
        </w:tc>
      </w:tr>
      <w:tr w:rsidTr="00C107A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D17DC">
            <w:pPr>
              <w:pStyle w:val="BodyText"/>
              <w:rPr>
                <w:lang w:val="en-NZ"/>
              </w:rPr>
            </w:pPr>
            <w:r w:rsidRPr="001D17DC">
              <w:t>D</w:t>
            </w:r>
          </w:p>
        </w:tc>
        <w:tc>
          <w:tcPr>
            <w:tcW w:w="5040" w:type="dxa"/>
            <w:gridSpan w:val="2"/>
            <w:tcBorders>
              <w:top w:val="nil"/>
              <w:left w:val="nil"/>
              <w:bottom w:val="nil"/>
              <w:right w:val="nil"/>
            </w:tcBorders>
            <w:tcMar>
              <w:top w:w="0" w:type="dxa"/>
              <w:left w:w="62" w:type="dxa"/>
              <w:bottom w:w="0" w:type="dxa"/>
              <w:right w:w="62" w:type="dxa"/>
            </w:tcMar>
          </w:tcPr>
          <w:p w:rsidR="00000000" w:rsidP="001D17DC">
            <w:pPr>
              <w:pStyle w:val="BodyText"/>
              <w:rPr>
                <w:lang w:val="en-NZ"/>
              </w:rPr>
            </w:pPr>
            <w:r w:rsidRPr="001D17DC">
              <w:t>Providing solution to digital component/circuit problems.</w:t>
            </w:r>
          </w:p>
        </w:tc>
      </w:tr>
      <w:tr w:rsidTr="00C107A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D17DC">
            <w:pPr>
              <w:pStyle w:val="BodyText"/>
              <w:rPr>
                <w:lang w:val="en-NZ"/>
              </w:rPr>
            </w:pPr>
            <w:r w:rsidRPr="001D17DC">
              <w:t>E</w:t>
            </w:r>
          </w:p>
        </w:tc>
        <w:tc>
          <w:tcPr>
            <w:tcW w:w="5040" w:type="dxa"/>
            <w:gridSpan w:val="2"/>
            <w:tcBorders>
              <w:top w:val="nil"/>
              <w:left w:val="nil"/>
              <w:bottom w:val="nil"/>
              <w:right w:val="nil"/>
            </w:tcBorders>
            <w:tcMar>
              <w:top w:w="0" w:type="dxa"/>
              <w:left w:w="62" w:type="dxa"/>
              <w:bottom w:w="0" w:type="dxa"/>
              <w:right w:w="62" w:type="dxa"/>
            </w:tcMar>
          </w:tcPr>
          <w:p w:rsidR="00000000" w:rsidP="001D17DC">
            <w:pPr>
              <w:pStyle w:val="BodyText"/>
              <w:rPr>
                <w:lang w:val="en-NZ"/>
              </w:rPr>
            </w:pPr>
            <w:r w:rsidRPr="001D17DC">
              <w:t>Providing written justification for the solutions to problems.</w:t>
            </w:r>
          </w:p>
        </w:tc>
      </w:tr>
      <w:tr w:rsidTr="00C107A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D17DC">
            <w:pPr>
              <w:pStyle w:val="BodyText"/>
              <w:rPr>
                <w:lang w:val="en-NZ"/>
              </w:rPr>
            </w:pPr>
            <w:r w:rsidRPr="001D17DC">
              <w:t>F</w:t>
            </w:r>
          </w:p>
        </w:tc>
        <w:tc>
          <w:tcPr>
            <w:tcW w:w="5040" w:type="dxa"/>
            <w:gridSpan w:val="2"/>
            <w:tcBorders>
              <w:top w:val="nil"/>
              <w:left w:val="nil"/>
              <w:bottom w:val="nil"/>
              <w:right w:val="nil"/>
            </w:tcBorders>
            <w:tcMar>
              <w:top w:w="0" w:type="dxa"/>
              <w:left w:w="62" w:type="dxa"/>
              <w:bottom w:w="0" w:type="dxa"/>
              <w:right w:w="62" w:type="dxa"/>
            </w:tcMar>
          </w:tcPr>
          <w:p w:rsidR="00000000" w:rsidP="001D17DC">
            <w:pPr>
              <w:pStyle w:val="BodyText"/>
              <w:rPr>
                <w:lang w:val="en-NZ"/>
              </w:rPr>
            </w:pPr>
            <w:r w:rsidRPr="001D17DC">
              <w:t>Dealing with unplanned events by drawing on essential knowledge and skills to provide appropriate solutions incorporated in a holistic assessment with the above listed items.</w:t>
            </w:r>
          </w:p>
        </w:tc>
      </w:tr>
      <w:tr w:rsidTr="00C107A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1D17DC">
            <w:pPr>
              <w:pStyle w:val="BodyText"/>
              <w:rPr>
                <w:lang w:val="en-NZ"/>
              </w:rPr>
            </w:pPr>
            <w:r w:rsidRPr="001D17DC">
              <w:t>Note:</w:t>
            </w:r>
            <w:r w:rsidRPr="001D17DC">
              <w:br/>
              <w:t>Successful completion of relevant vendor training may be used to contrib</w:t>
            </w:r>
            <w:r w:rsidRPr="001D17DC">
              <w:t>ute to evidence on which competency is deemed. In these cases the alignment of outcomes of vendor training with performance criteria and critical aspects of evidence shall be clearly identified.</w:t>
            </w:r>
          </w:p>
        </w:tc>
      </w:tr>
      <w:tr w:rsidTr="00C107A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D17DC" w:rsidP="001D17DC">
            <w:pPr>
              <w:pStyle w:val="BodyText"/>
            </w:pPr>
            <w:r w:rsidRPr="001D17DC">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1D17DC" w:rsidP="001D17DC">
            <w:pPr>
              <w:pStyle w:val="BodyText"/>
            </w:pPr>
            <w:r w:rsidRPr="001D17DC">
              <w:rPr>
                <w:rStyle w:val="SpecialBold"/>
              </w:rPr>
              <w:t>9</w:t>
            </w:r>
            <w:r w:rsidRPr="001D17DC">
              <w:t>.</w:t>
            </w:r>
            <w:r w:rsidRPr="001D17DC">
              <w:rPr>
                <w:rStyle w:val="SpecialBold"/>
              </w:rPr>
              <w:t>3</w:t>
            </w:r>
            <w:r w:rsidRPr="001D17DC">
              <w:t xml:space="preserve">) </w:t>
            </w:r>
          </w:p>
          <w:p w:rsidR="00000000" w:rsidRPr="001D17DC" w:rsidP="001D17DC">
            <w:pPr>
              <w:pStyle w:val="BodyText"/>
            </w:pPr>
            <w:r w:rsidRPr="001D17DC">
              <w:t>This unit should be assessed as it relates to normal work practice using procedures, information and resources typical of a workplace. This should include:</w:t>
            </w:r>
          </w:p>
          <w:p w:rsidR="00000000" w:rsidRPr="001D17DC" w:rsidP="001D17DC">
            <w:pPr>
              <w:pStyle w:val="ListBullet"/>
            </w:pPr>
            <w:r w:rsidRPr="001D17DC">
              <w:t>OHS policy and work procedures and instructions.</w:t>
            </w:r>
          </w:p>
          <w:p w:rsidR="00000000" w:rsidRPr="001D17DC" w:rsidP="001D17DC">
            <w:pPr>
              <w:pStyle w:val="ListBullet"/>
            </w:pPr>
            <w:r w:rsidRPr="001D17DC">
              <w:t>Suitable work environment, facilities, equipment a</w:t>
            </w:r>
            <w:r w:rsidRPr="001D17DC">
              <w:t>nd materials to undertake actual work as prescribed by this unit.</w:t>
            </w:r>
          </w:p>
          <w:p w:rsidR="00000000" w:rsidRPr="001D17DC" w:rsidP="001D17DC">
            <w:pPr>
              <w:pStyle w:val="BodyText"/>
            </w:pPr>
            <w:r w:rsidRPr="001D17DC">
              <w:t>These should be part of the formal learning/assessment environment.</w:t>
            </w:r>
          </w:p>
          <w:p w:rsidR="00000000" w:rsidRPr="001D17DC" w:rsidP="001D17DC">
            <w:pPr>
              <w:pStyle w:val="BodyText"/>
            </w:pPr>
            <w:r w:rsidRPr="001D17DC">
              <w:t>Note:</w:t>
            </w:r>
          </w:p>
          <w:p w:rsidR="00000000" w:rsidP="001D17DC">
            <w:pPr>
              <w:pStyle w:val="BodyText"/>
              <w:rPr>
                <w:lang w:val="en-NZ"/>
              </w:rPr>
            </w:pPr>
            <w:r w:rsidRPr="001D17DC">
              <w:t>Where simulation is considered a suitable strategy for assessment, conditions must be authentic and as far as possib</w:t>
            </w:r>
            <w:r w:rsidRPr="001D17DC">
              <w:t>le reproduce and replicate the workplace and be consistent with the approved industry simulation policy.</w:t>
            </w:r>
          </w:p>
        </w:tc>
      </w:tr>
      <w:tr w:rsidTr="00C107A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D17DC" w:rsidP="001D17DC">
            <w:pPr>
              <w:pStyle w:val="BodyText"/>
            </w:pPr>
            <w:r w:rsidRPr="001D17DC">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1D17DC" w:rsidP="001D17DC">
            <w:pPr>
              <w:pStyle w:val="BodyText"/>
            </w:pPr>
            <w:r w:rsidRPr="001D17DC">
              <w:rPr>
                <w:rStyle w:val="SpecialBold"/>
              </w:rPr>
              <w:t>9</w:t>
            </w:r>
            <w:r w:rsidRPr="001D17DC">
              <w:t>.</w:t>
            </w:r>
            <w:r w:rsidRPr="001D17DC">
              <w:rPr>
                <w:rStyle w:val="SpecialBold"/>
              </w:rPr>
              <w:t>4</w:t>
            </w:r>
            <w:r w:rsidRPr="001D17DC">
              <w:t xml:space="preserve">) </w:t>
            </w:r>
          </w:p>
          <w:p w:rsidR="00000000" w:rsidRPr="001D17DC" w:rsidP="001D17DC">
            <w:pPr>
              <w:pStyle w:val="BodyText"/>
            </w:pPr>
            <w:r w:rsidRPr="001D17DC">
              <w:t>This unit shall be assessed by methods given in Volume 1, Part 3 'Assessment Guidelines'.</w:t>
            </w:r>
          </w:p>
          <w:p w:rsidR="00000000" w:rsidP="001D17DC">
            <w:pPr>
              <w:pStyle w:val="BodyText"/>
              <w:rPr>
                <w:lang w:val="en-NZ"/>
              </w:rPr>
            </w:pPr>
            <w:r w:rsidRPr="001D17DC">
              <w:t>Note:</w:t>
            </w:r>
            <w:r w:rsidRPr="001D17DC">
              <w:br/>
            </w:r>
            <w:r w:rsidRPr="001D17DC">
              <w:t>Competent performance with inherent safe working practices is expected in the industry to which this unit applies. This requires that the specified essential knowledge and associated skills are assessed in a structured environment which is primarily intend</w:t>
            </w:r>
            <w:r w:rsidRPr="001D17DC">
              <w:t>ed for learning/assessment and incorporates all necessary equipment and facilities for learners to develop and demonstrate the essential knowledge and skills described in this unit.</w:t>
            </w:r>
          </w:p>
        </w:tc>
      </w:tr>
      <w:tr w:rsidTr="00C107A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1D17DC">
            <w:pPr>
              <w:pStyle w:val="BodyText"/>
              <w:rPr>
                <w:lang w:val="en-NZ"/>
              </w:rPr>
            </w:pPr>
            <w:r w:rsidRPr="001D17DC">
              <w:t>The resources used for assessment should reflect current industry pra</w:t>
            </w:r>
            <w:r w:rsidRPr="001D17DC">
              <w:t>ctices in relation to troubleshooting digital subsystems.</w:t>
            </w:r>
          </w:p>
        </w:tc>
      </w:tr>
      <w:tr w:rsidTr="00C107A0">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1D17DC" w:rsidP="001D17DC">
            <w:pPr>
              <w:pStyle w:val="BodyText"/>
            </w:pPr>
            <w:r w:rsidRPr="001D17DC">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1D17DC">
            <w:pPr>
              <w:pStyle w:val="BodyText"/>
              <w:rPr>
                <w:lang w:val="en-NZ"/>
              </w:rPr>
            </w:pPr>
            <w:r w:rsidRPr="001D17DC">
              <w:rPr>
                <w:rStyle w:val="SpecialBold"/>
              </w:rPr>
              <w:t>9</w:t>
            </w:r>
            <w:r w:rsidRPr="001D17DC">
              <w:t>.</w:t>
            </w:r>
            <w:r w:rsidRPr="001D17DC">
              <w:rPr>
                <w:rStyle w:val="SpecialBold"/>
              </w:rPr>
              <w:t>5</w:t>
            </w:r>
            <w:r w:rsidRPr="001D17DC">
              <w:t>)</w:t>
            </w:r>
          </w:p>
        </w:tc>
      </w:tr>
      <w:tr w:rsidTr="00C107A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1D17DC">
            <w:pPr>
              <w:pStyle w:val="BodyText"/>
              <w:rPr>
                <w:lang w:val="en-NZ"/>
              </w:rPr>
            </w:pPr>
            <w:r w:rsidRPr="001D17DC">
              <w:t>For optimisation of training and assessment effort, competency development in this unit may be arranged concurrently with unit:</w:t>
            </w:r>
          </w:p>
        </w:tc>
      </w:tr>
      <w:tr w:rsidTr="00C107A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gridSpan w:val="3"/>
            <w:tcBorders>
              <w:top w:val="nil"/>
              <w:left w:val="nil"/>
              <w:bottom w:val="nil"/>
              <w:right w:val="nil"/>
            </w:tcBorders>
            <w:tcMar>
              <w:top w:w="0" w:type="dxa"/>
              <w:left w:w="62" w:type="dxa"/>
              <w:bottom w:w="0" w:type="dxa"/>
              <w:right w:w="62" w:type="dxa"/>
            </w:tcMar>
          </w:tcPr>
          <w:p w:rsidR="00000000" w:rsidP="001D17DC">
            <w:pPr>
              <w:pStyle w:val="BodyText"/>
              <w:rPr>
                <w:lang w:val="en-NZ"/>
              </w:rPr>
            </w:pPr>
            <w:r w:rsidRPr="001D17DC">
              <w:t>UEENEEH002B</w:t>
            </w:r>
          </w:p>
        </w:tc>
        <w:tc>
          <w:tcPr>
            <w:tcW w:w="4320" w:type="dxa"/>
            <w:tcBorders>
              <w:top w:val="nil"/>
              <w:left w:val="nil"/>
              <w:bottom w:val="nil"/>
              <w:right w:val="nil"/>
            </w:tcBorders>
            <w:tcMar>
              <w:top w:w="0" w:type="dxa"/>
              <w:left w:w="62" w:type="dxa"/>
              <w:bottom w:w="0" w:type="dxa"/>
              <w:right w:w="62" w:type="dxa"/>
            </w:tcMar>
          </w:tcPr>
          <w:p w:rsidR="00000000" w:rsidP="001D17DC">
            <w:pPr>
              <w:pStyle w:val="BodyText"/>
              <w:rPr>
                <w:lang w:val="en-NZ"/>
              </w:rPr>
            </w:pPr>
            <w:r w:rsidRPr="001D17DC">
              <w:t>Carry out basic repairs to electronic apparatus by replacement of components</w:t>
            </w:r>
          </w:p>
        </w:tc>
      </w:tr>
      <w:tr w:rsidTr="00C107A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gridSpan w:val="3"/>
            <w:tcBorders>
              <w:top w:val="nil"/>
              <w:left w:val="nil"/>
              <w:bottom w:val="nil"/>
              <w:right w:val="nil"/>
            </w:tcBorders>
            <w:tcMar>
              <w:top w:w="0" w:type="dxa"/>
              <w:left w:w="62" w:type="dxa"/>
              <w:bottom w:w="0" w:type="dxa"/>
              <w:right w:w="62" w:type="dxa"/>
            </w:tcMar>
          </w:tcPr>
          <w:p w:rsidR="00000000" w:rsidP="001D17DC">
            <w:pPr>
              <w:pStyle w:val="BodyText"/>
              <w:rPr>
                <w:lang w:val="en-NZ"/>
              </w:rPr>
            </w:pPr>
            <w:r w:rsidRPr="001D17DC">
              <w:t>UEENEEH016B</w:t>
            </w:r>
          </w:p>
        </w:tc>
        <w:tc>
          <w:tcPr>
            <w:tcW w:w="4320" w:type="dxa"/>
            <w:tcBorders>
              <w:top w:val="nil"/>
              <w:left w:val="nil"/>
              <w:bottom w:val="nil"/>
              <w:right w:val="nil"/>
            </w:tcBorders>
            <w:tcMar>
              <w:top w:w="0" w:type="dxa"/>
              <w:left w:w="62" w:type="dxa"/>
              <w:bottom w:w="0" w:type="dxa"/>
              <w:right w:w="62" w:type="dxa"/>
            </w:tcMar>
          </w:tcPr>
          <w:p w:rsidR="00000000" w:rsidP="001D17DC">
            <w:pPr>
              <w:pStyle w:val="BodyText"/>
              <w:rPr>
                <w:lang w:val="en-NZ"/>
              </w:rPr>
            </w:pPr>
            <w:r w:rsidRPr="001D17DC">
              <w:t>Find and repair faults in the microwave amplifier sections in electronic apparatus</w:t>
            </w:r>
          </w:p>
        </w:tc>
      </w:tr>
      <w:tr w:rsidTr="00C107A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gridSpan w:val="3"/>
            <w:tcBorders>
              <w:top w:val="nil"/>
              <w:left w:val="nil"/>
              <w:bottom w:val="nil"/>
              <w:right w:val="nil"/>
            </w:tcBorders>
            <w:tcMar>
              <w:top w:w="0" w:type="dxa"/>
              <w:left w:w="62" w:type="dxa"/>
              <w:bottom w:w="0" w:type="dxa"/>
              <w:right w:w="62" w:type="dxa"/>
            </w:tcMar>
          </w:tcPr>
          <w:p w:rsidR="00000000" w:rsidP="001D17DC">
            <w:pPr>
              <w:pStyle w:val="BodyText"/>
              <w:rPr>
                <w:lang w:val="en-NZ"/>
              </w:rPr>
            </w:pPr>
            <w:r w:rsidRPr="001D17DC">
              <w:t>UEENEEH039B</w:t>
            </w:r>
          </w:p>
        </w:tc>
        <w:tc>
          <w:tcPr>
            <w:tcW w:w="4320" w:type="dxa"/>
            <w:tcBorders>
              <w:top w:val="nil"/>
              <w:left w:val="nil"/>
              <w:bottom w:val="nil"/>
              <w:right w:val="nil"/>
            </w:tcBorders>
            <w:tcMar>
              <w:top w:w="0" w:type="dxa"/>
              <w:left w:w="62" w:type="dxa"/>
              <w:bottom w:w="0" w:type="dxa"/>
              <w:right w:w="62" w:type="dxa"/>
            </w:tcMar>
          </w:tcPr>
          <w:p w:rsidR="00000000" w:rsidP="001D17DC">
            <w:pPr>
              <w:pStyle w:val="BodyText"/>
              <w:rPr>
                <w:lang w:val="en-NZ"/>
              </w:rPr>
            </w:pPr>
            <w:r w:rsidRPr="001D17DC">
              <w:t>Troubleshoot basic amplifiers</w:t>
            </w:r>
          </w:p>
        </w:tc>
      </w:tr>
      <w:tr w:rsidTr="00C107A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1D17DC" w:rsidP="001D17DC">
            <w:pPr>
              <w:pStyle w:val="BodyText"/>
            </w:pPr>
            <w:r w:rsidRPr="001D17DC">
              <w:t>The critical aspects of occupational health and safety covered in unit UEENEEE001B and other discipline specific occupational health and safety units shall be incorporated in relation to this unit.</w:t>
            </w:r>
          </w:p>
        </w:tc>
      </w:tr>
    </w:tbl>
    <w:p w:rsidR="00C107A0" w:rsidP="001D17DC">
      <w:pPr>
        <w:pStyle w:val="BodyText"/>
      </w:pPr>
    </w:p>
    <w:p w:rsidR="00C107A0" w:rsidP="001D17DC">
      <w:pPr>
        <w:pStyle w:val="BodyText"/>
      </w:pPr>
    </w:p>
    <w:p w:rsidR="00000000" w:rsidRPr="001D17DC" w:rsidP="001D17DC">
      <w:pPr>
        <w:pStyle w:val="Heading1"/>
      </w:pPr>
      <w:bookmarkStart w:id="11" w:name="O_255376"/>
      <w:bookmarkEnd w:id="11"/>
      <w:r w:rsidRPr="001D17DC">
        <w:t>Range Statement</w:t>
      </w:r>
    </w:p>
    <w:tbl>
      <w:tblPr>
        <w:tblW w:w="0" w:type="auto"/>
        <w:tblLayout w:type="fixed"/>
        <w:tblCellMar>
          <w:left w:w="62" w:type="dxa"/>
          <w:right w:w="62" w:type="dxa"/>
        </w:tblCellMar>
        <w:tblLook w:val="0000"/>
      </w:tblPr>
      <w:tblGrid>
        <w:gridCol w:w="8460"/>
      </w:tblGrid>
      <w:tr w:rsidTr="00C107A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D17DC">
            <w:pPr>
              <w:pStyle w:val="BodyText"/>
              <w:rPr>
                <w:lang w:val="en-NZ"/>
              </w:rPr>
            </w:pPr>
            <w:r w:rsidRPr="001D17DC">
              <w:rPr>
                <w:rStyle w:val="SpecialBold"/>
              </w:rPr>
              <w:t>RANGE STATEMENT</w:t>
            </w:r>
          </w:p>
        </w:tc>
      </w:tr>
      <w:tr w:rsidTr="00C107A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D17DC" w:rsidP="001D17DC">
            <w:pPr>
              <w:pStyle w:val="BodyText"/>
            </w:pPr>
            <w:r w:rsidRPr="001D17DC">
              <w:rPr>
                <w:rStyle w:val="SpecialBold"/>
              </w:rPr>
              <w:t>8</w:t>
            </w:r>
            <w:r w:rsidRPr="001D17DC">
              <w:t>) This relates to the unit of competency as a whole providing the range of contexts and conditions to which the performance criteria apply. It allows for different work environments and situations that will affect performance.</w:t>
            </w:r>
          </w:p>
          <w:p w:rsidR="00000000" w:rsidRPr="001D17DC" w:rsidP="001D17DC">
            <w:pPr>
              <w:pStyle w:val="BodyText"/>
            </w:pPr>
            <w:r w:rsidRPr="001D17DC">
              <w:t>This competency standard un</w:t>
            </w:r>
            <w:r w:rsidRPr="001D17DC">
              <w:t xml:space="preserve">it shall be demonstrated in relation to troubleshooting a digital subsystem with at least three types of basic digital components/circuits or functions. </w:t>
            </w:r>
          </w:p>
          <w:p w:rsidR="00000000" w:rsidRPr="001D17DC" w:rsidP="001D17DC">
            <w:pPr>
              <w:pStyle w:val="BodyText"/>
            </w:pPr>
            <w:r w:rsidRPr="001D17DC">
              <w:t>The troubleshooting must be demonstrated on three types of faults.</w:t>
            </w:r>
          </w:p>
          <w:p w:rsidR="00000000" w:rsidP="001D17DC">
            <w:pPr>
              <w:pStyle w:val="BodyText"/>
              <w:rPr>
                <w:lang w:val="en-NZ"/>
              </w:rPr>
            </w:pPr>
            <w:r w:rsidRPr="001D17DC">
              <w:t>Notes:</w:t>
            </w:r>
            <w:r w:rsidRPr="001D17DC">
              <w:br/>
              <w:t>1. The range of faults may i</w:t>
            </w:r>
            <w:r w:rsidRPr="001D17DC">
              <w:t xml:space="preserve">nclude : open/shorted signal lines, output loading, input-to-input connections and clock-related faults. </w:t>
            </w:r>
            <w:r w:rsidRPr="001D17DC">
              <w:br/>
              <w:t>2. Troubleshooting may involve the alteration of an existing digital subsystem to comply with a specified function and operating parameters.</w:t>
            </w:r>
          </w:p>
        </w:tc>
      </w:tr>
      <w:tr w:rsidTr="00C107A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D17DC" w:rsidP="001D17DC">
            <w:pPr>
              <w:pStyle w:val="BodyText"/>
            </w:pPr>
            <w:r w:rsidRPr="001D17DC">
              <w:t>Generic terms used throughout this Vocational Standard shall be regarded as part of the Range Statement in which competency is demonstrated. The definition of these and other terms that apply are given in Volume 2, Part 2.1.</w:t>
            </w:r>
          </w:p>
        </w:tc>
      </w:tr>
    </w:tbl>
    <w:p w:rsidR="00C107A0" w:rsidP="001D17DC">
      <w:pPr>
        <w:pStyle w:val="BodyText"/>
      </w:pPr>
    </w:p>
    <w:p w:rsidR="00C107A0" w:rsidP="001D17DC">
      <w:pPr>
        <w:pStyle w:val="BodyText"/>
      </w:pPr>
    </w:p>
    <w:p w:rsidR="00000000" w:rsidRPr="001D17DC" w:rsidP="001D17DC">
      <w:pPr>
        <w:pStyle w:val="Heading1"/>
      </w:pPr>
      <w:bookmarkStart w:id="12" w:name="O_296389"/>
      <w:bookmarkEnd w:id="12"/>
      <w:r w:rsidRPr="001D17DC">
        <w:t>Unit Sector</w:t>
      </w:r>
      <w:r w:rsidRPr="001D17DC">
        <w:t>(s)</w:t>
      </w:r>
    </w:p>
    <w:p w:rsidR="00000000" w:rsidRPr="001D17DC" w:rsidP="001D17DC">
      <w:pPr>
        <w:pStyle w:val="BodyText"/>
      </w:pPr>
      <w:r w:rsidRPr="001D17DC">
        <w:t>Not Applicable</w:t>
      </w:r>
    </w:p>
    <w:p w:rsidR="00000000" w:rsidRPr="001D17DC" w:rsidP="001D17DC">
      <w:pPr>
        <w:pStyle w:val="AllowPageBreak"/>
      </w:pPr>
    </w:p>
    <w:p w:rsidR="00000000" w:rsidRPr="001D17DC" w:rsidP="001D17DC">
      <w:pPr>
        <w:pStyle w:val="Heading1"/>
      </w:pPr>
      <w:bookmarkStart w:id="13" w:name="O_226624"/>
      <w:bookmarkEnd w:id="13"/>
      <w:r w:rsidRPr="001D17DC">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C107A0">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1D17DC" w:rsidP="001D17DC">
            <w:pPr>
              <w:pStyle w:val="BodyText"/>
            </w:pPr>
            <w:r w:rsidRPr="001D17DC">
              <w:rPr>
                <w:rStyle w:val="SpecialBold"/>
              </w:rPr>
              <w:t>2</w:t>
            </w:r>
            <w:r w:rsidRPr="001D17DC">
              <w:t>.</w:t>
            </w:r>
            <w:r w:rsidRPr="001D17DC">
              <w:rPr>
                <w:rStyle w:val="SpecialBold"/>
              </w:rPr>
              <w:t>2</w:t>
            </w:r>
            <w:r w:rsidRPr="001D17DC">
              <w:t xml:space="preserve">) </w:t>
            </w:r>
            <w:r w:rsidRPr="001D17DC">
              <w:rPr>
                <w:rStyle w:val="SpecialBold"/>
              </w:rPr>
              <w:t>Literacy and numeracy skills</w:t>
            </w:r>
          </w:p>
          <w:p w:rsidR="00000000" w:rsidP="001D17DC">
            <w:pPr>
              <w:pStyle w:val="BodyText"/>
              <w:rPr>
                <w:lang w:val="en-NZ"/>
              </w:rPr>
            </w:pPr>
            <w:r w:rsidRPr="001D17DC">
              <w:t>Participants are best equipped to achieve competency in this unit if they have reading, writing and numeracy skills indicated by the following scales. Description of eac</w:t>
            </w:r>
            <w:r w:rsidRPr="001D17DC">
              <w:t>h scale is given in Volume 2, Part 3 'Literacy and Numeracy'</w:t>
            </w:r>
          </w:p>
        </w:tc>
      </w:tr>
      <w:tr w:rsidTr="00C107A0">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1D17DC">
            <w:pPr>
              <w:pStyle w:val="BodyText"/>
              <w:rPr>
                <w:lang w:val="en-NZ"/>
              </w:rPr>
            </w:pPr>
            <w:r w:rsidRPr="001D17DC">
              <w:t>Reading</w:t>
            </w:r>
          </w:p>
        </w:tc>
        <w:tc>
          <w:tcPr>
            <w:tcW w:w="1182" w:type="dxa"/>
            <w:tcBorders>
              <w:top w:val="nil"/>
              <w:left w:val="nil"/>
              <w:bottom w:val="nil"/>
              <w:right w:val="nil"/>
            </w:tcBorders>
            <w:tcMar>
              <w:top w:w="0" w:type="dxa"/>
              <w:left w:w="62" w:type="dxa"/>
              <w:bottom w:w="0" w:type="dxa"/>
              <w:right w:w="62" w:type="dxa"/>
            </w:tcMar>
          </w:tcPr>
          <w:p w:rsidR="00000000" w:rsidP="001D17DC">
            <w:pPr>
              <w:pStyle w:val="BodyText"/>
              <w:rPr>
                <w:lang w:val="en-NZ"/>
              </w:rPr>
            </w:pPr>
            <w:r w:rsidRPr="001D17DC">
              <w:t>3</w:t>
            </w:r>
          </w:p>
        </w:tc>
        <w:tc>
          <w:tcPr>
            <w:tcW w:w="1739" w:type="dxa"/>
            <w:tcBorders>
              <w:top w:val="nil"/>
              <w:left w:val="nil"/>
              <w:bottom w:val="nil"/>
              <w:right w:val="nil"/>
            </w:tcBorders>
            <w:tcMar>
              <w:top w:w="0" w:type="dxa"/>
              <w:left w:w="62" w:type="dxa"/>
              <w:bottom w:w="0" w:type="dxa"/>
              <w:right w:w="62" w:type="dxa"/>
            </w:tcMar>
          </w:tcPr>
          <w:p w:rsidR="00000000" w:rsidP="001D17DC">
            <w:pPr>
              <w:pStyle w:val="BodyText"/>
              <w:rPr>
                <w:lang w:val="en-NZ"/>
              </w:rPr>
            </w:pPr>
            <w:r w:rsidRPr="001D17DC">
              <w:t>Writing</w:t>
            </w:r>
          </w:p>
        </w:tc>
        <w:tc>
          <w:tcPr>
            <w:tcW w:w="1182" w:type="dxa"/>
            <w:tcBorders>
              <w:top w:val="nil"/>
              <w:left w:val="nil"/>
              <w:bottom w:val="nil"/>
              <w:right w:val="nil"/>
            </w:tcBorders>
            <w:tcMar>
              <w:top w:w="0" w:type="dxa"/>
              <w:left w:w="62" w:type="dxa"/>
              <w:bottom w:w="0" w:type="dxa"/>
              <w:right w:w="62" w:type="dxa"/>
            </w:tcMar>
          </w:tcPr>
          <w:p w:rsidR="00000000" w:rsidP="001D17DC">
            <w:pPr>
              <w:pStyle w:val="BodyText"/>
              <w:rPr>
                <w:lang w:val="en-NZ"/>
              </w:rPr>
            </w:pPr>
            <w:r w:rsidRPr="001D17DC">
              <w:t>3</w:t>
            </w:r>
          </w:p>
        </w:tc>
        <w:tc>
          <w:tcPr>
            <w:tcW w:w="1721" w:type="dxa"/>
            <w:tcBorders>
              <w:top w:val="nil"/>
              <w:left w:val="nil"/>
              <w:bottom w:val="nil"/>
              <w:right w:val="nil"/>
            </w:tcBorders>
            <w:tcMar>
              <w:top w:w="0" w:type="dxa"/>
              <w:left w:w="62" w:type="dxa"/>
              <w:bottom w:w="0" w:type="dxa"/>
              <w:right w:w="62" w:type="dxa"/>
            </w:tcMar>
          </w:tcPr>
          <w:p w:rsidR="00000000" w:rsidP="001D17DC">
            <w:pPr>
              <w:pStyle w:val="BodyText"/>
              <w:rPr>
                <w:lang w:val="en-NZ"/>
              </w:rPr>
            </w:pPr>
            <w:r w:rsidRPr="001D17DC">
              <w:t>Numeracy</w:t>
            </w:r>
          </w:p>
        </w:tc>
        <w:tc>
          <w:tcPr>
            <w:tcW w:w="1182" w:type="dxa"/>
            <w:tcBorders>
              <w:top w:val="nil"/>
              <w:left w:val="nil"/>
              <w:bottom w:val="nil"/>
              <w:right w:val="nil"/>
            </w:tcBorders>
            <w:tcMar>
              <w:top w:w="0" w:type="dxa"/>
              <w:left w:w="62" w:type="dxa"/>
              <w:bottom w:w="0" w:type="dxa"/>
              <w:right w:w="62" w:type="dxa"/>
            </w:tcMar>
          </w:tcPr>
          <w:p w:rsidR="00000000" w:rsidRPr="001D17DC" w:rsidP="001D17DC">
            <w:pPr>
              <w:pStyle w:val="BodyText"/>
            </w:pPr>
            <w:r w:rsidRPr="001D17DC">
              <w:t>3</w:t>
            </w:r>
          </w:p>
        </w:tc>
      </w:tr>
    </w:tbl>
    <w:p w:rsidR="00C107A0" w:rsidP="001D17DC">
      <w:pPr>
        <w:pStyle w:val="BodyText"/>
      </w:pPr>
    </w:p>
    <w:p w:rsidR="00C107A0" w:rsidP="001D17DC">
      <w:pPr>
        <w:pStyle w:val="BodyText"/>
      </w:pPr>
    </w:p>
    <w:p w:rsidR="00000000" w:rsidRPr="001D17DC" w:rsidP="001D17DC">
      <w:pPr>
        <w:pStyle w:val="Heading1"/>
      </w:pPr>
      <w:bookmarkStart w:id="14" w:name="O_226627"/>
      <w:bookmarkEnd w:id="14"/>
      <w:r w:rsidRPr="001D17DC">
        <w:t>2.2) Literacy and numeracy skills</w:t>
      </w:r>
    </w:p>
    <w:tbl>
      <w:tblPr>
        <w:tblW w:w="0" w:type="auto"/>
        <w:tblLayout w:type="fixed"/>
        <w:tblCellMar>
          <w:left w:w="62" w:type="dxa"/>
          <w:right w:w="62" w:type="dxa"/>
        </w:tblCellMar>
        <w:tblLook w:val="0000"/>
      </w:tblPr>
      <w:tblGrid>
        <w:gridCol w:w="2700"/>
        <w:gridCol w:w="5760"/>
      </w:tblGrid>
      <w:tr w:rsidTr="00C107A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D17DC" w:rsidP="001D17DC">
            <w:pPr>
              <w:pStyle w:val="BodyText"/>
            </w:pPr>
            <w:r w:rsidRPr="001D17DC">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D17DC">
            <w:pPr>
              <w:pStyle w:val="BodyText"/>
              <w:rPr>
                <w:lang w:val="en-NZ"/>
              </w:rPr>
            </w:pPr>
            <w:r w:rsidRPr="001D17DC">
              <w:rPr>
                <w:rStyle w:val="SpecialBold"/>
              </w:rPr>
              <w:t>5</w:t>
            </w:r>
            <w:r w:rsidRPr="001D17DC">
              <w:t>)</w:t>
            </w:r>
          </w:p>
        </w:tc>
      </w:tr>
      <w:tr w:rsidTr="00C107A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D17DC" w:rsidP="001D17DC">
            <w:pPr>
              <w:pStyle w:val="BodyText"/>
            </w:pPr>
            <w:r w:rsidRPr="001D17DC">
              <w:t>Electronics</w:t>
            </w:r>
          </w:p>
        </w:tc>
      </w:tr>
    </w:tbl>
    <w:p w:rsidR="00C107A0" w:rsidP="001D17DC">
      <w:pPr>
        <w:pStyle w:val="BodyText"/>
      </w:pPr>
    </w:p>
    <w:p w:rsidR="00C107A0" w:rsidP="001D17DC">
      <w:pPr>
        <w:pStyle w:val="BodyText"/>
      </w:pPr>
    </w:p>
    <w:p w:rsidR="00000000" w:rsidRPr="001D17DC" w:rsidP="001D17DC"/>
    <w:sectPr w:rsidSect="001D17D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7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07A0" w:rsidP="00C107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7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7A0" w:rsidP="001D17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107A0" w:rsidP="001D17D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C107A0" w:rsidP="001D17D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7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07A0" w:rsidP="00C107A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7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7A0" w:rsidP="001D17DC">
    <w:pPr>
      <w:pStyle w:val="Header"/>
      <w:framePr w:wrap="around"/>
    </w:pPr>
    <w:r>
      <w:fldChar w:fldCharType="begin"/>
    </w:r>
    <w:r>
      <w:instrText xml:space="preserve"> TITLE   \* MERGEFORMAT </w:instrText>
    </w:r>
    <w:r>
      <w:fldChar w:fldCharType="separate"/>
    </w:r>
    <w:r>
      <w:t>UEENEEH012B Troubleshoot digital subsystems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107A0" w:rsidP="001D17D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E1AA6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3C4A7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DF016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17D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D17DC"/>
    <w:pPr>
      <w:spacing w:before="360" w:after="60"/>
      <w:outlineLvl w:val="0"/>
    </w:pPr>
    <w:rPr>
      <w:sz w:val="32"/>
    </w:rPr>
  </w:style>
  <w:style w:type="paragraph" w:styleId="Heading2">
    <w:name w:val="heading 2"/>
    <w:basedOn w:val="HeadingBase"/>
    <w:next w:val="BodyText"/>
    <w:link w:val="Heading2Char"/>
    <w:qFormat/>
    <w:rsid w:val="001D17DC"/>
    <w:pPr>
      <w:keepLines/>
      <w:spacing w:before="240" w:after="120"/>
      <w:outlineLvl w:val="1"/>
    </w:pPr>
    <w:rPr>
      <w:sz w:val="28"/>
      <w:szCs w:val="40"/>
    </w:rPr>
  </w:style>
  <w:style w:type="paragraph" w:styleId="Heading3">
    <w:name w:val="heading 3"/>
    <w:basedOn w:val="HeadingBase"/>
    <w:next w:val="BodyText"/>
    <w:link w:val="Heading3Char"/>
    <w:qFormat/>
    <w:rsid w:val="001D17DC"/>
    <w:pPr>
      <w:spacing w:before="180" w:after="120"/>
      <w:outlineLvl w:val="2"/>
    </w:pPr>
    <w:rPr>
      <w:spacing w:val="-10"/>
      <w:kern w:val="32"/>
    </w:rPr>
  </w:style>
  <w:style w:type="paragraph" w:styleId="Heading4">
    <w:name w:val="heading 4"/>
    <w:basedOn w:val="HeadingBase"/>
    <w:next w:val="BodyText"/>
    <w:link w:val="Heading4Char"/>
    <w:qFormat/>
    <w:rsid w:val="001D17DC"/>
    <w:pPr>
      <w:spacing w:before="160" w:after="120"/>
      <w:outlineLvl w:val="3"/>
    </w:pPr>
    <w:rPr>
      <w:sz w:val="22"/>
    </w:rPr>
  </w:style>
  <w:style w:type="paragraph" w:styleId="Heading5">
    <w:name w:val="heading 5"/>
    <w:basedOn w:val="HeadingBase"/>
    <w:next w:val="Normal"/>
    <w:link w:val="Heading5Char"/>
    <w:qFormat/>
    <w:rsid w:val="001D17DC"/>
    <w:pPr>
      <w:spacing w:before="80"/>
      <w:outlineLvl w:val="4"/>
    </w:pPr>
    <w:rPr>
      <w:color w:val="918585"/>
      <w:sz w:val="20"/>
    </w:rPr>
  </w:style>
  <w:style w:type="paragraph" w:styleId="Heading6">
    <w:name w:val="heading 6"/>
    <w:basedOn w:val="HeadingBase"/>
    <w:next w:val="Normal"/>
    <w:link w:val="Heading6Char"/>
    <w:qFormat/>
    <w:rsid w:val="001D17DC"/>
    <w:pPr>
      <w:spacing w:before="60"/>
      <w:outlineLvl w:val="5"/>
    </w:pPr>
    <w:rPr>
      <w:color w:val="918585"/>
      <w:sz w:val="20"/>
    </w:rPr>
  </w:style>
  <w:style w:type="paragraph" w:styleId="Heading7">
    <w:name w:val="heading 7"/>
    <w:basedOn w:val="Normal"/>
    <w:next w:val="Normal"/>
    <w:link w:val="Heading7Char"/>
    <w:qFormat/>
    <w:rsid w:val="001D17DC"/>
    <w:pPr>
      <w:ind w:left="720"/>
      <w:outlineLvl w:val="6"/>
    </w:pPr>
    <w:rPr>
      <w:i/>
    </w:rPr>
  </w:style>
  <w:style w:type="paragraph" w:styleId="Heading8">
    <w:name w:val="heading 8"/>
    <w:basedOn w:val="Normal"/>
    <w:next w:val="Normal"/>
    <w:link w:val="Heading8Char"/>
    <w:qFormat/>
    <w:rsid w:val="001D17DC"/>
    <w:pPr>
      <w:ind w:left="720"/>
      <w:outlineLvl w:val="7"/>
    </w:pPr>
    <w:rPr>
      <w:i/>
    </w:rPr>
  </w:style>
  <w:style w:type="paragraph" w:styleId="Heading9">
    <w:name w:val="heading 9"/>
    <w:basedOn w:val="Normal"/>
    <w:next w:val="Normal"/>
    <w:link w:val="Heading9Char"/>
    <w:qFormat/>
    <w:rsid w:val="001D17DC"/>
    <w:pPr>
      <w:ind w:left="720"/>
      <w:outlineLvl w:val="8"/>
    </w:pPr>
    <w:rPr>
      <w:i/>
    </w:rPr>
  </w:style>
  <w:style w:type="character" w:default="1" w:styleId="DefaultParagraphFont">
    <w:name w:val="Default Paragraph Font"/>
    <w:uiPriority w:val="1"/>
    <w:unhideWhenUsed/>
    <w:rsid w:val="001D17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17DC"/>
  </w:style>
  <w:style w:type="character" w:customStyle="1" w:styleId="Heading1Char">
    <w:name w:val="Heading 1 Char"/>
    <w:basedOn w:val="DefaultParagraphFont"/>
    <w:link w:val="Heading1"/>
    <w:rsid w:val="001D17DC"/>
    <w:rPr>
      <w:rFonts w:ascii="Times New Roman" w:eastAsia="Times New Roman" w:hAnsi="Times New Roman" w:cs="Times New Roman"/>
      <w:b/>
      <w:sz w:val="32"/>
      <w:szCs w:val="20"/>
      <w:lang w:eastAsia="en-US"/>
    </w:rPr>
  </w:style>
  <w:style w:type="paragraph" w:styleId="BodyText">
    <w:name w:val="Body Text"/>
    <w:basedOn w:val="Normal"/>
    <w:link w:val="BodyTextChar"/>
    <w:rsid w:val="001D17D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D17DC"/>
    <w:rPr>
      <w:rFonts w:ascii="Times New Roman" w:eastAsia="Times New Roman" w:hAnsi="Times New Roman" w:cs="Times New Roman"/>
      <w:sz w:val="24"/>
      <w:lang w:val="en-US" w:eastAsia="en-US"/>
    </w:rPr>
  </w:style>
  <w:style w:type="paragraph" w:styleId="Footer">
    <w:name w:val="footer"/>
    <w:basedOn w:val="Normal"/>
    <w:link w:val="FooterChar"/>
    <w:rsid w:val="001D17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17DC"/>
    <w:rPr>
      <w:rFonts w:ascii="Times New Roman" w:eastAsia="Times New Roman" w:hAnsi="Times New Roman" w:cs="Times New Roman"/>
      <w:sz w:val="16"/>
      <w:lang w:val="en-US" w:eastAsia="en-US"/>
    </w:rPr>
  </w:style>
  <w:style w:type="paragraph" w:styleId="ListBullet">
    <w:name w:val="List Bullet"/>
    <w:basedOn w:val="List"/>
    <w:rsid w:val="001D17DC"/>
    <w:pPr>
      <w:numPr>
        <w:numId w:val="13"/>
      </w:numPr>
      <w:tabs>
        <w:tab w:val="clear" w:pos="340"/>
      </w:tabs>
      <w:spacing w:before="40" w:after="40"/>
    </w:pPr>
  </w:style>
  <w:style w:type="character" w:customStyle="1" w:styleId="SpecialBold">
    <w:name w:val="Special Bold"/>
    <w:basedOn w:val="DefaultParagraphFont"/>
    <w:rsid w:val="001D17DC"/>
    <w:rPr>
      <w:b/>
      <w:spacing w:val="0"/>
    </w:rPr>
  </w:style>
  <w:style w:type="paragraph" w:styleId="ListBullet2">
    <w:name w:val="List Bullet 2"/>
    <w:basedOn w:val="List2"/>
    <w:rsid w:val="001D17DC"/>
    <w:pPr>
      <w:numPr>
        <w:numId w:val="14"/>
      </w:numPr>
      <w:tabs>
        <w:tab w:val="clear" w:pos="680"/>
      </w:tabs>
    </w:pPr>
  </w:style>
  <w:style w:type="paragraph" w:styleId="Header">
    <w:name w:val="header"/>
    <w:basedOn w:val="Normal"/>
    <w:link w:val="HeaderChar"/>
    <w:rsid w:val="001D17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17D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D17DC"/>
    <w:pPr>
      <w:spacing w:before="240" w:after="120"/>
      <w:outlineLvl w:val="0"/>
    </w:pPr>
    <w:rPr>
      <w:rFonts w:ascii="Times New Roman" w:hAnsi="Times New Roman"/>
      <w:b/>
      <w:sz w:val="28"/>
    </w:rPr>
  </w:style>
  <w:style w:type="paragraph" w:customStyle="1" w:styleId="AllowPageBreak">
    <w:name w:val="AllowPageBreak"/>
    <w:rsid w:val="001D17D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D17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17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17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17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17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17D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D17D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D17DC"/>
    <w:rPr>
      <w:rFonts w:ascii="Courier New" w:eastAsia="Times New Roman" w:hAnsi="Courier New" w:cs="Times New Roman"/>
      <w:i/>
      <w:szCs w:val="20"/>
      <w:lang w:val="en-US" w:eastAsia="en-US"/>
    </w:rPr>
  </w:style>
  <w:style w:type="paragraph" w:customStyle="1" w:styleId="HeadingBase">
    <w:name w:val="Heading Base"/>
    <w:rsid w:val="001D17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17DC"/>
    <w:pPr>
      <w:tabs>
        <w:tab w:val="right" w:leader="dot" w:pos="9072"/>
      </w:tabs>
      <w:ind w:left="567"/>
    </w:pPr>
    <w:rPr>
      <w:szCs w:val="22"/>
    </w:rPr>
  </w:style>
  <w:style w:type="paragraph" w:customStyle="1" w:styleId="TOCBase">
    <w:name w:val="TOC Base"/>
    <w:rsid w:val="001D17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17DC"/>
    <w:pPr>
      <w:tabs>
        <w:tab w:val="right" w:leader="dot" w:pos="9072"/>
      </w:tabs>
      <w:spacing w:before="40" w:after="40"/>
      <w:ind w:left="284"/>
    </w:pPr>
    <w:rPr>
      <w:rFonts w:ascii="Times New Roman" w:hAnsi="Times New Roman"/>
    </w:rPr>
  </w:style>
  <w:style w:type="paragraph" w:styleId="TOC1">
    <w:name w:val="toc 1"/>
    <w:basedOn w:val="TOCBase"/>
    <w:next w:val="Normal"/>
    <w:rsid w:val="001D17D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D17DC"/>
    <w:pPr>
      <w:spacing w:before="5040"/>
      <w:jc w:val="center"/>
    </w:pPr>
    <w:rPr>
      <w:sz w:val="48"/>
      <w:szCs w:val="72"/>
      <w:lang w:val="en-US"/>
    </w:rPr>
  </w:style>
  <w:style w:type="character" w:customStyle="1" w:styleId="TitleChar">
    <w:name w:val="Title Char"/>
    <w:basedOn w:val="DefaultParagraphFont"/>
    <w:link w:val="Title"/>
    <w:rsid w:val="001D17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17DC"/>
    <w:pPr>
      <w:tabs>
        <w:tab w:val="left" w:pos="3600"/>
        <w:tab w:val="left" w:pos="3958"/>
      </w:tabs>
    </w:pPr>
  </w:style>
  <w:style w:type="paragraph" w:styleId="List">
    <w:name w:val="List"/>
    <w:basedOn w:val="BodyText"/>
    <w:next w:val="BodyText"/>
    <w:rsid w:val="001D17DC"/>
    <w:pPr>
      <w:tabs>
        <w:tab w:val="left" w:pos="340"/>
      </w:tabs>
      <w:spacing w:before="60" w:after="60"/>
      <w:ind w:left="340" w:hanging="340"/>
    </w:pPr>
  </w:style>
  <w:style w:type="paragraph" w:customStyle="1" w:styleId="Note">
    <w:name w:val="Note"/>
    <w:basedOn w:val="BodyText"/>
    <w:rsid w:val="001D17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17DC"/>
    <w:pPr>
      <w:framePr w:wrap="auto" w:hAnchor="text" w:y="6049"/>
    </w:pPr>
    <w:rPr>
      <w:color w:val="000000"/>
      <w:sz w:val="40"/>
    </w:rPr>
  </w:style>
  <w:style w:type="paragraph" w:customStyle="1" w:styleId="TOCTitle">
    <w:name w:val="TOCTitle"/>
    <w:basedOn w:val="Heading1"/>
    <w:rsid w:val="001D17DC"/>
    <w:pPr>
      <w:spacing w:after="240"/>
      <w:jc w:val="center"/>
      <w:outlineLvl w:val="9"/>
    </w:pPr>
    <w:rPr>
      <w:caps/>
    </w:rPr>
  </w:style>
  <w:style w:type="paragraph" w:customStyle="1" w:styleId="Version">
    <w:name w:val="Version"/>
    <w:rsid w:val="001D17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D17DC"/>
    <w:pPr>
      <w:keepNext w:val="0"/>
      <w:tabs>
        <w:tab w:val="right" w:pos="4176"/>
      </w:tabs>
      <w:ind w:left="198" w:hanging="198"/>
    </w:pPr>
    <w:rPr>
      <w:rFonts w:ascii="Garamond" w:hAnsi="Garamond"/>
    </w:rPr>
  </w:style>
  <w:style w:type="paragraph" w:styleId="IndexHeading">
    <w:name w:val="index heading"/>
    <w:basedOn w:val="Normal"/>
    <w:next w:val="Index1"/>
    <w:semiHidden/>
    <w:rsid w:val="001D17DC"/>
    <w:pPr>
      <w:spacing w:before="120" w:after="120"/>
    </w:pPr>
    <w:rPr>
      <w:rFonts w:ascii="Arial" w:hAnsi="Arial"/>
      <w:b/>
      <w:color w:val="918585"/>
      <w:sz w:val="24"/>
    </w:rPr>
  </w:style>
  <w:style w:type="paragraph" w:customStyle="1" w:styleId="Chapter">
    <w:name w:val="Chapter"/>
    <w:basedOn w:val="Normal"/>
    <w:rsid w:val="001D17DC"/>
    <w:pPr>
      <w:spacing w:before="240"/>
    </w:pPr>
    <w:rPr>
      <w:rFonts w:ascii="Times New Roman" w:hAnsi="Times New Roman"/>
      <w:smallCaps/>
      <w:spacing w:val="80"/>
      <w:sz w:val="28"/>
    </w:rPr>
  </w:style>
  <w:style w:type="paragraph" w:customStyle="1" w:styleId="InChapter">
    <w:name w:val="InChapter"/>
    <w:basedOn w:val="Heading3"/>
    <w:rsid w:val="001D17DC"/>
    <w:pPr>
      <w:spacing w:after="240"/>
      <w:outlineLvl w:val="9"/>
    </w:pPr>
    <w:rPr>
      <w:noProof/>
    </w:rPr>
  </w:style>
  <w:style w:type="paragraph" w:styleId="Index2">
    <w:name w:val="index 2"/>
    <w:basedOn w:val="Normal"/>
    <w:next w:val="Normal"/>
    <w:semiHidden/>
    <w:rsid w:val="001D17DC"/>
    <w:pPr>
      <w:tabs>
        <w:tab w:val="right" w:pos="4176"/>
      </w:tabs>
      <w:ind w:left="568" w:hanging="284"/>
    </w:pPr>
    <w:rPr>
      <w:rFonts w:ascii="Garamond" w:hAnsi="Garamond"/>
    </w:rPr>
  </w:style>
  <w:style w:type="paragraph" w:customStyle="1" w:styleId="Byline">
    <w:name w:val="Byline"/>
    <w:rsid w:val="001D17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17DC"/>
    <w:pPr>
      <w:tabs>
        <w:tab w:val="clear" w:pos="3600"/>
        <w:tab w:val="clear" w:pos="3958"/>
      </w:tabs>
      <w:jc w:val="right"/>
    </w:pPr>
  </w:style>
  <w:style w:type="character" w:styleId="Emphasis">
    <w:name w:val="Emphasis"/>
    <w:basedOn w:val="DefaultParagraphFont"/>
    <w:qFormat/>
    <w:rsid w:val="001D17DC"/>
    <w:rPr>
      <w:i/>
    </w:rPr>
  </w:style>
  <w:style w:type="paragraph" w:styleId="Caption">
    <w:name w:val="caption"/>
    <w:basedOn w:val="BodyText"/>
    <w:next w:val="Normal"/>
    <w:qFormat/>
    <w:rsid w:val="001D17DC"/>
    <w:pPr>
      <w:framePr w:w="2268" w:hSpace="181" w:vSpace="181" w:wrap="around" w:vAnchor="text" w:hAnchor="page" w:x="1135" w:y="285" w:anchorLock="1"/>
    </w:pPr>
    <w:rPr>
      <w:i/>
    </w:rPr>
  </w:style>
  <w:style w:type="paragraph" w:customStyle="1" w:styleId="MiniTOCTitle">
    <w:name w:val="MiniTOCTitle"/>
    <w:basedOn w:val="Heading4"/>
    <w:rsid w:val="001D17DC"/>
    <w:pPr>
      <w:spacing w:before="240"/>
      <w:outlineLvl w:val="9"/>
    </w:pPr>
    <w:rPr>
      <w:noProof/>
      <w:sz w:val="24"/>
    </w:rPr>
  </w:style>
  <w:style w:type="paragraph" w:customStyle="1" w:styleId="MiniTOCItem">
    <w:name w:val="MiniTOCItem"/>
    <w:basedOn w:val="ListBullet"/>
    <w:rsid w:val="001D17DC"/>
    <w:pPr>
      <w:numPr>
        <w:numId w:val="0"/>
      </w:numPr>
      <w:tabs>
        <w:tab w:val="right" w:leader="dot" w:pos="6521"/>
      </w:tabs>
      <w:spacing w:before="0" w:after="0"/>
    </w:pPr>
  </w:style>
  <w:style w:type="paragraph" w:customStyle="1" w:styleId="TOFTitle">
    <w:name w:val="TOFTitle"/>
    <w:basedOn w:val="TOCTitle"/>
    <w:rsid w:val="001D17DC"/>
  </w:style>
  <w:style w:type="paragraph" w:styleId="TableofFigures">
    <w:name w:val="table of figures"/>
    <w:basedOn w:val="Normal"/>
    <w:next w:val="Normal"/>
    <w:semiHidden/>
    <w:rsid w:val="001D17DC"/>
    <w:pPr>
      <w:tabs>
        <w:tab w:val="right" w:leader="dot" w:pos="9072"/>
      </w:tabs>
      <w:ind w:left="970" w:hanging="403"/>
    </w:pPr>
    <w:rPr>
      <w:rFonts w:ascii="Times New Roman" w:hAnsi="Times New Roman"/>
      <w:b/>
    </w:rPr>
  </w:style>
  <w:style w:type="paragraph" w:styleId="ListNumber">
    <w:name w:val="List Number"/>
    <w:basedOn w:val="List"/>
    <w:rsid w:val="001D17DC"/>
    <w:pPr>
      <w:numPr>
        <w:numId w:val="11"/>
      </w:numPr>
    </w:pPr>
  </w:style>
  <w:style w:type="character" w:customStyle="1" w:styleId="WingdingSymbols">
    <w:name w:val="Wingding Symbols"/>
    <w:rsid w:val="001D17DC"/>
    <w:rPr>
      <w:rFonts w:ascii="Wingdings" w:hAnsi="Wingdings"/>
    </w:rPr>
  </w:style>
  <w:style w:type="paragraph" w:customStyle="1" w:styleId="TableHeading">
    <w:name w:val="Table Heading"/>
    <w:basedOn w:val="HeadingBase"/>
    <w:rsid w:val="001D17DC"/>
    <w:pPr>
      <w:keepLines/>
      <w:pBdr>
        <w:bottom w:val="single" w:sz="6" w:space="1" w:color="918585"/>
      </w:pBdr>
      <w:spacing w:before="240"/>
    </w:pPr>
  </w:style>
  <w:style w:type="character" w:customStyle="1" w:styleId="HotSpot">
    <w:name w:val="HotSpot"/>
    <w:rsid w:val="001D17DC"/>
    <w:rPr>
      <w:color w:val="0033CC"/>
      <w:u w:val="none"/>
    </w:rPr>
  </w:style>
  <w:style w:type="paragraph" w:customStyle="1" w:styleId="BodyTextRight">
    <w:name w:val="Body Text Right"/>
    <w:basedOn w:val="BodyText"/>
    <w:rsid w:val="001D17DC"/>
    <w:pPr>
      <w:spacing w:before="0" w:after="0"/>
      <w:jc w:val="right"/>
    </w:pPr>
  </w:style>
  <w:style w:type="paragraph" w:styleId="Index3">
    <w:name w:val="index 3"/>
    <w:basedOn w:val="ListNumber2"/>
    <w:next w:val="Normal"/>
    <w:semiHidden/>
    <w:rsid w:val="001D17DC"/>
    <w:pPr>
      <w:numPr>
        <w:numId w:val="0"/>
      </w:numPr>
      <w:tabs>
        <w:tab w:val="right" w:leader="dot" w:pos="4176"/>
      </w:tabs>
    </w:pPr>
  </w:style>
  <w:style w:type="paragraph" w:styleId="ListNumber2">
    <w:name w:val="List Number 2"/>
    <w:basedOn w:val="List2"/>
    <w:rsid w:val="001D17DC"/>
    <w:pPr>
      <w:numPr>
        <w:numId w:val="10"/>
      </w:numPr>
      <w:tabs>
        <w:tab w:val="clear" w:pos="1060"/>
      </w:tabs>
    </w:pPr>
  </w:style>
  <w:style w:type="paragraph" w:customStyle="1" w:styleId="MarginNote">
    <w:name w:val="Margin Note"/>
    <w:basedOn w:val="BodyText"/>
    <w:rsid w:val="001D17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17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17D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D17DC"/>
    <w:rPr>
      <w:sz w:val="32"/>
    </w:rPr>
  </w:style>
  <w:style w:type="paragraph" w:customStyle="1" w:styleId="HeadingProcedure">
    <w:name w:val="Heading Procedure"/>
    <w:basedOn w:val="HeadingBase"/>
    <w:next w:val="Normal"/>
    <w:rsid w:val="001D17DC"/>
    <w:pPr>
      <w:tabs>
        <w:tab w:val="left" w:pos="0"/>
      </w:tabs>
      <w:spacing w:before="120" w:after="60"/>
    </w:pPr>
    <w:rPr>
      <w:i/>
      <w:color w:val="918585"/>
      <w:sz w:val="22"/>
    </w:rPr>
  </w:style>
  <w:style w:type="paragraph" w:customStyle="1" w:styleId="TableBodyText">
    <w:name w:val="Table Body Text"/>
    <w:basedOn w:val="BodyText"/>
    <w:rsid w:val="001D17DC"/>
    <w:pPr>
      <w:spacing w:before="60" w:after="60"/>
    </w:pPr>
  </w:style>
  <w:style w:type="paragraph" w:styleId="ListContinue">
    <w:name w:val="List Continue"/>
    <w:basedOn w:val="List"/>
    <w:rsid w:val="001D17DC"/>
    <w:pPr>
      <w:ind w:firstLine="0"/>
    </w:pPr>
  </w:style>
  <w:style w:type="paragraph" w:customStyle="1" w:styleId="ListNote">
    <w:name w:val="List Note"/>
    <w:basedOn w:val="List"/>
    <w:rsid w:val="001D17DC"/>
    <w:pPr>
      <w:pBdr>
        <w:top w:val="single" w:sz="6" w:space="2" w:color="918585"/>
        <w:bottom w:val="single" w:sz="6" w:space="2" w:color="918585"/>
      </w:pBdr>
      <w:tabs>
        <w:tab w:val="left" w:pos="1021"/>
      </w:tabs>
      <w:ind w:firstLine="0"/>
    </w:pPr>
  </w:style>
  <w:style w:type="paragraph" w:customStyle="1" w:styleId="Warning">
    <w:name w:val="Warning"/>
    <w:basedOn w:val="BodyText"/>
    <w:rsid w:val="001D17DC"/>
    <w:pPr>
      <w:shd w:val="clear" w:color="auto" w:fill="D9D9D9"/>
      <w:tabs>
        <w:tab w:val="left" w:pos="992"/>
      </w:tabs>
      <w:ind w:left="119" w:right="119"/>
    </w:pPr>
    <w:rPr>
      <w:sz w:val="20"/>
    </w:rPr>
  </w:style>
  <w:style w:type="paragraph" w:customStyle="1" w:styleId="MarginIcons">
    <w:name w:val="Margin Icons"/>
    <w:basedOn w:val="BodyText"/>
    <w:rsid w:val="001D17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17DC"/>
    <w:rPr>
      <w:rFonts w:ascii="Courier New" w:hAnsi="Courier New"/>
    </w:rPr>
  </w:style>
  <w:style w:type="paragraph" w:customStyle="1" w:styleId="NoteBullet">
    <w:name w:val="Note Bullet"/>
    <w:basedOn w:val="Note"/>
    <w:rsid w:val="001D17DC"/>
    <w:pPr>
      <w:tabs>
        <w:tab w:val="clear" w:pos="680"/>
      </w:tabs>
      <w:spacing w:before="60" w:after="60"/>
    </w:pPr>
  </w:style>
  <w:style w:type="paragraph" w:customStyle="1" w:styleId="SubHeading2">
    <w:name w:val="SubHeading2"/>
    <w:basedOn w:val="HeadingBase"/>
    <w:rsid w:val="001D17DC"/>
    <w:pPr>
      <w:spacing w:before="240" w:after="60"/>
    </w:pPr>
    <w:rPr>
      <w:sz w:val="20"/>
    </w:rPr>
  </w:style>
  <w:style w:type="paragraph" w:customStyle="1" w:styleId="SubHeading1">
    <w:name w:val="SubHeading1"/>
    <w:basedOn w:val="HeadingBase"/>
    <w:rsid w:val="001D17DC"/>
    <w:pPr>
      <w:spacing w:before="240" w:after="60"/>
    </w:pPr>
    <w:rPr>
      <w:color w:val="918585"/>
      <w:sz w:val="22"/>
    </w:rPr>
  </w:style>
  <w:style w:type="paragraph" w:customStyle="1" w:styleId="SideHeading">
    <w:name w:val="Side Heading"/>
    <w:basedOn w:val="HeadingBase"/>
    <w:rsid w:val="001D17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17DC"/>
    <w:pPr>
      <w:numPr>
        <w:numId w:val="12"/>
      </w:numPr>
    </w:pPr>
  </w:style>
  <w:style w:type="paragraph" w:styleId="PlainText">
    <w:name w:val="Plain Text"/>
    <w:basedOn w:val="Normal"/>
    <w:link w:val="PlainTextChar"/>
    <w:rsid w:val="001D17DC"/>
    <w:rPr>
      <w:sz w:val="20"/>
    </w:rPr>
  </w:style>
  <w:style w:type="character" w:customStyle="1" w:styleId="PlainTextChar">
    <w:name w:val="Plain Text Char"/>
    <w:basedOn w:val="DefaultParagraphFont"/>
    <w:link w:val="PlainText"/>
    <w:rsid w:val="001D17D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D17DC"/>
    <w:rPr>
      <w:b/>
      <w:smallCaps/>
    </w:rPr>
  </w:style>
  <w:style w:type="paragraph" w:customStyle="1" w:styleId="TableListNumber">
    <w:name w:val="Table List Number"/>
    <w:basedOn w:val="ListNumber"/>
    <w:rsid w:val="001D17DC"/>
    <w:pPr>
      <w:numPr>
        <w:numId w:val="0"/>
      </w:numPr>
    </w:pPr>
  </w:style>
  <w:style w:type="paragraph" w:styleId="TOC4">
    <w:name w:val="toc 4"/>
    <w:basedOn w:val="TOCBase"/>
    <w:next w:val="Normal"/>
    <w:semiHidden/>
    <w:rsid w:val="001D17DC"/>
    <w:pPr>
      <w:tabs>
        <w:tab w:val="right" w:leader="dot" w:pos="9071"/>
      </w:tabs>
      <w:ind w:left="1701"/>
    </w:pPr>
  </w:style>
  <w:style w:type="paragraph" w:customStyle="1" w:styleId="ListAlpha">
    <w:name w:val="List Alpha"/>
    <w:basedOn w:val="List"/>
    <w:rsid w:val="001D17DC"/>
    <w:pPr>
      <w:numPr>
        <w:numId w:val="9"/>
      </w:numPr>
    </w:pPr>
  </w:style>
  <w:style w:type="paragraph" w:customStyle="1" w:styleId="ListAlpha2">
    <w:name w:val="List Alpha 2"/>
    <w:basedOn w:val="List2"/>
    <w:rsid w:val="001D17DC"/>
    <w:pPr>
      <w:numPr>
        <w:numId w:val="8"/>
      </w:numPr>
    </w:pPr>
  </w:style>
  <w:style w:type="paragraph" w:styleId="List2">
    <w:name w:val="List 2"/>
    <w:basedOn w:val="BodyText"/>
    <w:rsid w:val="001D17DC"/>
    <w:pPr>
      <w:tabs>
        <w:tab w:val="left" w:pos="680"/>
      </w:tabs>
      <w:spacing w:before="60" w:after="60"/>
      <w:ind w:left="680" w:hanging="340"/>
    </w:pPr>
  </w:style>
  <w:style w:type="paragraph" w:styleId="List3">
    <w:name w:val="List 3"/>
    <w:basedOn w:val="BodyText"/>
    <w:rsid w:val="001D17DC"/>
    <w:pPr>
      <w:tabs>
        <w:tab w:val="left" w:pos="1021"/>
      </w:tabs>
      <w:spacing w:before="60" w:after="60"/>
      <w:ind w:left="1020" w:hanging="340"/>
    </w:pPr>
  </w:style>
  <w:style w:type="paragraph" w:styleId="List4">
    <w:name w:val="List 4"/>
    <w:basedOn w:val="BodyText"/>
    <w:rsid w:val="001D17DC"/>
    <w:pPr>
      <w:tabs>
        <w:tab w:val="left" w:pos="1361"/>
      </w:tabs>
      <w:spacing w:before="60" w:after="60"/>
      <w:ind w:left="1361" w:hanging="340"/>
    </w:pPr>
  </w:style>
  <w:style w:type="paragraph" w:styleId="List5">
    <w:name w:val="List 5"/>
    <w:basedOn w:val="BodyText"/>
    <w:rsid w:val="001D17DC"/>
    <w:pPr>
      <w:tabs>
        <w:tab w:val="left" w:pos="1701"/>
      </w:tabs>
      <w:spacing w:before="60" w:after="60"/>
      <w:ind w:left="1701" w:hanging="340"/>
    </w:pPr>
  </w:style>
  <w:style w:type="paragraph" w:styleId="ListBullet3">
    <w:name w:val="List Bullet 3"/>
    <w:basedOn w:val="List3"/>
    <w:rsid w:val="001D17DC"/>
    <w:pPr>
      <w:numPr>
        <w:numId w:val="15"/>
      </w:numPr>
      <w:tabs>
        <w:tab w:val="clear" w:pos="1021"/>
      </w:tabs>
      <w:ind w:left="1037" w:hanging="357"/>
    </w:pPr>
  </w:style>
  <w:style w:type="paragraph" w:styleId="ListBullet4">
    <w:name w:val="List Bullet 4"/>
    <w:basedOn w:val="List4"/>
    <w:rsid w:val="001D17DC"/>
    <w:pPr>
      <w:numPr>
        <w:numId w:val="3"/>
      </w:numPr>
    </w:pPr>
  </w:style>
  <w:style w:type="paragraph" w:styleId="ListBullet5">
    <w:name w:val="List Bullet 5"/>
    <w:basedOn w:val="List5"/>
    <w:rsid w:val="001D17DC"/>
    <w:pPr>
      <w:numPr>
        <w:numId w:val="4"/>
      </w:numPr>
    </w:pPr>
  </w:style>
  <w:style w:type="paragraph" w:styleId="ListContinue2">
    <w:name w:val="List Continue 2"/>
    <w:basedOn w:val="List2"/>
    <w:rsid w:val="001D17DC"/>
    <w:pPr>
      <w:ind w:firstLine="0"/>
    </w:pPr>
  </w:style>
  <w:style w:type="paragraph" w:styleId="ListContinue3">
    <w:name w:val="List Continue 3"/>
    <w:basedOn w:val="List3"/>
    <w:rsid w:val="001D17DC"/>
    <w:pPr>
      <w:ind w:left="1021" w:firstLine="0"/>
    </w:pPr>
  </w:style>
  <w:style w:type="paragraph" w:styleId="ListContinue4">
    <w:name w:val="List Continue 4"/>
    <w:basedOn w:val="List4"/>
    <w:rsid w:val="001D17DC"/>
    <w:pPr>
      <w:ind w:firstLine="0"/>
    </w:pPr>
  </w:style>
  <w:style w:type="paragraph" w:styleId="ListContinue5">
    <w:name w:val="List Continue 5"/>
    <w:basedOn w:val="List5"/>
    <w:rsid w:val="001D17DC"/>
    <w:pPr>
      <w:ind w:firstLine="0"/>
    </w:pPr>
  </w:style>
  <w:style w:type="paragraph" w:styleId="ListNumber3">
    <w:name w:val="List Number 3"/>
    <w:basedOn w:val="List3"/>
    <w:rsid w:val="001D17DC"/>
    <w:pPr>
      <w:numPr>
        <w:numId w:val="5"/>
      </w:numPr>
    </w:pPr>
  </w:style>
  <w:style w:type="paragraph" w:styleId="ListNumber4">
    <w:name w:val="List Number 4"/>
    <w:basedOn w:val="List4"/>
    <w:rsid w:val="001D17DC"/>
    <w:pPr>
      <w:numPr>
        <w:numId w:val="6"/>
      </w:numPr>
    </w:pPr>
  </w:style>
  <w:style w:type="paragraph" w:styleId="ListNumber5">
    <w:name w:val="List Number 5"/>
    <w:basedOn w:val="List5"/>
    <w:rsid w:val="001D17DC"/>
    <w:pPr>
      <w:numPr>
        <w:numId w:val="7"/>
      </w:numPr>
    </w:pPr>
  </w:style>
  <w:style w:type="paragraph" w:styleId="BlockText">
    <w:name w:val="Block Text"/>
    <w:basedOn w:val="Normal"/>
    <w:rsid w:val="001D17DC"/>
    <w:pPr>
      <w:spacing w:after="120"/>
      <w:ind w:left="1440" w:right="1440"/>
    </w:pPr>
  </w:style>
  <w:style w:type="character" w:customStyle="1" w:styleId="Subscript">
    <w:name w:val="Subscript"/>
    <w:basedOn w:val="DefaultParagraphFont"/>
    <w:rsid w:val="001D17DC"/>
    <w:rPr>
      <w:sz w:val="16"/>
      <w:vertAlign w:val="subscript"/>
    </w:rPr>
  </w:style>
  <w:style w:type="character" w:customStyle="1" w:styleId="Superscript">
    <w:name w:val="Superscript"/>
    <w:basedOn w:val="DefaultParagraphFont"/>
    <w:rsid w:val="001D17DC"/>
    <w:rPr>
      <w:sz w:val="16"/>
      <w:vertAlign w:val="superscript"/>
    </w:rPr>
  </w:style>
  <w:style w:type="character" w:customStyle="1" w:styleId="Symbols">
    <w:name w:val="Symbols"/>
    <w:basedOn w:val="DefaultParagraphFont"/>
    <w:rsid w:val="001D17DC"/>
    <w:rPr>
      <w:rFonts w:ascii="Symbol" w:hAnsi="Symbol"/>
    </w:rPr>
  </w:style>
  <w:style w:type="character" w:customStyle="1" w:styleId="MenuOptions">
    <w:name w:val="Menu Options"/>
    <w:basedOn w:val="DefaultParagraphFont"/>
    <w:rsid w:val="001D17DC"/>
    <w:rPr>
      <w:rFonts w:ascii="Arial Narrow" w:hAnsi="Arial Narrow"/>
      <w:smallCaps/>
    </w:rPr>
  </w:style>
  <w:style w:type="character" w:customStyle="1" w:styleId="Buttons">
    <w:name w:val="Buttons"/>
    <w:basedOn w:val="DefaultParagraphFont"/>
    <w:rsid w:val="001D17DC"/>
    <w:rPr>
      <w:b/>
    </w:rPr>
  </w:style>
  <w:style w:type="character" w:customStyle="1" w:styleId="Underlined">
    <w:name w:val="Underlined"/>
    <w:basedOn w:val="DefaultParagraphFont"/>
    <w:rsid w:val="001D17DC"/>
    <w:rPr>
      <w:u w:val="single"/>
    </w:rPr>
  </w:style>
  <w:style w:type="paragraph" w:customStyle="1" w:styleId="TableBodyTextRight">
    <w:name w:val="Table Body Text Right"/>
    <w:basedOn w:val="TableBodyText"/>
    <w:rsid w:val="001D17DC"/>
    <w:pPr>
      <w:widowControl w:val="0"/>
      <w:autoSpaceDE w:val="0"/>
      <w:autoSpaceDN w:val="0"/>
      <w:adjustRightInd w:val="0"/>
      <w:jc w:val="right"/>
    </w:pPr>
    <w:rPr>
      <w:rFonts w:cs="Arial"/>
      <w:szCs w:val="18"/>
    </w:rPr>
  </w:style>
  <w:style w:type="paragraph" w:customStyle="1" w:styleId="CopyrightText">
    <w:name w:val="Copyright Text"/>
    <w:basedOn w:val="BodyText"/>
    <w:rsid w:val="001D17DC"/>
    <w:rPr>
      <w:sz w:val="18"/>
    </w:rPr>
  </w:style>
  <w:style w:type="paragraph" w:customStyle="1" w:styleId="BodySmallRight">
    <w:name w:val="Body Small Right"/>
    <w:basedOn w:val="BodyTextRight"/>
    <w:rsid w:val="001D17DC"/>
    <w:rPr>
      <w:sz w:val="18"/>
      <w:szCs w:val="18"/>
    </w:rPr>
  </w:style>
  <w:style w:type="paragraph" w:customStyle="1" w:styleId="MarginEdition">
    <w:name w:val="Margin Edition"/>
    <w:basedOn w:val="MarginNote"/>
    <w:rsid w:val="001D17DC"/>
    <w:pPr>
      <w:spacing w:before="0" w:after="0"/>
    </w:pPr>
    <w:rPr>
      <w:rFonts w:ascii="Times New Roman" w:hAnsi="Times New Roman"/>
      <w:color w:val="999999"/>
    </w:rPr>
  </w:style>
  <w:style w:type="paragraph" w:customStyle="1" w:styleId="Spacer">
    <w:name w:val="Spacer"/>
    <w:basedOn w:val="Normal"/>
    <w:rsid w:val="001D17DC"/>
    <w:rPr>
      <w:sz w:val="2"/>
      <w:szCs w:val="2"/>
    </w:rPr>
  </w:style>
  <w:style w:type="character" w:customStyle="1" w:styleId="Small">
    <w:name w:val="Small"/>
    <w:basedOn w:val="DefaultParagraphFont"/>
    <w:rsid w:val="001D17DC"/>
    <w:rPr>
      <w:sz w:val="16"/>
    </w:rPr>
  </w:style>
  <w:style w:type="paragraph" w:customStyle="1" w:styleId="WideTable">
    <w:name w:val="Wide Table"/>
    <w:basedOn w:val="Normal"/>
    <w:rsid w:val="001D17DC"/>
    <w:pPr>
      <w:ind w:left="-1418"/>
    </w:pPr>
    <w:rPr>
      <w:sz w:val="2"/>
      <w:szCs w:val="2"/>
    </w:rPr>
  </w:style>
  <w:style w:type="character" w:styleId="PageNumber">
    <w:name w:val="page number"/>
    <w:basedOn w:val="DefaultParagraphFont"/>
    <w:rsid w:val="001D17DC"/>
  </w:style>
  <w:style w:type="paragraph" w:styleId="Quote">
    <w:name w:val="Quote"/>
    <w:basedOn w:val="Heading1"/>
    <w:link w:val="QuoteChar"/>
    <w:qFormat/>
    <w:rsid w:val="001D17DC"/>
    <w:rPr>
      <w:b w:val="0"/>
      <w:sz w:val="72"/>
      <w:szCs w:val="72"/>
      <w:lang w:val="en-NZ"/>
    </w:rPr>
  </w:style>
  <w:style w:type="character" w:customStyle="1" w:styleId="QuoteChar">
    <w:name w:val="Quote Char"/>
    <w:basedOn w:val="DefaultParagraphFont"/>
    <w:link w:val="Quote"/>
    <w:rsid w:val="001D17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17DC"/>
    <w:pPr>
      <w:pageBreakBefore/>
    </w:pPr>
  </w:style>
  <w:style w:type="paragraph" w:customStyle="1" w:styleId="Border">
    <w:name w:val="Border"/>
    <w:basedOn w:val="Normal"/>
    <w:qFormat/>
    <w:rsid w:val="001D17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17DC"/>
    <w:rPr>
      <w:b/>
      <w:bCs/>
      <w:i/>
      <w:iCs/>
      <w:color w:val="auto"/>
    </w:rPr>
  </w:style>
  <w:style w:type="paragraph" w:styleId="IntenseQuote">
    <w:name w:val="Intense Quote"/>
    <w:basedOn w:val="Normal"/>
    <w:next w:val="Normal"/>
    <w:link w:val="IntenseQuoteChar"/>
    <w:uiPriority w:val="30"/>
    <w:qFormat/>
    <w:rsid w:val="001D17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17D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D17DC"/>
    <w:rPr>
      <w:smallCaps/>
      <w:color w:val="auto"/>
      <w:u w:val="single"/>
    </w:rPr>
  </w:style>
  <w:style w:type="character" w:styleId="IntenseReference">
    <w:name w:val="Intense Reference"/>
    <w:basedOn w:val="DefaultParagraphFont"/>
    <w:uiPriority w:val="32"/>
    <w:qFormat/>
    <w:rsid w:val="001D17DC"/>
    <w:rPr>
      <w:b/>
      <w:bCs/>
      <w:smallCaps/>
      <w:color w:val="auto"/>
      <w:spacing w:val="5"/>
      <w:u w:val="single"/>
    </w:rPr>
  </w:style>
  <w:style w:type="paragraph" w:customStyle="1" w:styleId="2ColumnHeading">
    <w:name w:val="2Column Heading"/>
    <w:basedOn w:val="BodyText"/>
    <w:qFormat/>
    <w:rsid w:val="001D17DC"/>
    <w:pPr>
      <w:spacing w:after="60"/>
      <w:ind w:left="-2268"/>
    </w:pPr>
    <w:rPr>
      <w:b/>
    </w:rPr>
  </w:style>
  <w:style w:type="paragraph" w:customStyle="1" w:styleId="Heading1TOC">
    <w:name w:val="Heading1 TOC"/>
    <w:basedOn w:val="Normal"/>
    <w:qFormat/>
    <w:rsid w:val="001D17DC"/>
    <w:pPr>
      <w:spacing w:before="240" w:after="120"/>
    </w:pPr>
    <w:rPr>
      <w:rFonts w:ascii="Times New Roman" w:hAnsi="Times New Roman"/>
      <w:b/>
      <w:sz w:val="32"/>
    </w:rPr>
  </w:style>
  <w:style w:type="paragraph" w:customStyle="1" w:styleId="Heading2TOC">
    <w:name w:val="Heading2 TOC"/>
    <w:basedOn w:val="Normal"/>
    <w:qFormat/>
    <w:rsid w:val="001D17DC"/>
    <w:pPr>
      <w:spacing w:before="240" w:after="60"/>
    </w:pPr>
    <w:rPr>
      <w:rFonts w:ascii="Times New Roman" w:hAnsi="Times New Roman"/>
      <w:b/>
      <w:sz w:val="28"/>
    </w:rPr>
  </w:style>
  <w:style w:type="character" w:customStyle="1" w:styleId="Underline">
    <w:name w:val="Underline"/>
    <w:basedOn w:val="DefaultParagraphFont"/>
    <w:qFormat/>
    <w:rsid w:val="001D17DC"/>
    <w:rPr>
      <w:u w:val="single"/>
    </w:rPr>
  </w:style>
  <w:style w:type="character" w:customStyle="1" w:styleId="BoldandItalics">
    <w:name w:val="Bold and Italics"/>
    <w:qFormat/>
    <w:rsid w:val="001D17DC"/>
    <w:rPr>
      <w:b/>
      <w:i/>
      <w:u w:val="none"/>
    </w:rPr>
  </w:style>
  <w:style w:type="paragraph" w:styleId="BalloonText">
    <w:name w:val="Balloon Text"/>
    <w:basedOn w:val="Normal"/>
    <w:link w:val="BalloonTextChar"/>
    <w:rsid w:val="001D17DC"/>
    <w:rPr>
      <w:rFonts w:ascii="Tahoma" w:hAnsi="Tahoma" w:cs="Tahoma"/>
      <w:sz w:val="16"/>
      <w:szCs w:val="16"/>
    </w:rPr>
  </w:style>
  <w:style w:type="character" w:customStyle="1" w:styleId="BalloonTextChar">
    <w:name w:val="Balloon Text Char"/>
    <w:basedOn w:val="DefaultParagraphFont"/>
    <w:link w:val="BalloonText"/>
    <w:rsid w:val="001D17D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D17D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D17D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1991</Words>
  <Characters>11807</Characters>
  <Application>Microsoft Office Word</Application>
  <DocSecurity>0</DocSecurity>
  <Lines>450</Lines>
  <Paragraphs>168</Paragraphs>
  <ScaleCrop>false</ScaleCrop>
  <Company>Author-it Software Corporation Ltd.</Company>
  <LinksUpToDate>false</LinksUpToDate>
  <CharactersWithSpaces>13652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UEENEEH012B Troubleshoot digital subsystems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2012-05-26T11:10:00Z</dcterms:created>
  <dcterms:modified xsi:type="dcterms:W3CDTF">2012-05-26T11:10:00Z</dcterms:modified>
</cp:coreProperties>
</file>