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127" w:rsidP="006F1127">
      <w:pPr>
        <w:pStyle w:val="Title"/>
      </w:pPr>
      <w:r>
        <w:fldChar w:fldCharType="begin"/>
      </w:r>
      <w:r>
        <w:instrText xml:space="preserve"> TITLE   \* MERGEFORMAT </w:instrText>
      </w:r>
      <w:r>
        <w:fldChar w:fldCharType="separate"/>
      </w:r>
      <w:r>
        <w:t>UEENEEG106A Terminate cables, cords and accessories for low voltage circuits</w:t>
      </w:r>
      <w:r>
        <w:fldChar w:fldCharType="end"/>
      </w:r>
    </w:p>
    <w:p w:rsidR="006F1127" w:rsidP="006F1127">
      <w:pPr>
        <w:pStyle w:val="Version"/>
        <w:sectPr w:rsidSect="00CB68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B682C" w:rsidP="00CB682C">
      <w:pPr>
        <w:pStyle w:val="SuperHeading"/>
      </w:pPr>
      <w:r w:rsidRPr="00CB682C">
        <w:t>UEENEEG106A Terminate cables, cords and accessories for low voltage circuits</w:t>
      </w:r>
    </w:p>
    <w:p w:rsidR="00000000" w:rsidRPr="00CB682C" w:rsidP="00CB682C">
      <w:pPr>
        <w:pStyle w:val="Heading1"/>
      </w:pPr>
      <w:bookmarkStart w:id="1" w:name="O_568836"/>
      <w:bookmarkEnd w:id="1"/>
      <w:r w:rsidRPr="00CB682C">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6F11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82C">
            <w:pPr>
              <w:pStyle w:val="BodyText"/>
              <w:rPr>
                <w:lang w:val="en-NZ"/>
              </w:rPr>
            </w:pPr>
            <w:r w:rsidRPr="00CB682C">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82C">
            <w:pPr>
              <w:pStyle w:val="BodyText"/>
              <w:rPr>
                <w:lang w:val="en-NZ"/>
              </w:rPr>
            </w:pPr>
            <w:r w:rsidRPr="00CB682C">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82C">
            <w:pPr>
              <w:pStyle w:val="BodyText"/>
              <w:rPr>
                <w:lang w:val="en-NZ"/>
              </w:rPr>
            </w:pPr>
            <w:r w:rsidRPr="00CB682C">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82C">
            <w:pPr>
              <w:pStyle w:val="BodyText"/>
              <w:rPr>
                <w:lang w:val="en-NZ"/>
              </w:rPr>
            </w:pPr>
            <w:r w:rsidRPr="00CB682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82C">
            <w:pPr>
              <w:pStyle w:val="BodyText"/>
              <w:rPr>
                <w:lang w:val="en-NZ"/>
              </w:rPr>
            </w:pPr>
            <w:r w:rsidRPr="00CB682C">
              <w:t>Points</w:t>
            </w:r>
          </w:p>
        </w:tc>
      </w:tr>
      <w:tr w:rsidTr="006F11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82C">
            <w:pPr>
              <w:pStyle w:val="BodyText"/>
              <w:rPr>
                <w:lang w:val="en-NZ"/>
              </w:rPr>
            </w:pPr>
            <w:r w:rsidRPr="00CB682C">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82C">
            <w:pPr>
              <w:pStyle w:val="BodyText"/>
              <w:rPr>
                <w:lang w:val="en-NZ"/>
              </w:rPr>
            </w:pPr>
            <w:r w:rsidRPr="00CB682C">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82C" w:rsidP="00CB682C">
            <w:pPr>
              <w:pStyle w:val="BodyText"/>
            </w:pPr>
            <w:r w:rsidRPr="00CB682C">
              <w:t>In Pre-requisites, edit code to reflect correct unit title</w:t>
            </w:r>
          </w:p>
          <w:p w:rsidR="00000000" w:rsidP="00CB682C">
            <w:pPr>
              <w:pStyle w:val="BodyText"/>
              <w:rPr>
                <w:lang w:val="en-NZ"/>
              </w:rPr>
            </w:pPr>
            <w:r w:rsidRPr="00CB682C">
              <w:t>UEENEEE107A   Use drawings, diagrams, schedules, standards, codes and specifications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82C">
            <w:pPr>
              <w:pStyle w:val="BodyText"/>
              <w:rPr>
                <w:lang w:val="en-NZ"/>
              </w:rPr>
            </w:pPr>
          </w:p>
        </w:tc>
      </w:tr>
      <w:tr w:rsidTr="006F11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82C">
            <w:pPr>
              <w:pStyle w:val="BodyText"/>
              <w:rPr>
                <w:lang w:val="en-NZ"/>
              </w:rPr>
            </w:pPr>
            <w:r w:rsidRPr="00CB682C">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82C">
            <w:pPr>
              <w:pStyle w:val="BodyText"/>
              <w:rPr>
                <w:lang w:val="en-NZ"/>
              </w:rPr>
            </w:pPr>
            <w:r w:rsidRPr="00CB682C">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82C" w:rsidP="00CB682C">
            <w:pPr>
              <w:pStyle w:val="BodyText"/>
            </w:pPr>
            <w:r w:rsidRPr="00CB682C">
              <w:t>In Pre-requisites, edit name to reflect correct unit title</w:t>
            </w:r>
          </w:p>
          <w:p w:rsidR="00000000" w:rsidP="00CB682C">
            <w:pPr>
              <w:pStyle w:val="BodyText"/>
              <w:rPr>
                <w:lang w:val="en-NZ"/>
              </w:rPr>
            </w:pPr>
            <w:r w:rsidRPr="00CB682C">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82C" w:rsidP="00CB682C">
            <w:pPr>
              <w:pStyle w:val="BodyText"/>
            </w:pPr>
          </w:p>
        </w:tc>
      </w:tr>
    </w:tbl>
    <w:p w:rsidR="006F1127" w:rsidP="00CB682C">
      <w:pPr>
        <w:pStyle w:val="BodyText"/>
      </w:pPr>
    </w:p>
    <w:p w:rsidR="006F1127" w:rsidP="00CB682C">
      <w:pPr>
        <w:pStyle w:val="BodyText"/>
      </w:pPr>
    </w:p>
    <w:p w:rsidR="00000000" w:rsidRPr="00CB682C" w:rsidP="00CB682C">
      <w:pPr>
        <w:pStyle w:val="Heading1"/>
      </w:pPr>
      <w:bookmarkStart w:id="2" w:name="O_568835"/>
      <w:bookmarkEnd w:id="2"/>
      <w:r w:rsidRPr="00CB682C">
        <w:t>Unit Descriptor</w:t>
      </w:r>
    </w:p>
    <w:tbl>
      <w:tblPr>
        <w:tblW w:w="0" w:type="auto"/>
        <w:tblLayout w:type="fixed"/>
        <w:tblCellMar>
          <w:left w:w="62" w:type="dxa"/>
          <w:right w:w="62" w:type="dxa"/>
        </w:tblCellMar>
        <w:tblLook w:val="0000"/>
      </w:tblPr>
      <w:tblGrid>
        <w:gridCol w:w="2700"/>
        <w:gridCol w:w="5760"/>
      </w:tblGrid>
      <w:tr w:rsidTr="006F11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1</w:t>
            </w:r>
            <w:r w:rsidRPr="00CB682C">
              <w:t xml:space="preserve">) </w:t>
            </w:r>
          </w:p>
          <w:p w:rsidR="00000000" w:rsidP="00CB682C">
            <w:pPr>
              <w:pStyle w:val="BodyText"/>
              <w:rPr>
                <w:lang w:val="en-NZ"/>
              </w:rPr>
            </w:pPr>
            <w:r w:rsidRPr="00CB682C">
              <w:rPr>
                <w:rStyle w:val="SpecialBold"/>
              </w:rPr>
              <w:t>1</w:t>
            </w:r>
            <w:r w:rsidRPr="00CB682C">
              <w:t>.</w:t>
            </w:r>
            <w:r w:rsidRPr="00CB682C">
              <w:rPr>
                <w:rStyle w:val="SpecialBold"/>
              </w:rPr>
              <w:t>1</w:t>
            </w:r>
            <w:r w:rsidRPr="00CB682C">
              <w:t xml:space="preserve">) </w:t>
            </w:r>
            <w:r w:rsidRPr="00CB682C">
              <w:rPr>
                <w:rStyle w:val="SpecialBold"/>
              </w:rPr>
              <w:t>Descriptor</w:t>
            </w:r>
          </w:p>
        </w:tc>
      </w:tr>
      <w:tr w:rsidTr="006F11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t>This unit covers the termination of cables and cords and their conductors at accessories and current-using devices designed to operate at voltages up to 1,000 V a.c. or 1,500 V d.c. It encompasses worki</w:t>
            </w:r>
            <w:r w:rsidRPr="00CB682C">
              <w:t>ng safely and to standards, understanding wiring system and cable types and applications, selecting appropriate termination accessories, preparing and terminating cables and cords, terminating cables/cord conductors and ensuring completed termination compl</w:t>
            </w:r>
            <w:r w:rsidRPr="00CB682C">
              <w:t>ies with requirements.</w:t>
            </w:r>
          </w:p>
        </w:tc>
      </w:tr>
    </w:tbl>
    <w:p w:rsidR="006F1127" w:rsidP="00CB682C">
      <w:pPr>
        <w:pStyle w:val="BodyText"/>
      </w:pPr>
    </w:p>
    <w:p w:rsidR="006F1127" w:rsidP="00CB682C">
      <w:pPr>
        <w:pStyle w:val="BodyText"/>
      </w:pPr>
    </w:p>
    <w:p w:rsidR="00000000" w:rsidRPr="00CB682C" w:rsidP="00CB682C">
      <w:pPr>
        <w:pStyle w:val="Heading1"/>
      </w:pPr>
      <w:bookmarkStart w:id="3" w:name="O_568834"/>
      <w:bookmarkEnd w:id="3"/>
      <w:r w:rsidRPr="00CB682C">
        <w:t>Application of the Unit</w:t>
      </w:r>
    </w:p>
    <w:p w:rsidR="00000000" w:rsidRPr="00CB682C" w:rsidP="00CB682C">
      <w:pPr>
        <w:pStyle w:val="BodyText"/>
      </w:pPr>
      <w:r w:rsidRPr="00CB682C">
        <w:t>Not Applicable</w:t>
      </w:r>
    </w:p>
    <w:p w:rsidR="00000000" w:rsidRPr="00CB682C" w:rsidP="00CB682C">
      <w:pPr>
        <w:pStyle w:val="AllowPageBreak"/>
      </w:pPr>
    </w:p>
    <w:p w:rsidR="00000000" w:rsidRPr="00CB682C" w:rsidP="00CB682C">
      <w:pPr>
        <w:pStyle w:val="Heading1"/>
      </w:pPr>
      <w:bookmarkStart w:id="4" w:name="O_568833"/>
      <w:bookmarkEnd w:id="4"/>
      <w:r w:rsidRPr="00CB682C">
        <w:t>Licensing/Regulatory Information</w:t>
      </w:r>
    </w:p>
    <w:tbl>
      <w:tblPr>
        <w:tblW w:w="0" w:type="auto"/>
        <w:tblLayout w:type="fixed"/>
        <w:tblCellMar>
          <w:left w:w="62" w:type="dxa"/>
          <w:right w:w="62" w:type="dxa"/>
        </w:tblCellMar>
        <w:tblLook w:val="0000"/>
      </w:tblPr>
      <w:tblGrid>
        <w:gridCol w:w="8460"/>
      </w:tblGrid>
      <w:tr w:rsidTr="006F11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1</w:t>
            </w:r>
            <w:r w:rsidRPr="00CB682C">
              <w:t>.</w:t>
            </w:r>
            <w:r w:rsidRPr="00CB682C">
              <w:rPr>
                <w:rStyle w:val="SpecialBold"/>
              </w:rPr>
              <w:t>2</w:t>
            </w:r>
            <w:r w:rsidRPr="00CB682C">
              <w:t xml:space="preserve">) </w:t>
            </w:r>
            <w:r w:rsidRPr="00CB682C">
              <w:rPr>
                <w:rStyle w:val="SpecialBold"/>
              </w:rPr>
              <w:t>License to practice</w:t>
            </w:r>
          </w:p>
        </w:tc>
      </w:tr>
      <w:tr w:rsidTr="006F11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During Training</w:t>
            </w:r>
            <w:r w:rsidRPr="00CB682C">
              <w:t xml:space="preserve">: Competency development activities are subject to regulations directly related to licensing, occupational health and safety and where applicable contracts of training such as apprenticeships. </w:t>
            </w:r>
          </w:p>
          <w:p w:rsidR="00000000" w:rsidRPr="00CB682C" w:rsidP="00CB682C">
            <w:pPr>
              <w:pStyle w:val="BodyText"/>
            </w:pPr>
            <w:r w:rsidRPr="00CB682C">
              <w:rPr>
                <w:rStyle w:val="SpecialBold"/>
              </w:rPr>
              <w:t>In the workplace</w:t>
            </w:r>
            <w:r w:rsidRPr="00CB682C">
              <w:t xml:space="preserve">: The application of the skills and knowledge </w:t>
            </w:r>
            <w:r w:rsidRPr="00CB682C">
              <w:t xml:space="preserve">described in this unit require a license to practice in the workplace where work is carried out on electrical equipment or installations which are designed to operate at voltages greater than 50 V a.c. or 120 V d.c. </w:t>
            </w:r>
          </w:p>
          <w:p w:rsidR="00000000" w:rsidRPr="00CB682C" w:rsidP="00CB682C">
            <w:pPr>
              <w:pStyle w:val="BodyText"/>
            </w:pPr>
            <w:r w:rsidRPr="00CB682C">
              <w:t xml:space="preserve">Other conditions may apply under State </w:t>
            </w:r>
            <w:r w:rsidRPr="00CB682C">
              <w:t>and Territory legislative and regulatory requirements.</w:t>
            </w:r>
          </w:p>
        </w:tc>
      </w:tr>
    </w:tbl>
    <w:p w:rsidR="006F1127" w:rsidP="00CB682C">
      <w:pPr>
        <w:pStyle w:val="BodyText"/>
      </w:pPr>
    </w:p>
    <w:p w:rsidR="006F1127" w:rsidP="00CB682C">
      <w:pPr>
        <w:pStyle w:val="BodyText"/>
      </w:pPr>
    </w:p>
    <w:p w:rsidR="00000000" w:rsidRPr="00CB682C" w:rsidP="00CB682C">
      <w:pPr>
        <w:pStyle w:val="Heading1"/>
      </w:pPr>
      <w:bookmarkStart w:id="5" w:name="O_568832"/>
      <w:bookmarkEnd w:id="5"/>
      <w:r w:rsidRPr="00CB682C">
        <w:t>Pre-Requisites</w:t>
      </w:r>
    </w:p>
    <w:tbl>
      <w:tblPr>
        <w:tblW w:w="0" w:type="auto"/>
        <w:tblLayout w:type="fixed"/>
        <w:tblCellMar>
          <w:left w:w="62" w:type="dxa"/>
          <w:right w:w="62" w:type="dxa"/>
        </w:tblCellMar>
        <w:tblLook w:val="0000"/>
      </w:tblPr>
      <w:tblGrid>
        <w:gridCol w:w="2700"/>
        <w:gridCol w:w="1710"/>
        <w:gridCol w:w="4050"/>
      </w:tblGrid>
      <w:tr w:rsidTr="006F11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Prerequisite Unit</w:t>
            </w:r>
            <w:r w:rsidRPr="00CB682C">
              <w:t>(</w:t>
            </w:r>
            <w:r w:rsidRPr="00CB682C">
              <w:rPr>
                <w:rStyle w:val="SpecialBold"/>
              </w:rPr>
              <w:t>s</w:t>
            </w:r>
            <w:r w:rsidRPr="00CB682C">
              <w:t>)</w:t>
            </w:r>
          </w:p>
        </w:tc>
        <w:tc>
          <w:tcPr>
            <w:tcW w:w="5760" w:type="dxa"/>
            <w:gridSpan w:val="2"/>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2</w:t>
            </w:r>
            <w:r w:rsidRPr="00CB682C">
              <w:t xml:space="preserve">) </w:t>
            </w:r>
          </w:p>
        </w:tc>
      </w:tr>
      <w:tr w:rsidTr="006F11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682C">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2</w:t>
            </w:r>
            <w:r w:rsidRPr="00CB682C">
              <w:t>.</w:t>
            </w:r>
            <w:r w:rsidRPr="00CB682C">
              <w:rPr>
                <w:rStyle w:val="SpecialBold"/>
              </w:rPr>
              <w:t>1</w:t>
            </w:r>
            <w:r w:rsidRPr="00CB682C">
              <w:t xml:space="preserve">) </w:t>
            </w:r>
            <w:r w:rsidRPr="00CB682C">
              <w:rPr>
                <w:rStyle w:val="SpecialBold"/>
              </w:rPr>
              <w:t>Competencies</w:t>
            </w:r>
          </w:p>
        </w:tc>
      </w:tr>
      <w:tr w:rsidTr="006F11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Granti</w:t>
            </w:r>
            <w:r w:rsidRPr="00CB682C">
              <w:t>ng competency in this unit shall be made only after competency in the following unit(s) has/have been confirmed.</w:t>
            </w:r>
          </w:p>
        </w:tc>
      </w:tr>
      <w:tr w:rsidTr="006F11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Apply Occupational Health and Safety regulations, codes and practices in the workplace</w:t>
            </w:r>
          </w:p>
        </w:tc>
      </w:tr>
      <w:tr w:rsidTr="006F11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Fabricate, assemble and d</w:t>
            </w:r>
            <w:r w:rsidRPr="00CB682C">
              <w:t>ismantle utilities industry components</w:t>
            </w:r>
          </w:p>
        </w:tc>
      </w:tr>
      <w:tr w:rsidTr="006F11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Fix and secure electrotechnology equipment</w:t>
            </w:r>
          </w:p>
        </w:tc>
      </w:tr>
      <w:tr w:rsidTr="006F11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 xml:space="preserve">UEENEEE107A </w:t>
            </w:r>
          </w:p>
        </w:tc>
        <w:tc>
          <w:tcPr>
            <w:tcW w:w="405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t>Use drawings, diagrams, schedules, standards, codes and specifications</w:t>
            </w:r>
          </w:p>
        </w:tc>
      </w:tr>
    </w:tbl>
    <w:p w:rsidR="006F1127" w:rsidP="00CB682C">
      <w:pPr>
        <w:pStyle w:val="BodyText"/>
      </w:pPr>
    </w:p>
    <w:p w:rsidR="006F1127" w:rsidP="00CB682C">
      <w:pPr>
        <w:pStyle w:val="BodyText"/>
      </w:pPr>
    </w:p>
    <w:p w:rsidR="00000000" w:rsidRPr="00CB682C" w:rsidP="00CB682C">
      <w:pPr>
        <w:pStyle w:val="Heading1"/>
      </w:pPr>
      <w:bookmarkStart w:id="6" w:name="O_568831"/>
      <w:bookmarkEnd w:id="6"/>
      <w:r w:rsidRPr="00CB682C">
        <w:t>Employability Skills Information</w:t>
      </w:r>
    </w:p>
    <w:tbl>
      <w:tblPr>
        <w:tblW w:w="0" w:type="auto"/>
        <w:tblLayout w:type="fixed"/>
        <w:tblCellMar>
          <w:left w:w="62" w:type="dxa"/>
          <w:right w:w="62" w:type="dxa"/>
        </w:tblCellMar>
        <w:tblLook w:val="0000"/>
      </w:tblPr>
      <w:tblGrid>
        <w:gridCol w:w="2700"/>
        <w:gridCol w:w="5760"/>
      </w:tblGrid>
      <w:tr w:rsidTr="006F11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3</w:t>
            </w:r>
            <w:r w:rsidRPr="00CB682C">
              <w:t>)</w:t>
            </w:r>
          </w:p>
          <w:p w:rsidR="00000000" w:rsidRPr="00CB682C" w:rsidP="00CB682C">
            <w:pPr>
              <w:pStyle w:val="BodyText"/>
            </w:pPr>
            <w:r w:rsidRPr="00CB682C">
              <w:t>This unit contains Employability Skills</w:t>
            </w:r>
          </w:p>
          <w:p w:rsidR="00000000" w:rsidP="00CB682C">
            <w:pPr>
              <w:pStyle w:val="BodyText"/>
              <w:rPr>
                <w:lang w:val="en-NZ"/>
              </w:rPr>
            </w:pPr>
            <w:r w:rsidRPr="00CB682C">
              <w:t>The required outcomes described in this unit of competency contain applicable facets of Employability Skills. The Employability Skills Summary of the qualification in which this unit of competency is packaged wil</w:t>
            </w:r>
            <w:r w:rsidRPr="00CB682C">
              <w:t>l assist in identifying Employability Skill requirements.</w:t>
            </w:r>
          </w:p>
        </w:tc>
      </w:tr>
      <w:tr w:rsidTr="006F11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4</w:t>
            </w:r>
            <w:r w:rsidRPr="00CB682C">
              <w:t>)</w:t>
            </w:r>
          </w:p>
        </w:tc>
      </w:tr>
      <w:tr w:rsidTr="006F11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682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4</w:t>
            </w:r>
            <w:r w:rsidRPr="00CB682C">
              <w:t>.</w:t>
            </w:r>
            <w:r w:rsidRPr="00CB682C">
              <w:rPr>
                <w:rStyle w:val="SpecialBold"/>
              </w:rPr>
              <w:t>1</w:t>
            </w:r>
            <w:r w:rsidRPr="00CB682C">
              <w:t xml:space="preserve">) </w:t>
            </w:r>
            <w:r w:rsidRPr="00CB682C">
              <w:rPr>
                <w:rStyle w:val="SpecialBold"/>
              </w:rPr>
              <w:t>General Application</w:t>
            </w:r>
            <w:r w:rsidRPr="00CB682C">
              <w:t xml:space="preserve"> </w:t>
            </w:r>
          </w:p>
          <w:p w:rsidR="00000000" w:rsidRPr="00CB682C" w:rsidP="00CB682C">
            <w:pPr>
              <w:pStyle w:val="BodyText"/>
            </w:pPr>
            <w:r w:rsidRPr="00CB682C">
              <w:t xml:space="preserve">This unit applies to competency development entry-level employment based programs incorporated in approved contracts of training. </w:t>
            </w:r>
          </w:p>
          <w:p w:rsidR="00000000" w:rsidRPr="00CB682C" w:rsidP="00CB682C">
            <w:pPr>
              <w:pStyle w:val="BodyText"/>
            </w:pPr>
            <w:r w:rsidRPr="00CB682C">
              <w:rPr>
                <w:rStyle w:val="SpecialBold"/>
              </w:rPr>
              <w:t>4</w:t>
            </w:r>
            <w:r w:rsidRPr="00CB682C">
              <w:t>.</w:t>
            </w:r>
            <w:r w:rsidRPr="00CB682C">
              <w:rPr>
                <w:rStyle w:val="SpecialBold"/>
              </w:rPr>
              <w:t>2</w:t>
            </w:r>
            <w:r w:rsidRPr="00CB682C">
              <w:t xml:space="preserve">) </w:t>
            </w:r>
            <w:r w:rsidRPr="00CB682C">
              <w:rPr>
                <w:rStyle w:val="SpecialBold"/>
              </w:rPr>
              <w:t>Importation</w:t>
            </w:r>
            <w:r w:rsidRPr="00CB682C">
              <w:t xml:space="preserve"> </w:t>
            </w:r>
          </w:p>
          <w:p w:rsidR="00000000" w:rsidRPr="00CB682C" w:rsidP="00CB682C">
            <w:pPr>
              <w:pStyle w:val="BodyText"/>
            </w:pPr>
            <w:r w:rsidRPr="00CB682C">
              <w:t>RTOs wishing to import this unit into any qualification under the flexibility provisions of NQC Training Package Policy</w:t>
            </w:r>
          </w:p>
        </w:tc>
      </w:tr>
    </w:tbl>
    <w:p w:rsidR="006F1127" w:rsidP="00CB682C">
      <w:pPr>
        <w:pStyle w:val="BodyText"/>
      </w:pPr>
    </w:p>
    <w:p w:rsidR="006F1127" w:rsidP="00CB682C">
      <w:pPr>
        <w:pStyle w:val="BodyText"/>
      </w:pPr>
    </w:p>
    <w:p w:rsidR="00000000" w:rsidRPr="00CB682C" w:rsidP="00CB682C">
      <w:pPr>
        <w:pStyle w:val="Heading1"/>
      </w:pPr>
      <w:bookmarkStart w:id="7" w:name="O_568830"/>
      <w:bookmarkEnd w:id="7"/>
      <w:r w:rsidRPr="00CB682C">
        <w:t>Elements and Performance Criteria Pre-Content</w:t>
      </w:r>
    </w:p>
    <w:tbl>
      <w:tblPr>
        <w:tblW w:w="0" w:type="auto"/>
        <w:tblLayout w:type="fixed"/>
        <w:tblCellMar>
          <w:left w:w="62" w:type="dxa"/>
          <w:right w:w="62" w:type="dxa"/>
        </w:tblCellMar>
        <w:tblLook w:val="0000"/>
      </w:tblPr>
      <w:tblGrid>
        <w:gridCol w:w="2272"/>
        <w:gridCol w:w="6094"/>
      </w:tblGrid>
      <w:tr w:rsidTr="006F112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6</w:t>
            </w:r>
            <w:r w:rsidRPr="00CB682C">
              <w:t xml:space="preserve">) Elements describe the essential outcomes of a unit of </w:t>
            </w:r>
            <w:r w:rsidRPr="00CB682C">
              <w:t>competency</w:t>
            </w:r>
          </w:p>
        </w:tc>
        <w:tc>
          <w:tcPr>
            <w:tcW w:w="6094"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t>Performance criteria describe the required performance needed to demonstrate achievement of the Element. Assessment of performance is to be consistent with the evidence guide.</w:t>
            </w:r>
          </w:p>
        </w:tc>
      </w:tr>
    </w:tbl>
    <w:p w:rsidR="00000000" w:rsidRPr="00CB682C" w:rsidP="00CB682C">
      <w:pPr>
        <w:pStyle w:val="BodyText"/>
      </w:pPr>
    </w:p>
    <w:p w:rsidR="00000000" w:rsidRPr="00CB682C" w:rsidP="00CB682C">
      <w:pPr>
        <w:pStyle w:val="AllowPageBreak"/>
      </w:pPr>
    </w:p>
    <w:p w:rsidR="00000000" w:rsidRPr="00CB682C" w:rsidP="00CB682C">
      <w:pPr>
        <w:pStyle w:val="Heading1"/>
      </w:pPr>
      <w:bookmarkStart w:id="8" w:name="O_568829"/>
      <w:bookmarkEnd w:id="8"/>
      <w:r w:rsidRPr="00CB682C">
        <w:t>Elements and Performance Criteria</w:t>
      </w:r>
    </w:p>
    <w:tbl>
      <w:tblPr>
        <w:tblW w:w="0" w:type="auto"/>
        <w:tblLayout w:type="fixed"/>
        <w:tblCellMar>
          <w:left w:w="62" w:type="dxa"/>
          <w:right w:w="62" w:type="dxa"/>
        </w:tblCellMar>
        <w:tblLook w:val="0000"/>
      </w:tblPr>
      <w:tblGrid>
        <w:gridCol w:w="403"/>
        <w:gridCol w:w="1869"/>
        <w:gridCol w:w="900"/>
        <w:gridCol w:w="5194"/>
      </w:tblGrid>
      <w:tr w:rsidTr="006F1127">
        <w:tblPrEx>
          <w:tblW w:w="0" w:type="auto"/>
          <w:tblLayout w:type="fixed"/>
          <w:tblCellMar>
            <w:left w:w="62" w:type="dxa"/>
            <w:right w:w="62" w:type="dxa"/>
          </w:tblCellMar>
          <w:tblLook w:val="0000"/>
        </w:tblPrEx>
        <w:trPr>
          <w:tblHeader/>
        </w:trPr>
        <w:tc>
          <w:tcPr>
            <w:tcW w:w="2272" w:type="dxa"/>
            <w:gridSpan w:val="2"/>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ELEMENT</w:t>
            </w:r>
          </w:p>
        </w:tc>
        <w:tc>
          <w:tcPr>
            <w:tcW w:w="6094" w:type="dxa"/>
            <w:gridSpan w:val="2"/>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PERFORMANCE CRITERIA</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1</w:t>
            </w:r>
          </w:p>
        </w:tc>
        <w:tc>
          <w:tcPr>
            <w:tcW w:w="1869" w:type="dxa"/>
            <w:vMerge w:val="restart"/>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Prepare to terminate cables, cords and conductors</w:t>
            </w: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1.1</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 xml:space="preserve">OHS procedures for a given work area are identified, obtained and understood. </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1.2</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Health and safety risks are identified and established risk control measures and procedures in preparation for the work are followed.</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1.3</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Safety hazards that have not previously been identified are noted and established risk control measures are impleme</w:t>
            </w:r>
            <w:r w:rsidRPr="00CB682C">
              <w:t>nted.</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1.4</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The junction box/ terminal enclosures and terminal types are inspected to select the type and size of cable and conductor termination devices needed.</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1.5</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Tools, materials and testing devices needed to for terminating cables and cords are obtained in accordance with established procedures and checked for correct operation and safety.</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2</w:t>
            </w:r>
          </w:p>
        </w:tc>
        <w:tc>
          <w:tcPr>
            <w:tcW w:w="1869"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Terminate cables, cords and conductors</w:t>
            </w: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2.1</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OHS risk control measures and</w:t>
            </w:r>
            <w:r w:rsidRPr="00CB682C">
              <w:t xml:space="preserve"> procedures for carrying out the work are followed.</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2.2</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Circuits/machines/plant are checked as being isolated where necessary in strict accordance OHS requirements and procedures.</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2.3</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Cable/cord ends are cut and sheath/insulation stripped with suffic</w:t>
            </w:r>
            <w:r w:rsidRPr="00CB682C">
              <w:t>ient length to prevent stain on terminations and without undue waste.</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2.4</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Cable glands/retaining devices are fitted and secured to ensure cable/cord cannot be pulled out of entry into junction box/ terminal enclosure</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w:t>
            </w:r>
          </w:p>
        </w:tc>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2.5</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Conductors are prepared to suit the type of terminal at which there are to be connected.</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2.6</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 xml:space="preserve">Conductors are terminated to ensure continuity across the terminal. </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2.7</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Established methods for dealing with unexpected situations are discussed with approp</w:t>
            </w:r>
            <w:r w:rsidRPr="00CB682C">
              <w:t>riate person or persons and documented.</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2.8</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Unexpected situations are dealt with safely and with the approval of an authorised person.</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3</w:t>
            </w:r>
          </w:p>
        </w:tc>
        <w:tc>
          <w:tcPr>
            <w:tcW w:w="1869" w:type="dxa"/>
            <w:vMerge w:val="restart"/>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 xml:space="preserve">Test terminated cables and cords </w:t>
            </w: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3.1</w:t>
            </w:r>
          </w:p>
        </w:tc>
        <w:tc>
          <w:tcPr>
            <w:tcW w:w="519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OHS work completion risk control measures and procedures are followed.</w:t>
            </w:r>
          </w:p>
        </w:tc>
      </w:tr>
      <w:tr w:rsidTr="006F112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3.2</w:t>
            </w:r>
          </w:p>
        </w:tc>
        <w:tc>
          <w:tcPr>
            <w:tcW w:w="5194"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t>Terminated cables are tested to ensure continuity and insulation resistance comply with requirements.</w:t>
            </w:r>
          </w:p>
        </w:tc>
      </w:tr>
    </w:tbl>
    <w:p w:rsidR="006F1127" w:rsidP="00CB682C">
      <w:pPr>
        <w:pStyle w:val="BodyText"/>
      </w:pPr>
    </w:p>
    <w:p w:rsidR="006F1127" w:rsidP="00CB682C">
      <w:pPr>
        <w:pStyle w:val="BodyText"/>
      </w:pPr>
    </w:p>
    <w:p w:rsidR="00000000" w:rsidRPr="00CB682C" w:rsidP="00CB682C">
      <w:pPr>
        <w:pStyle w:val="Heading1"/>
      </w:pPr>
      <w:bookmarkStart w:id="9" w:name="O_568828"/>
      <w:bookmarkEnd w:id="9"/>
      <w:r w:rsidRPr="00CB682C">
        <w:t>Required Skills and Knowledge</w:t>
      </w:r>
    </w:p>
    <w:tbl>
      <w:tblPr>
        <w:tblW w:w="0" w:type="auto"/>
        <w:tblLayout w:type="fixed"/>
        <w:tblCellMar>
          <w:left w:w="62" w:type="dxa"/>
          <w:right w:w="62" w:type="dxa"/>
        </w:tblCellMar>
        <w:tblLook w:val="0000"/>
      </w:tblPr>
      <w:tblGrid>
        <w:gridCol w:w="8366"/>
      </w:tblGrid>
      <w:tr w:rsidTr="006F1127">
        <w:tblPrEx>
          <w:tblW w:w="0" w:type="auto"/>
          <w:tblLayout w:type="fixed"/>
          <w:tblCellMar>
            <w:left w:w="62" w:type="dxa"/>
            <w:right w:w="62" w:type="dxa"/>
          </w:tblCellMar>
          <w:tblLook w:val="0000"/>
        </w:tblPrEx>
        <w:trPr>
          <w:tblHeader/>
        </w:trPr>
        <w:tc>
          <w:tcPr>
            <w:tcW w:w="8366"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REQUIRED SKILLS AND KNOWLEDGE</w:t>
            </w:r>
          </w:p>
        </w:tc>
      </w:tr>
      <w:tr w:rsidTr="006F1127">
        <w:tblPrEx>
          <w:tblW w:w="0" w:type="auto"/>
          <w:tblLayout w:type="fixed"/>
          <w:tblCellMar>
            <w:left w:w="62" w:type="dxa"/>
            <w:right w:w="62" w:type="dxa"/>
          </w:tblCellMar>
          <w:tblLook w:val="0000"/>
        </w:tblPrEx>
        <w:tc>
          <w:tcPr>
            <w:tcW w:w="8366"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7)</w:t>
            </w:r>
            <w:r w:rsidRPr="00CB682C">
              <w:t xml:space="preserve"> This describes the essential skills and knowledge and their level, required for this unit.</w:t>
            </w:r>
          </w:p>
        </w:tc>
      </w:tr>
      <w:tr w:rsidTr="006F1127">
        <w:tblPrEx>
          <w:tblW w:w="0" w:type="auto"/>
          <w:tblLayout w:type="fixed"/>
          <w:tblCellMar>
            <w:left w:w="62" w:type="dxa"/>
            <w:right w:w="62" w:type="dxa"/>
          </w:tblCellMar>
          <w:tblLook w:val="0000"/>
        </w:tblPrEx>
        <w:tc>
          <w:tcPr>
            <w:tcW w:w="8366"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t>Evidence shall show that knowledge has been acquired of safe working practices and terminating cables, cords and accessories for low voltage circuits.</w:t>
            </w:r>
          </w:p>
          <w:p w:rsidR="00000000" w:rsidRPr="00CB682C" w:rsidP="00CB682C">
            <w:pPr>
              <w:pStyle w:val="BodyText"/>
            </w:pPr>
            <w:r w:rsidRPr="00CB682C">
              <w:t>The knowledg</w:t>
            </w:r>
            <w:r w:rsidRPr="00CB682C">
              <w:t>e and skills shall be contextualised to current industry standards, technologies and practices.</w:t>
            </w:r>
          </w:p>
          <w:p w:rsidR="00000000" w:rsidRPr="00CB682C" w:rsidP="00CB682C">
            <w:pPr>
              <w:pStyle w:val="BodyText"/>
            </w:pPr>
            <w:r w:rsidRPr="00CB682C">
              <w:rPr>
                <w:rStyle w:val="SpecialBold"/>
              </w:rPr>
              <w:t>KS01-EG106A</w:t>
            </w:r>
            <w:r w:rsidRPr="00CB682C">
              <w:rPr>
                <w:rStyle w:val="SpecialBold"/>
              </w:rPr>
              <w:tab/>
              <w:t xml:space="preserve">              Wiring systems types, application and terminations</w:t>
            </w:r>
          </w:p>
          <w:p w:rsidR="00000000" w:rsidRPr="00CB682C" w:rsidP="00CB682C">
            <w:pPr>
              <w:pStyle w:val="BodyText"/>
            </w:pPr>
            <w:r w:rsidRPr="00CB682C">
              <w:t>Evidence shall show an understanding of wiring systems types, application and termi</w:t>
            </w:r>
            <w:r w:rsidRPr="00CB682C">
              <w:t>nations to an extent indicated by the following aspects:</w:t>
            </w:r>
          </w:p>
          <w:p w:rsidR="00000000" w:rsidRPr="00CB682C" w:rsidP="00CB682C">
            <w:pPr>
              <w:pStyle w:val="BodyText"/>
            </w:pPr>
            <w:r w:rsidRPr="00CB682C">
              <w:t>T1</w:t>
            </w:r>
            <w:r w:rsidRPr="00CB682C">
              <w:tab/>
              <w:t>Cable types and terminations encompassing:</w:t>
            </w:r>
          </w:p>
          <w:p w:rsidR="00000000" w:rsidRPr="00CB682C" w:rsidP="00CB682C">
            <w:pPr>
              <w:pStyle w:val="ListBullet"/>
            </w:pPr>
            <w:r w:rsidRPr="00CB682C">
              <w:t>cable variates (single cables, flexible cables, flexible cords, shielded cables, armoured cables, ribbon cables, other similar and like cables)</w:t>
            </w:r>
          </w:p>
          <w:p w:rsidR="00000000" w:rsidRPr="00CB682C" w:rsidP="00CB682C">
            <w:pPr>
              <w:pStyle w:val="ListBullet"/>
            </w:pPr>
            <w:r w:rsidRPr="00CB682C">
              <w:t>structural components of cables and their purpose (conductor material, stranding, insulation type, voltage rating, screening, sheathing, armour and serving)</w:t>
            </w:r>
          </w:p>
          <w:p w:rsidR="00000000" w:rsidRPr="00CB682C" w:rsidP="00CB682C">
            <w:pPr>
              <w:pStyle w:val="ListBullet"/>
            </w:pPr>
            <w:r w:rsidRPr="00CB682C">
              <w:t>Australian and International colour standards for cords and cables</w:t>
            </w:r>
          </w:p>
          <w:p w:rsidR="00000000" w:rsidRPr="00CB682C" w:rsidP="00CB682C">
            <w:pPr>
              <w:pStyle w:val="ListBullet"/>
            </w:pPr>
            <w:r w:rsidRPr="00CB682C">
              <w:t>construction of common cables</w:t>
            </w:r>
          </w:p>
          <w:p w:rsidR="00000000" w:rsidRPr="00CB682C" w:rsidP="00CB682C">
            <w:pPr>
              <w:pStyle w:val="ListBullet"/>
            </w:pPr>
            <w:r w:rsidRPr="00CB682C">
              <w:t>id</w:t>
            </w:r>
            <w:r w:rsidRPr="00CB682C">
              <w:t>entification of cords and cables by conductor size, type and rating</w:t>
            </w:r>
          </w:p>
          <w:p w:rsidR="00000000" w:rsidRPr="00CB682C" w:rsidP="00CB682C">
            <w:pPr>
              <w:pStyle w:val="ListBullet"/>
            </w:pPr>
            <w:r w:rsidRPr="00CB682C">
              <w:t>application of various cords and cables types</w:t>
            </w:r>
          </w:p>
          <w:p w:rsidR="00000000" w:rsidRPr="00CB682C" w:rsidP="00CB682C">
            <w:pPr>
              <w:pStyle w:val="ListBullet"/>
            </w:pPr>
            <w:r w:rsidRPr="00CB682C">
              <w:t>identification of hardware used in terminating cords and cables</w:t>
            </w:r>
          </w:p>
          <w:p w:rsidR="00000000" w:rsidRPr="00CB682C" w:rsidP="00CB682C">
            <w:pPr>
              <w:pStyle w:val="ListBullet"/>
            </w:pPr>
            <w:r w:rsidRPr="00CB682C">
              <w:t>preparation and termination of cords and cables</w:t>
            </w:r>
          </w:p>
          <w:p w:rsidR="00000000" w:rsidRPr="00CB682C" w:rsidP="00CB682C">
            <w:pPr>
              <w:pStyle w:val="ListBullet"/>
            </w:pPr>
            <w:r w:rsidRPr="00CB682C">
              <w:t>termination of cords and cable</w:t>
            </w:r>
            <w:r w:rsidRPr="00CB682C">
              <w:t>s using crimp lugs, tunnel connectors, soldering and solderless lugs</w:t>
            </w:r>
          </w:p>
          <w:p w:rsidR="00000000" w:rsidRPr="00CB682C" w:rsidP="00CB682C">
            <w:pPr>
              <w:pStyle w:val="ListBullet"/>
            </w:pPr>
            <w:r w:rsidRPr="00CB682C">
              <w:t>requirements to protect and support cables adequately (protection against mechanical damage, protection from adverse temperatures and corrosion and protection from magnetic field that may</w:t>
            </w:r>
            <w:r w:rsidRPr="00CB682C">
              <w:t xml:space="preserve"> affect the performance of the cable).</w:t>
            </w:r>
          </w:p>
          <w:p w:rsidR="00000000" w:rsidRPr="00CB682C" w:rsidP="00CB682C">
            <w:pPr>
              <w:pStyle w:val="BodyText"/>
            </w:pPr>
            <w:r w:rsidRPr="00CB682C">
              <w:t>T2</w:t>
            </w:r>
            <w:r w:rsidRPr="00CB682C">
              <w:tab/>
              <w:t>Cords, cables and plugs encompassing:</w:t>
            </w:r>
          </w:p>
          <w:p w:rsidR="00000000" w:rsidRPr="00CB682C" w:rsidP="00CB682C">
            <w:pPr>
              <w:pStyle w:val="ListBullet"/>
            </w:pPr>
            <w:r w:rsidRPr="00CB682C">
              <w:t>selection of flexible cords for given applications</w:t>
            </w:r>
          </w:p>
          <w:p w:rsidR="00000000" w:rsidRPr="00CB682C" w:rsidP="00CB682C">
            <w:pPr>
              <w:pStyle w:val="ListBullet"/>
            </w:pPr>
            <w:r w:rsidRPr="00CB682C">
              <w:t>preparation of cord ends for connection</w:t>
            </w:r>
          </w:p>
          <w:p w:rsidR="00000000" w:rsidRPr="00CB682C" w:rsidP="00CB682C">
            <w:pPr>
              <w:pStyle w:val="ListBullet"/>
            </w:pPr>
            <w:r w:rsidRPr="00CB682C">
              <w:t>fitting standard three pin plug tops to a flexible cords</w:t>
            </w:r>
          </w:p>
          <w:p w:rsidR="00000000" w:rsidRPr="00CB682C" w:rsidP="00CB682C">
            <w:pPr>
              <w:pStyle w:val="ListBullet"/>
            </w:pPr>
            <w:r w:rsidRPr="00CB682C">
              <w:t xml:space="preserve">fitting standard three pin </w:t>
            </w:r>
            <w:r w:rsidRPr="00CB682C">
              <w:t>extension sockets to a flexible cords</w:t>
            </w:r>
          </w:p>
          <w:p w:rsidR="00000000" w:rsidRPr="00CB682C" w:rsidP="00CB682C">
            <w:pPr>
              <w:pStyle w:val="ListBullet"/>
            </w:pPr>
            <w:r w:rsidRPr="00CB682C">
              <w:t>connecting variety of plugs to different flexible cord types</w:t>
            </w:r>
          </w:p>
          <w:p w:rsidR="00000000" w:rsidRPr="00CB682C" w:rsidP="00CB682C">
            <w:pPr>
              <w:pStyle w:val="ListBullet"/>
            </w:pPr>
            <w:r w:rsidRPr="00CB682C">
              <w:t>requirements of AS/NZS 3000 for flexible cords, cables and plugs</w:t>
            </w:r>
          </w:p>
          <w:p w:rsidR="00000000" w:rsidRPr="00CB682C" w:rsidP="00CB682C">
            <w:pPr>
              <w:pStyle w:val="ListBullet"/>
            </w:pPr>
            <w:r w:rsidRPr="00CB682C">
              <w:t>using test equipment to test and locate various faults in flexible cords and cables.</w:t>
            </w:r>
          </w:p>
          <w:p w:rsidR="00000000" w:rsidRPr="00CB682C" w:rsidP="00CB682C">
            <w:pPr>
              <w:pStyle w:val="BodyText"/>
            </w:pPr>
            <w:r w:rsidRPr="00CB682C">
              <w:t>T3</w:t>
            </w:r>
            <w:r w:rsidRPr="00CB682C">
              <w:tab/>
              <w:t>Flat</w:t>
            </w:r>
            <w:r w:rsidRPr="00CB682C">
              <w:t xml:space="preserve"> TPS wiring systems encompassing:</w:t>
            </w:r>
          </w:p>
          <w:p w:rsidR="00000000" w:rsidRPr="00CB682C" w:rsidP="00CB682C">
            <w:pPr>
              <w:pStyle w:val="ListBullet"/>
            </w:pPr>
            <w:r w:rsidRPr="00CB682C">
              <w:t>Australian Standards requirements for the termination and protection of flat TPS cable</w:t>
            </w:r>
          </w:p>
          <w:p w:rsidR="00000000" w:rsidRPr="00CB682C" w:rsidP="00CB682C">
            <w:pPr>
              <w:pStyle w:val="ListBullet"/>
            </w:pPr>
            <w:r w:rsidRPr="00CB682C">
              <w:t>Installation of flat TPS cable in trunking and duct for the supply of socket outlets</w:t>
            </w:r>
          </w:p>
          <w:p w:rsidR="00000000" w:rsidRPr="00CB682C" w:rsidP="00CB682C">
            <w:pPr>
              <w:pStyle w:val="ListBullet"/>
            </w:pPr>
            <w:r w:rsidRPr="00CB682C">
              <w:t>using flat TPS cable for lighting looms</w:t>
            </w:r>
          </w:p>
          <w:p w:rsidR="00000000" w:rsidRPr="00CB682C" w:rsidP="00CB682C">
            <w:pPr>
              <w:pStyle w:val="ListBullet"/>
            </w:pPr>
            <w:r w:rsidRPr="00CB682C">
              <w:t>testing circuits to ensure they are safe and operate as intended</w:t>
            </w:r>
          </w:p>
          <w:p w:rsidR="00000000" w:rsidRPr="00CB682C" w:rsidP="00CB682C">
            <w:pPr>
              <w:pStyle w:val="BodyText"/>
            </w:pPr>
            <w:r w:rsidRPr="00CB682C">
              <w:t>T4</w:t>
            </w:r>
            <w:r w:rsidRPr="00CB682C">
              <w:tab/>
              <w:t>Circular TPS wiring systems encompassing:</w:t>
            </w:r>
          </w:p>
          <w:p w:rsidR="00000000" w:rsidRPr="00CB682C" w:rsidP="00CB682C">
            <w:pPr>
              <w:pStyle w:val="ListBullet"/>
            </w:pPr>
            <w:r w:rsidRPr="00CB682C">
              <w:t>Australian Standards requirements for the installation of circular TPS cable</w:t>
            </w:r>
          </w:p>
          <w:p w:rsidR="00000000" w:rsidRPr="00CB682C" w:rsidP="00CB682C">
            <w:pPr>
              <w:pStyle w:val="ListBullet"/>
            </w:pPr>
            <w:r w:rsidRPr="00CB682C">
              <w:t>installation of circular TPS cables on cable ladder/tray</w:t>
            </w:r>
          </w:p>
          <w:p w:rsidR="00000000" w:rsidRPr="00CB682C" w:rsidP="00CB682C">
            <w:pPr>
              <w:pStyle w:val="ListBullet"/>
            </w:pPr>
            <w:r w:rsidRPr="00CB682C">
              <w:t>installatio</w:t>
            </w:r>
            <w:r w:rsidRPr="00CB682C">
              <w:t xml:space="preserve">n of circular TPS cable </w:t>
            </w:r>
          </w:p>
          <w:p w:rsidR="00000000" w:rsidRPr="00CB682C" w:rsidP="00CB682C">
            <w:pPr>
              <w:pStyle w:val="ListBullet"/>
            </w:pPr>
            <w:r w:rsidRPr="00CB682C">
              <w:t>testing circuits to ensure they are safe and operate as intended</w:t>
            </w:r>
          </w:p>
          <w:p w:rsidR="00000000" w:rsidRPr="00CB682C" w:rsidP="00CB682C">
            <w:pPr>
              <w:pStyle w:val="BodyText"/>
            </w:pPr>
            <w:r w:rsidRPr="00CB682C">
              <w:t>T5</w:t>
            </w:r>
            <w:r w:rsidRPr="00CB682C">
              <w:tab/>
              <w:t>Thermoplastic insulated cables in non-metallic enclosures encompassing:</w:t>
            </w:r>
          </w:p>
          <w:p w:rsidR="00000000" w:rsidRPr="00CB682C" w:rsidP="00CB682C">
            <w:pPr>
              <w:pStyle w:val="ListBullet"/>
            </w:pPr>
            <w:r w:rsidRPr="00CB682C">
              <w:t>Australian Standards requirements for the installation of non-metallic enclosures</w:t>
            </w:r>
          </w:p>
          <w:p w:rsidR="00000000" w:rsidRPr="00CB682C" w:rsidP="00CB682C">
            <w:pPr>
              <w:pStyle w:val="ListBullet"/>
            </w:pPr>
            <w:r w:rsidRPr="00CB682C">
              <w:t xml:space="preserve">cutting </w:t>
            </w:r>
            <w:r w:rsidRPr="00CB682C">
              <w:t>and setting rigid non-metallic ducting, trunking and conduit and accessories</w:t>
            </w:r>
          </w:p>
          <w:p w:rsidR="00000000" w:rsidRPr="00CB682C" w:rsidP="00CB682C">
            <w:pPr>
              <w:pStyle w:val="ListBullet"/>
            </w:pPr>
            <w:r w:rsidRPr="00CB682C">
              <w:t>installation of circuits using TPI cables in non-metallic enclosures</w:t>
            </w:r>
          </w:p>
          <w:p w:rsidR="00000000" w:rsidRPr="00CB682C" w:rsidP="00CB682C">
            <w:pPr>
              <w:pStyle w:val="ListBullet"/>
            </w:pPr>
            <w:r w:rsidRPr="00CB682C">
              <w:t>testing circuits to ensure they are safe and operate as intended</w:t>
            </w:r>
          </w:p>
          <w:p w:rsidR="00000000" w:rsidRPr="00CB682C" w:rsidP="00CB682C">
            <w:pPr>
              <w:pStyle w:val="BodyText"/>
            </w:pPr>
            <w:r w:rsidRPr="00CB682C">
              <w:t>T6</w:t>
            </w:r>
            <w:r w:rsidRPr="00CB682C">
              <w:tab/>
              <w:t>Thermoplastic insulated cables in metallic</w:t>
            </w:r>
            <w:r w:rsidRPr="00CB682C">
              <w:t xml:space="preserve"> enclosures encompassing:</w:t>
            </w:r>
          </w:p>
          <w:p w:rsidR="00000000" w:rsidRPr="00CB682C" w:rsidP="00CB682C">
            <w:pPr>
              <w:pStyle w:val="ListBullet"/>
            </w:pPr>
            <w:r w:rsidRPr="00CB682C">
              <w:t>Australian Standards requirements for the installation of metallic enclosures</w:t>
            </w:r>
          </w:p>
          <w:p w:rsidR="00000000" w:rsidRPr="00CB682C" w:rsidP="00CB682C">
            <w:pPr>
              <w:pStyle w:val="ListBullet"/>
            </w:pPr>
            <w:r w:rsidRPr="00CB682C">
              <w:t>fitting metallic conduit to metallic trunking and accessories</w:t>
            </w:r>
          </w:p>
          <w:p w:rsidR="00000000" w:rsidRPr="00CB682C" w:rsidP="00CB682C">
            <w:pPr>
              <w:pStyle w:val="ListBullet"/>
            </w:pPr>
            <w:r w:rsidRPr="00CB682C">
              <w:t xml:space="preserve">cutting, threading and setting metallic conduit </w:t>
            </w:r>
          </w:p>
          <w:p w:rsidR="00000000" w:rsidRPr="00CB682C" w:rsidP="00CB682C">
            <w:pPr>
              <w:pStyle w:val="ListBullet"/>
            </w:pPr>
            <w:r w:rsidRPr="00CB682C">
              <w:t>installation of circuits using thermopla</w:t>
            </w:r>
            <w:r w:rsidRPr="00CB682C">
              <w:t>stic insulated cables in metallic conduit, ducting and trunking</w:t>
            </w:r>
          </w:p>
          <w:p w:rsidR="00000000" w:rsidRPr="00CB682C" w:rsidP="00CB682C">
            <w:pPr>
              <w:pStyle w:val="ListBullet"/>
            </w:pPr>
            <w:r w:rsidRPr="00CB682C">
              <w:t>testing circuits to ensure they are safe and operate as intended</w:t>
            </w:r>
          </w:p>
          <w:p w:rsidR="00000000" w:rsidRPr="00CB682C" w:rsidP="00CB682C">
            <w:pPr>
              <w:pStyle w:val="BodyText"/>
            </w:pPr>
            <w:r w:rsidRPr="00CB682C">
              <w:t>T7</w:t>
            </w:r>
            <w:r w:rsidRPr="00CB682C">
              <w:tab/>
              <w:t>Fire protection cabling and systems encompassing:</w:t>
            </w:r>
          </w:p>
          <w:p w:rsidR="00000000" w:rsidRPr="00CB682C" w:rsidP="00CB682C">
            <w:pPr>
              <w:pStyle w:val="ListBullet"/>
            </w:pPr>
            <w:r w:rsidRPr="00CB682C">
              <w:t>Australian Standards requirements for the installation of fire protection</w:t>
            </w:r>
            <w:r w:rsidRPr="00CB682C">
              <w:t xml:space="preserve"> cable and mineral insulated metal sheathed cables</w:t>
            </w:r>
          </w:p>
          <w:p w:rsidR="00000000" w:rsidRPr="00CB682C" w:rsidP="00CB682C">
            <w:pPr>
              <w:pStyle w:val="ListBullet"/>
            </w:pPr>
            <w:r w:rsidRPr="00CB682C">
              <w:t>requirements when passing a wiring system through a fire rated wall or floor</w:t>
            </w:r>
          </w:p>
          <w:p w:rsidR="00000000" w:rsidRPr="00CB682C" w:rsidP="00CB682C">
            <w:pPr>
              <w:pStyle w:val="ListBullet"/>
            </w:pPr>
            <w:r w:rsidRPr="00CB682C">
              <w:t>recognising different fire protection cable types including Pyrolex, Radox and MIMS</w:t>
            </w:r>
          </w:p>
          <w:p w:rsidR="00000000" w:rsidRPr="00CB682C" w:rsidP="00CB682C">
            <w:pPr>
              <w:pStyle w:val="ListBullet"/>
            </w:pPr>
            <w:r w:rsidRPr="00CB682C">
              <w:t>termination of fire protection cable.</w:t>
            </w:r>
          </w:p>
          <w:p w:rsidR="00000000" w:rsidRPr="00CB682C" w:rsidP="00CB682C">
            <w:pPr>
              <w:pStyle w:val="ListBullet"/>
            </w:pPr>
            <w:r w:rsidRPr="00CB682C">
              <w:t>installation of circuits using fire protection cable.</w:t>
            </w:r>
          </w:p>
          <w:p w:rsidR="00000000" w:rsidRPr="00CB682C" w:rsidP="00CB682C">
            <w:pPr>
              <w:pStyle w:val="ListBullet"/>
            </w:pPr>
            <w:r w:rsidRPr="00CB682C">
              <w:t>testing circuits to ensure they are safe and operate as intended</w:t>
            </w:r>
          </w:p>
          <w:p w:rsidR="00000000" w:rsidRPr="00CB682C" w:rsidP="00CB682C">
            <w:pPr>
              <w:pStyle w:val="BodyText"/>
            </w:pPr>
            <w:r w:rsidRPr="00CB682C">
              <w:t>T8</w:t>
            </w:r>
            <w:r w:rsidRPr="00CB682C">
              <w:tab/>
              <w:t>Steel wire armoured (SWA) cables encompassing:</w:t>
            </w:r>
          </w:p>
          <w:p w:rsidR="00000000" w:rsidRPr="00CB682C" w:rsidP="00CB682C">
            <w:pPr>
              <w:pStyle w:val="ListBullet"/>
            </w:pPr>
            <w:r w:rsidRPr="00CB682C">
              <w:t>Australian Standards requirements for the installation of SWA cables</w:t>
            </w:r>
          </w:p>
          <w:p w:rsidR="00000000" w:rsidRPr="00CB682C" w:rsidP="00CB682C">
            <w:pPr>
              <w:pStyle w:val="ListBullet"/>
            </w:pPr>
            <w:r w:rsidRPr="00CB682C">
              <w:t>identifying acces</w:t>
            </w:r>
            <w:r w:rsidRPr="00CB682C">
              <w:t xml:space="preserve">sories used with SWA cables </w:t>
            </w:r>
          </w:p>
          <w:p w:rsidR="00000000" w:rsidRPr="00CB682C" w:rsidP="00CB682C">
            <w:pPr>
              <w:pStyle w:val="ListBullet"/>
            </w:pPr>
            <w:r w:rsidRPr="00CB682C">
              <w:t>installation of circuits using SWA cables</w:t>
            </w:r>
          </w:p>
          <w:p w:rsidR="00000000" w:rsidRPr="00CB682C" w:rsidP="00CB682C">
            <w:pPr>
              <w:pStyle w:val="ListBullet"/>
            </w:pPr>
            <w:r w:rsidRPr="00CB682C">
              <w:t>testing circuits to ensure they are safe and operate as intended</w:t>
            </w:r>
          </w:p>
          <w:p w:rsidR="00000000" w:rsidRPr="00CB682C" w:rsidP="00CB682C">
            <w:pPr>
              <w:pStyle w:val="BodyText"/>
            </w:pPr>
            <w:r w:rsidRPr="00CB682C">
              <w:t>T9</w:t>
            </w:r>
            <w:r w:rsidRPr="00CB682C">
              <w:tab/>
              <w:t>Trailing cables and catenary systems encompassing:</w:t>
            </w:r>
          </w:p>
          <w:p w:rsidR="00000000" w:rsidRPr="00CB682C" w:rsidP="00CB682C">
            <w:pPr>
              <w:pStyle w:val="ListBullet"/>
            </w:pPr>
            <w:r w:rsidRPr="00CB682C">
              <w:t>Australian Standards requirements for the installation of trailin</w:t>
            </w:r>
            <w:r w:rsidRPr="00CB682C">
              <w:t>g cables and catenary wiring</w:t>
            </w:r>
          </w:p>
          <w:p w:rsidR="00000000" w:rsidRPr="00CB682C" w:rsidP="00CB682C">
            <w:pPr>
              <w:pStyle w:val="ListBullet"/>
            </w:pPr>
            <w:r w:rsidRPr="00CB682C">
              <w:t>identifying equipment used with trailing cable and catenary systems</w:t>
            </w:r>
          </w:p>
          <w:p w:rsidR="00000000" w:rsidRPr="00CB682C" w:rsidP="00CB682C">
            <w:pPr>
              <w:pStyle w:val="ListBullet"/>
            </w:pPr>
            <w:r w:rsidRPr="00CB682C">
              <w:t>installation of catenary wiring systems</w:t>
            </w:r>
          </w:p>
          <w:p w:rsidR="00000000" w:rsidRPr="00CB682C" w:rsidP="00CB682C">
            <w:pPr>
              <w:pStyle w:val="ListBullet"/>
            </w:pPr>
            <w:r w:rsidRPr="00CB682C">
              <w:t>installation of trailing cable systems supplying pendant sockets</w:t>
            </w:r>
          </w:p>
          <w:p w:rsidR="00000000" w:rsidRPr="00CB682C" w:rsidP="00CB682C">
            <w:pPr>
              <w:pStyle w:val="ListBullet"/>
            </w:pPr>
            <w:r w:rsidRPr="00CB682C">
              <w:t>testing the installation to ensure it is safe and oper</w:t>
            </w:r>
            <w:r w:rsidRPr="00CB682C">
              <w:t>ates as intended</w:t>
            </w:r>
          </w:p>
        </w:tc>
      </w:tr>
    </w:tbl>
    <w:p w:rsidR="006F1127" w:rsidP="00CB682C">
      <w:pPr>
        <w:pStyle w:val="BodyText"/>
      </w:pPr>
    </w:p>
    <w:p w:rsidR="006F1127" w:rsidP="00CB682C">
      <w:pPr>
        <w:pStyle w:val="BodyText"/>
      </w:pPr>
    </w:p>
    <w:p w:rsidR="00000000" w:rsidRPr="00CB682C" w:rsidP="00CB682C">
      <w:pPr>
        <w:pStyle w:val="Heading1"/>
      </w:pPr>
      <w:bookmarkStart w:id="10" w:name="O_568827"/>
      <w:bookmarkEnd w:id="10"/>
      <w:r w:rsidRPr="00CB682C">
        <w:t>Evidence Guide</w:t>
      </w:r>
    </w:p>
    <w:tbl>
      <w:tblPr>
        <w:tblW w:w="0" w:type="auto"/>
        <w:tblLayout w:type="fixed"/>
        <w:tblCellMar>
          <w:left w:w="62" w:type="dxa"/>
          <w:right w:w="62" w:type="dxa"/>
        </w:tblCellMar>
        <w:tblLook w:val="0000"/>
      </w:tblPr>
      <w:tblGrid>
        <w:gridCol w:w="2157"/>
        <w:gridCol w:w="295"/>
        <w:gridCol w:w="540"/>
        <w:gridCol w:w="5374"/>
      </w:tblGrid>
      <w:tr w:rsidTr="006F1127">
        <w:tblPrEx>
          <w:tblW w:w="0" w:type="auto"/>
          <w:tblLayout w:type="fixed"/>
          <w:tblCellMar>
            <w:left w:w="62" w:type="dxa"/>
            <w:right w:w="62" w:type="dxa"/>
          </w:tblCellMar>
          <w:tblLook w:val="0000"/>
        </w:tblPrEx>
        <w:trPr>
          <w:tblHeader/>
        </w:trPr>
        <w:tc>
          <w:tcPr>
            <w:tcW w:w="8366" w:type="dxa"/>
            <w:gridSpan w:val="4"/>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EVIDENCE GUIDE</w:t>
            </w:r>
          </w:p>
        </w:tc>
      </w:tr>
      <w:tr w:rsidTr="006F1127">
        <w:tblPrEx>
          <w:tblW w:w="0" w:type="auto"/>
          <w:tblLayout w:type="fixed"/>
          <w:tblCellMar>
            <w:left w:w="62" w:type="dxa"/>
            <w:right w:w="62" w:type="dxa"/>
          </w:tblCellMar>
          <w:tblLook w:val="0000"/>
        </w:tblPrEx>
        <w:tc>
          <w:tcPr>
            <w:tcW w:w="8366" w:type="dxa"/>
            <w:gridSpan w:val="4"/>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9</w:t>
            </w:r>
            <w:r w:rsidRPr="00CB682C">
              <w:t xml:space="preserve">) The evidence guide provides advice on assessment and must be read in conjunction with the Performance </w:t>
            </w:r>
            <w:r w:rsidRPr="00CB682C">
              <w:t xml:space="preserve">Criteria, Required Skills and Knowledge, the Range Statement and the Assessment Guidelines for this Training Package. </w:t>
            </w:r>
          </w:p>
          <w:p w:rsidR="00000000" w:rsidP="00CB682C">
            <w:pPr>
              <w:pStyle w:val="BodyText"/>
              <w:rPr>
                <w:lang w:val="en-NZ"/>
              </w:rPr>
            </w:pPr>
            <w:r w:rsidRPr="00CB682C">
              <w:t>The Evidence Guide forms an integral part of this unit. It must be used in conjunction with all parts of this unit and performed in accor</w:t>
            </w:r>
            <w:r w:rsidRPr="00CB682C">
              <w:t>dance with the Assessment Guidelines of this Training Package.</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Overview of Assessment</w:t>
            </w:r>
          </w:p>
        </w:tc>
        <w:tc>
          <w:tcPr>
            <w:tcW w:w="6209" w:type="dxa"/>
            <w:gridSpan w:val="3"/>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9</w:t>
            </w:r>
            <w:r w:rsidRPr="00CB682C">
              <w:t>.</w:t>
            </w:r>
            <w:r w:rsidRPr="00CB682C">
              <w:rPr>
                <w:rStyle w:val="SpecialBold"/>
              </w:rPr>
              <w:t>1</w:t>
            </w:r>
            <w:r w:rsidRPr="00CB682C">
              <w:t xml:space="preserve">) </w:t>
            </w:r>
          </w:p>
          <w:p w:rsidR="00000000" w:rsidRPr="00CB682C" w:rsidP="00CB682C">
            <w:pPr>
              <w:pStyle w:val="BodyText"/>
            </w:pPr>
            <w:r w:rsidRPr="00CB682C">
              <w:t>Longitudinal competency development approaches to assessment, such</w:t>
            </w:r>
            <w:r w:rsidRPr="00CB682C">
              <w:t xml:space="preserve"> as Profiling, require data to be reliably gathered in a form that can be consistently interpreted over time. This approach is best utilised in Apprenticeship programs and reduces assessment intervention. It is the Industry's preferred model for apprentice</w:t>
            </w:r>
            <w:r w:rsidRPr="00CB682C">
              <w:t>ships. However, where summative (or final) assessment is used it is to include the application of the competency in the normal work environment or, at a minimum, the application of the competency in a realistically simulated work environment. It is recogni</w:t>
            </w:r>
            <w:r w:rsidRPr="00CB682C">
              <w:t>sed that, in some circumstances, assessment in part or full can occur outside the workplace. However, it must be in accordance with industry and regulatory policy.</w:t>
            </w:r>
          </w:p>
          <w:p w:rsidR="00000000" w:rsidRPr="00CB682C" w:rsidP="00CB682C">
            <w:pPr>
              <w:pStyle w:val="BodyText"/>
            </w:pPr>
            <w:r w:rsidRPr="00CB682C">
              <w:t>Methods chosen for a particular assessment will be influenced by various factors. These incl</w:t>
            </w:r>
            <w:r w:rsidRPr="00CB682C">
              <w:t>ude the extent of the assessment, the most effective locations for the assessment activities to take place, access to physical resources, additional safety measures that may be required and the critical nature of the competencies being assessed.</w:t>
            </w:r>
          </w:p>
          <w:p w:rsidR="00000000" w:rsidRPr="00CB682C" w:rsidP="00CB682C">
            <w:pPr>
              <w:pStyle w:val="BodyText"/>
            </w:pPr>
            <w:r w:rsidRPr="00CB682C">
              <w:t>The critic</w:t>
            </w:r>
            <w:r w:rsidRPr="00CB682C">
              <w:t>al safety nature of working with electricity, electrical equipment, gas or any other hazardous substance/material carries risk in deeming a person competent. Sources of evidence need to be 'rich' in nature to minimise error in judgment.</w:t>
            </w:r>
          </w:p>
          <w:p w:rsidR="00000000" w:rsidP="00CB682C">
            <w:pPr>
              <w:pStyle w:val="BodyText"/>
              <w:rPr>
                <w:lang w:val="en-NZ"/>
              </w:rPr>
            </w:pPr>
            <w:r w:rsidRPr="00CB682C">
              <w:t>Activities associat</w:t>
            </w:r>
            <w:r w:rsidRPr="00CB682C">
              <w:t>ed with normal every day work have a bearing on the decision as to how much and how detailed the data gathered will contribute to its 'richness'. Some skills are more critical to safety and operational requirements while the same skills may be more or less</w:t>
            </w:r>
            <w:r w:rsidRPr="00CB682C">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CB682C">
              <w:t>ckage.</w:t>
            </w:r>
          </w:p>
        </w:tc>
      </w:tr>
      <w:tr w:rsidTr="006F1127">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 xml:space="preserve">Critical aspects of evidence required to demonstrate </w:t>
            </w:r>
            <w:r w:rsidRPr="00CB682C">
              <w:rPr>
                <w:rStyle w:val="SpecialBold"/>
              </w:rPr>
              <w:t>competency in this unit</w:t>
            </w:r>
          </w:p>
        </w:tc>
        <w:tc>
          <w:tcPr>
            <w:tcW w:w="6209" w:type="dxa"/>
            <w:gridSpan w:val="3"/>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9</w:t>
            </w:r>
            <w:r w:rsidRPr="00CB682C">
              <w:t>.</w:t>
            </w:r>
            <w:r w:rsidRPr="00CB682C">
              <w:rPr>
                <w:rStyle w:val="SpecialBold"/>
              </w:rPr>
              <w:t>2</w:t>
            </w:r>
            <w:r w:rsidRPr="00CB682C">
              <w:t xml:space="preserve">) </w:t>
            </w:r>
          </w:p>
          <w:p w:rsidR="00000000" w:rsidP="00CB682C">
            <w:pPr>
              <w:pStyle w:val="BodyText"/>
              <w:rPr>
                <w:lang w:val="en-NZ"/>
              </w:rPr>
            </w:pPr>
            <w:r w:rsidRPr="00CB682C">
              <w:t>Before the critical aspects of evidence are considered all prerequisites shall be met.</w:t>
            </w:r>
          </w:p>
        </w:tc>
      </w:tr>
      <w:tr w:rsidTr="006F1127">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9" w:type="dxa"/>
            <w:gridSpan w:val="3"/>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B682C">
            <w:pPr>
              <w:pStyle w:val="ListBullet"/>
              <w:rPr>
                <w:lang w:val="en-NZ"/>
              </w:rPr>
            </w:pPr>
            <w:r w:rsidRPr="00CB682C">
              <w:t>A representative body of work performance demonstrated within the timeframes typically expected of the discipline, work function and industrial environment. In particular this shall incorporate evidence that shows a candidate is able to:</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p>
        </w:tc>
        <w:tc>
          <w:tcPr>
            <w:tcW w:w="6209" w:type="dxa"/>
            <w:gridSpan w:val="3"/>
            <w:tcBorders>
              <w:top w:val="nil"/>
              <w:left w:val="nil"/>
              <w:bottom w:val="nil"/>
              <w:right w:val="nil"/>
            </w:tcBorders>
            <w:tcMar>
              <w:top w:w="0" w:type="dxa"/>
              <w:left w:w="62" w:type="dxa"/>
              <w:bottom w:w="0" w:type="dxa"/>
              <w:right w:w="62" w:type="dxa"/>
            </w:tcMar>
          </w:tcPr>
          <w:p w:rsidR="00000000" w:rsidRPr="00CB682C" w:rsidP="00CB682C">
            <w:pPr>
              <w:pStyle w:val="ListBullet2"/>
            </w:pPr>
            <w:r w:rsidRPr="00CB682C">
              <w:t>Implement Occupational Health and Safety workplace procedures and practices including the use of risk control measures as specified in the performance criteria and range statement</w:t>
            </w:r>
          </w:p>
          <w:p w:rsidR="00000000" w:rsidRPr="00CB682C" w:rsidP="00CB682C">
            <w:pPr>
              <w:pStyle w:val="ListBullet2"/>
            </w:pPr>
            <w:r w:rsidRPr="00CB682C">
              <w:t>Apply sustainable energy principles and practices as specified in the perfor</w:t>
            </w:r>
            <w:r w:rsidRPr="00CB682C">
              <w:t>mance criteria and range statement</w:t>
            </w:r>
          </w:p>
          <w:p w:rsidR="00000000" w:rsidRPr="00CB682C" w:rsidP="00CB682C">
            <w:pPr>
              <w:pStyle w:val="ListBullet2"/>
            </w:pPr>
            <w:r w:rsidRPr="00CB682C">
              <w:t>Demonstrate an understanding of the essential knowledge and associated skills as described in this unit.  It may be required by some jurisdictions that RTOs provide a percentile graded result for the purpose of regulatory</w:t>
            </w:r>
            <w:r w:rsidRPr="00CB682C">
              <w:t xml:space="preserve"> or licensing requirements.   </w:t>
            </w:r>
          </w:p>
          <w:p w:rsidR="00000000" w:rsidRPr="00CB682C" w:rsidP="00CB682C">
            <w:pPr>
              <w:pStyle w:val="ListBullet2"/>
            </w:pPr>
            <w:r w:rsidRPr="00CB682C">
              <w:t>Demonstrate an appropriate level of skills enabling employment</w:t>
            </w:r>
          </w:p>
          <w:p w:rsidR="00000000" w:rsidP="00CB682C">
            <w:pPr>
              <w:pStyle w:val="ListBullet2"/>
              <w:rPr>
                <w:lang w:val="en-NZ"/>
              </w:rPr>
            </w:pPr>
            <w:r w:rsidRPr="00CB682C">
              <w:t>Conduct work observing the relevant Anti Discrimination legislation, regulations, polices and workplace procedures</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p>
        </w:tc>
        <w:tc>
          <w:tcPr>
            <w:tcW w:w="6209" w:type="dxa"/>
            <w:gridSpan w:val="3"/>
            <w:tcBorders>
              <w:top w:val="nil"/>
              <w:left w:val="nil"/>
              <w:bottom w:val="nil"/>
              <w:right w:val="nil"/>
            </w:tcBorders>
            <w:tcMar>
              <w:top w:w="0" w:type="dxa"/>
              <w:left w:w="62" w:type="dxa"/>
              <w:bottom w:w="0" w:type="dxa"/>
              <w:right w:w="62" w:type="dxa"/>
            </w:tcMar>
          </w:tcPr>
          <w:p w:rsidR="00000000" w:rsidP="00CB682C">
            <w:pPr>
              <w:pStyle w:val="ListBullet"/>
              <w:rPr>
                <w:lang w:val="en-NZ"/>
              </w:rPr>
            </w:pPr>
            <w:r w:rsidRPr="00CB682C">
              <w:t>Demonstrated consistent performance across</w:t>
            </w:r>
            <w:r w:rsidRPr="00CB682C">
              <w:t xml:space="preserve"> a representative range of contexts from the prescribed items below:</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p>
        </w:tc>
        <w:tc>
          <w:tcPr>
            <w:tcW w:w="6209" w:type="dxa"/>
            <w:gridSpan w:val="3"/>
            <w:tcBorders>
              <w:top w:val="nil"/>
              <w:left w:val="nil"/>
              <w:bottom w:val="nil"/>
              <w:right w:val="nil"/>
            </w:tcBorders>
            <w:tcMar>
              <w:top w:w="0" w:type="dxa"/>
              <w:left w:w="62" w:type="dxa"/>
              <w:bottom w:w="0" w:type="dxa"/>
              <w:right w:w="62" w:type="dxa"/>
            </w:tcMar>
          </w:tcPr>
          <w:p w:rsidR="00000000" w:rsidP="00CB682C">
            <w:pPr>
              <w:pStyle w:val="ListBullet2"/>
              <w:rPr>
                <w:lang w:val="en-NZ"/>
              </w:rPr>
            </w:pPr>
            <w:r w:rsidRPr="00CB682C">
              <w:t>Install wiring and accessories for low voltage circuits as described as described in 8) and including:</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A</w:t>
            </w:r>
          </w:p>
        </w:tc>
        <w:tc>
          <w:tcPr>
            <w:tcW w:w="537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Selecting appropriate cable/cord and conductor devices</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B</w:t>
            </w:r>
          </w:p>
        </w:tc>
        <w:tc>
          <w:tcPr>
            <w:tcW w:w="537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Cutting cable ends and stripping sheath/insulation to a sufficient length</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C</w:t>
            </w:r>
          </w:p>
        </w:tc>
        <w:tc>
          <w:tcPr>
            <w:tcW w:w="537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Fitting and securing cable glands/retaining devices correctly</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D</w:t>
            </w:r>
          </w:p>
        </w:tc>
        <w:tc>
          <w:tcPr>
            <w:tcW w:w="537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Preparing and terminating conducts to suit the type of terminal at which there are to be connected.</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E</w:t>
            </w:r>
          </w:p>
        </w:tc>
        <w:tc>
          <w:tcPr>
            <w:tcW w:w="537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Testi</w:t>
            </w:r>
            <w:r w:rsidRPr="00CB682C">
              <w:t>ng completed cables to ensure compliant continuity and insulation resistance</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F</w:t>
            </w:r>
          </w:p>
        </w:tc>
        <w:tc>
          <w:tcPr>
            <w:tcW w:w="537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Dealing with unplanned events</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Context of and specific resources for assessment</w:t>
            </w:r>
          </w:p>
        </w:tc>
        <w:tc>
          <w:tcPr>
            <w:tcW w:w="6209" w:type="dxa"/>
            <w:gridSpan w:val="3"/>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9</w:t>
            </w:r>
            <w:r w:rsidRPr="00CB682C">
              <w:t>.</w:t>
            </w:r>
            <w:r w:rsidRPr="00CB682C">
              <w:rPr>
                <w:rStyle w:val="SpecialBold"/>
              </w:rPr>
              <w:t>3</w:t>
            </w:r>
            <w:r w:rsidRPr="00CB682C">
              <w:t xml:space="preserve">) </w:t>
            </w:r>
          </w:p>
          <w:p w:rsidR="00000000" w:rsidRPr="00CB682C" w:rsidP="00CB682C">
            <w:pPr>
              <w:pStyle w:val="BodyText"/>
            </w:pPr>
            <w:r w:rsidRPr="00CB682C">
              <w:t>This unit should be assessed as it relates to normal work practice using procedures, information and resources typical of a workplace. This should include:</w:t>
            </w:r>
          </w:p>
          <w:p w:rsidR="00000000" w:rsidRPr="00CB682C" w:rsidP="00CB682C">
            <w:pPr>
              <w:pStyle w:val="ListBullet"/>
            </w:pPr>
            <w:r w:rsidRPr="00CB682C">
              <w:t>OHS policy and work procedures and instructions.</w:t>
            </w:r>
          </w:p>
          <w:p w:rsidR="00000000" w:rsidRPr="00CB682C" w:rsidP="00CB682C">
            <w:pPr>
              <w:pStyle w:val="ListBullet"/>
            </w:pPr>
            <w:r w:rsidRPr="00CB682C">
              <w:t>Suitable work environment, facilities, equipment a</w:t>
            </w:r>
            <w:r w:rsidRPr="00CB682C">
              <w:t>nd materials to undertake actual work as prescribed by this unit.</w:t>
            </w:r>
          </w:p>
          <w:p w:rsidR="00000000" w:rsidRPr="00CB682C" w:rsidP="00CB682C">
            <w:pPr>
              <w:pStyle w:val="BodyText"/>
            </w:pPr>
            <w:r w:rsidRPr="00CB682C">
              <w:t>These should be part of the formal learning/assessment environment.</w:t>
            </w:r>
          </w:p>
          <w:p w:rsidR="00000000" w:rsidRPr="00CB682C" w:rsidP="00CB682C">
            <w:pPr>
              <w:pStyle w:val="BodyText"/>
            </w:pPr>
            <w:r w:rsidRPr="00CB682C">
              <w:t>Note:</w:t>
            </w:r>
          </w:p>
          <w:p w:rsidR="00000000" w:rsidP="00CB682C">
            <w:pPr>
              <w:pStyle w:val="BodyText"/>
              <w:rPr>
                <w:lang w:val="en-NZ"/>
              </w:rPr>
            </w:pPr>
            <w:r w:rsidRPr="00CB682C">
              <w:t>Where simulation is considered a suitable strategy for assessment, conditions must be authentic and as far as possib</w:t>
            </w:r>
            <w:r w:rsidRPr="00CB682C">
              <w:t>le reproduce and replicate the workplace and be consistent with the approved industry simulation policy.</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9" w:type="dxa"/>
            <w:gridSpan w:val="3"/>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 xml:space="preserve">The resources used for assessment should reflect current industry practices in relation to installing wiring and accessories for low voltage </w:t>
            </w:r>
            <w:r w:rsidRPr="00CB682C">
              <w:t>circuits.</w:t>
            </w:r>
          </w:p>
        </w:tc>
      </w:tr>
      <w:tr w:rsidTr="006F112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Method of assessment</w:t>
            </w:r>
          </w:p>
        </w:tc>
        <w:tc>
          <w:tcPr>
            <w:tcW w:w="6209" w:type="dxa"/>
            <w:gridSpan w:val="3"/>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9</w:t>
            </w:r>
            <w:r w:rsidRPr="00CB682C">
              <w:t>.</w:t>
            </w:r>
            <w:r w:rsidRPr="00CB682C">
              <w:rPr>
                <w:rStyle w:val="SpecialBold"/>
              </w:rPr>
              <w:t>4</w:t>
            </w:r>
            <w:r w:rsidRPr="00CB682C">
              <w:t xml:space="preserve">) </w:t>
            </w:r>
          </w:p>
          <w:p w:rsidR="00000000" w:rsidRPr="00CB682C" w:rsidP="00CB682C">
            <w:pPr>
              <w:pStyle w:val="BodyText"/>
            </w:pPr>
            <w:r w:rsidRPr="00CB682C">
              <w:t>This unit shall be assessed by methods given in Volume 1, Part 3 'Assessment Guidelines'.</w:t>
            </w:r>
          </w:p>
          <w:p w:rsidR="00000000" w:rsidP="00CB682C">
            <w:pPr>
              <w:pStyle w:val="BodyText"/>
              <w:rPr>
                <w:lang w:val="en-NZ"/>
              </w:rPr>
            </w:pPr>
            <w:r w:rsidRPr="00CB682C">
              <w:t xml:space="preserve">Note: </w:t>
            </w:r>
            <w:r w:rsidRPr="00CB682C">
              <w:br/>
              <w:t>Competent performance with inherent safe working practices is expected in the industry to which this unit applies. This</w:t>
            </w:r>
            <w:r w:rsidRPr="00CB682C">
              <w:t xml:space="preserve"> requires assessment in a structured environment which is primarily intended for learning/assessment and incorporates all necessary equipment and facilities for learners to develop and demonstrate the essential knowledge and skills described in this unit.</w:t>
            </w:r>
          </w:p>
        </w:tc>
      </w:tr>
      <w:tr w:rsidTr="006F1127">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Concurrent assessment and relationship with other units</w:t>
            </w:r>
          </w:p>
        </w:tc>
        <w:tc>
          <w:tcPr>
            <w:tcW w:w="6209" w:type="dxa"/>
            <w:gridSpan w:val="3"/>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9</w:t>
            </w:r>
            <w:r w:rsidRPr="00CB682C">
              <w:t>.</w:t>
            </w:r>
            <w:r w:rsidRPr="00CB682C">
              <w:rPr>
                <w:rStyle w:val="SpecialBold"/>
              </w:rPr>
              <w:t>5</w:t>
            </w:r>
            <w:r w:rsidRPr="00CB682C">
              <w:t>)</w:t>
            </w:r>
          </w:p>
        </w:tc>
      </w:tr>
      <w:tr w:rsidTr="006F1127">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9" w:type="dxa"/>
            <w:gridSpan w:val="3"/>
            <w:tcBorders>
              <w:top w:val="nil"/>
              <w:left w:val="nil"/>
              <w:bottom w:val="nil"/>
              <w:right w:val="nil"/>
            </w:tcBorders>
            <w:tcMar>
              <w:top w:w="0" w:type="dxa"/>
              <w:left w:w="62" w:type="dxa"/>
              <w:bottom w:w="0" w:type="dxa"/>
              <w:right w:w="62" w:type="dxa"/>
            </w:tcMar>
          </w:tcPr>
          <w:p w:rsidR="00000000" w:rsidRPr="00CB682C" w:rsidP="00CB682C">
            <w:pPr>
              <w:pStyle w:val="BodyText"/>
            </w:pPr>
          </w:p>
        </w:tc>
      </w:tr>
    </w:tbl>
    <w:p w:rsidR="006F1127" w:rsidP="00CB682C">
      <w:pPr>
        <w:pStyle w:val="BodyText"/>
      </w:pPr>
    </w:p>
    <w:p w:rsidR="006F1127" w:rsidP="00CB682C">
      <w:pPr>
        <w:pStyle w:val="BodyText"/>
      </w:pPr>
    </w:p>
    <w:p w:rsidR="00000000" w:rsidRPr="00CB682C" w:rsidP="00CB682C">
      <w:pPr>
        <w:pStyle w:val="Heading1"/>
      </w:pPr>
      <w:bookmarkStart w:id="11" w:name="O_568826"/>
      <w:bookmarkEnd w:id="11"/>
      <w:r w:rsidRPr="00CB682C">
        <w:t>Range Statement</w:t>
      </w:r>
    </w:p>
    <w:tbl>
      <w:tblPr>
        <w:tblW w:w="0" w:type="auto"/>
        <w:tblLayout w:type="fixed"/>
        <w:tblCellMar>
          <w:left w:w="62" w:type="dxa"/>
          <w:right w:w="62" w:type="dxa"/>
        </w:tblCellMar>
        <w:tblLook w:val="0000"/>
      </w:tblPr>
      <w:tblGrid>
        <w:gridCol w:w="1617"/>
        <w:gridCol w:w="6749"/>
      </w:tblGrid>
      <w:tr w:rsidTr="006F1127">
        <w:tblPrEx>
          <w:tblW w:w="0" w:type="auto"/>
          <w:tblLayout w:type="fixed"/>
          <w:tblCellMar>
            <w:left w:w="62" w:type="dxa"/>
            <w:right w:w="62" w:type="dxa"/>
          </w:tblCellMar>
          <w:tblLook w:val="0000"/>
        </w:tblPrEx>
        <w:trPr>
          <w:tblHeader/>
        </w:trPr>
        <w:tc>
          <w:tcPr>
            <w:tcW w:w="8366" w:type="dxa"/>
            <w:gridSpan w:val="2"/>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RANGE STATEMENT</w:t>
            </w:r>
          </w:p>
        </w:tc>
      </w:tr>
      <w:tr w:rsidTr="006F1127">
        <w:tblPrEx>
          <w:tblW w:w="0" w:type="auto"/>
          <w:tblLayout w:type="fixed"/>
          <w:tblCellMar>
            <w:left w:w="62" w:type="dxa"/>
            <w:right w:w="62" w:type="dxa"/>
          </w:tblCellMar>
          <w:tblLook w:val="0000"/>
        </w:tblPrEx>
        <w:tc>
          <w:tcPr>
            <w:tcW w:w="8366" w:type="dxa"/>
            <w:gridSpan w:val="2"/>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8</w:t>
            </w:r>
            <w:r w:rsidRPr="00CB682C">
              <w:t xml:space="preserve">) This relates to the unit as a whole providing the range of contexts and conditions to which the performance </w:t>
            </w:r>
            <w:r w:rsidRPr="00CB682C">
              <w:t>criteria apply. It allows for different work environments and situations that will affect performance.</w:t>
            </w:r>
          </w:p>
        </w:tc>
      </w:tr>
      <w:tr w:rsidTr="006F1127">
        <w:tblPrEx>
          <w:tblW w:w="0" w:type="auto"/>
          <w:tblLayout w:type="fixed"/>
          <w:tblCellMar>
            <w:left w:w="62" w:type="dxa"/>
            <w:right w:w="62" w:type="dxa"/>
          </w:tblCellMar>
          <w:tblLook w:val="0000"/>
        </w:tblPrEx>
        <w:tc>
          <w:tcPr>
            <w:tcW w:w="8366" w:type="dxa"/>
            <w:gridSpan w:val="2"/>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This unit shall be demonstrated by terminating at least five different types of cables each at a junction box and a device terminal enclosure.</w:t>
            </w:r>
          </w:p>
        </w:tc>
      </w:tr>
      <w:tr w:rsidTr="006F1127">
        <w:tblPrEx>
          <w:tblW w:w="0" w:type="auto"/>
          <w:tblLayout w:type="fixed"/>
          <w:tblCellMar>
            <w:left w:w="62" w:type="dxa"/>
            <w:right w:w="62" w:type="dxa"/>
          </w:tblCellMar>
          <w:tblLook w:val="0000"/>
        </w:tblPrEx>
        <w:tc>
          <w:tcPr>
            <w:tcW w:w="1617" w:type="dxa"/>
            <w:tcBorders>
              <w:top w:val="nil"/>
              <w:left w:val="nil"/>
              <w:bottom w:val="nil"/>
              <w:right w:val="nil"/>
            </w:tcBorders>
            <w:tcMar>
              <w:top w:w="0" w:type="dxa"/>
              <w:left w:w="62" w:type="dxa"/>
              <w:bottom w:w="0" w:type="dxa"/>
              <w:right w:w="62" w:type="dxa"/>
            </w:tcMar>
          </w:tcPr>
          <w:p w:rsidR="00000000" w:rsidRPr="00CB682C">
            <w:pPr>
              <w:pStyle w:val="BodyText"/>
              <w:keepNext w:val="0"/>
              <w:keepLines w:val="0"/>
              <w:contextualSpacing w:val="0"/>
            </w:pPr>
          </w:p>
        </w:tc>
        <w:tc>
          <w:tcPr>
            <w:tcW w:w="6749"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Cable</w:t>
            </w:r>
            <w:r w:rsidRPr="00CB682C">
              <w:rPr>
                <w:rStyle w:val="SpecialBold"/>
              </w:rPr>
              <w:t xml:space="preserve"> types with copper conductors</w:t>
            </w:r>
            <w:r w:rsidRPr="00CB682C">
              <w:t>:</w:t>
            </w:r>
          </w:p>
          <w:p w:rsidR="00000000" w:rsidRPr="00CB682C" w:rsidP="00CB682C">
            <w:pPr>
              <w:pStyle w:val="ListBullet3"/>
            </w:pPr>
            <w:r w:rsidRPr="00CB682C">
              <w:t>Thermoplastic insulated cable (TPI)</w:t>
            </w:r>
          </w:p>
          <w:p w:rsidR="00000000" w:rsidRPr="00CB682C" w:rsidP="00CB682C">
            <w:pPr>
              <w:pStyle w:val="ListBullet3"/>
            </w:pPr>
            <w:r w:rsidRPr="00CB682C">
              <w:t>Flat thermoplastic sheathed (TPS)</w:t>
            </w:r>
          </w:p>
          <w:p w:rsidR="00000000" w:rsidRPr="00CB682C" w:rsidP="00CB682C">
            <w:pPr>
              <w:pStyle w:val="ListBullet3"/>
            </w:pPr>
            <w:r w:rsidRPr="00CB682C">
              <w:t>Circular thermoplastic sheathed (TPS)</w:t>
            </w:r>
          </w:p>
          <w:p w:rsidR="00000000" w:rsidRPr="00CB682C" w:rsidP="00CB682C">
            <w:pPr>
              <w:pStyle w:val="ListBullet3"/>
            </w:pPr>
            <w:r w:rsidRPr="00CB682C">
              <w:t>Steel wire armoured (SWA)</w:t>
            </w:r>
          </w:p>
          <w:p w:rsidR="00000000" w:rsidRPr="00CB682C" w:rsidP="00CB682C">
            <w:pPr>
              <w:pStyle w:val="ListBullet3"/>
            </w:pPr>
            <w:r w:rsidRPr="00CB682C">
              <w:t>Mineral insulated metal sheathed (MIMS)</w:t>
            </w:r>
          </w:p>
          <w:p w:rsidR="00000000" w:rsidRPr="00CB682C" w:rsidP="00CB682C">
            <w:pPr>
              <w:pStyle w:val="ListBullet3"/>
            </w:pPr>
            <w:r w:rsidRPr="00CB682C">
              <w:t>Flexible cables</w:t>
            </w:r>
          </w:p>
          <w:p w:rsidR="00000000" w:rsidRPr="00CB682C" w:rsidP="00CB682C">
            <w:pPr>
              <w:pStyle w:val="ListBullet3"/>
            </w:pPr>
            <w:r w:rsidRPr="00CB682C">
              <w:t>Flexible cords</w:t>
            </w:r>
          </w:p>
          <w:p w:rsidR="00000000" w:rsidP="00CB682C">
            <w:pPr>
              <w:pStyle w:val="ListBullet3"/>
              <w:rPr>
                <w:lang w:val="en-NZ"/>
              </w:rPr>
            </w:pPr>
            <w:r w:rsidRPr="00CB682C">
              <w:t>Aluminium conductor/cable</w:t>
            </w:r>
          </w:p>
        </w:tc>
      </w:tr>
      <w:tr w:rsidTr="006F1127">
        <w:tblPrEx>
          <w:tblW w:w="0" w:type="auto"/>
          <w:tblLayout w:type="fixed"/>
          <w:tblCellMar>
            <w:left w:w="62" w:type="dxa"/>
            <w:right w:w="62" w:type="dxa"/>
          </w:tblCellMar>
          <w:tblLook w:val="0000"/>
        </w:tblPrEx>
        <w:tc>
          <w:tcPr>
            <w:tcW w:w="1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49"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t xml:space="preserve">AND </w:t>
            </w:r>
          </w:p>
          <w:p w:rsidR="00000000" w:rsidP="00CB682C">
            <w:pPr>
              <w:pStyle w:val="BodyText"/>
              <w:rPr>
                <w:lang w:val="en-NZ"/>
              </w:rPr>
            </w:pPr>
            <w:r w:rsidRPr="00CB682C">
              <w:t xml:space="preserve">Terminate their conductors at each of the follow </w:t>
            </w:r>
          </w:p>
        </w:tc>
      </w:tr>
      <w:tr w:rsidTr="006F1127">
        <w:tblPrEx>
          <w:tblW w:w="0" w:type="auto"/>
          <w:tblLayout w:type="fixed"/>
          <w:tblCellMar>
            <w:left w:w="62" w:type="dxa"/>
            <w:right w:w="62" w:type="dxa"/>
          </w:tblCellMar>
          <w:tblLook w:val="0000"/>
        </w:tblPrEx>
        <w:tc>
          <w:tcPr>
            <w:tcW w:w="1617" w:type="dxa"/>
            <w:tcBorders>
              <w:top w:val="nil"/>
              <w:left w:val="nil"/>
              <w:bottom w:val="nil"/>
              <w:right w:val="nil"/>
            </w:tcBorders>
            <w:tcMar>
              <w:top w:w="0" w:type="dxa"/>
              <w:left w:w="62" w:type="dxa"/>
              <w:bottom w:w="0" w:type="dxa"/>
              <w:right w:w="62" w:type="dxa"/>
            </w:tcMar>
          </w:tcPr>
          <w:p w:rsidR="00000000" w:rsidRPr="00CB682C">
            <w:pPr>
              <w:pStyle w:val="BodyText"/>
              <w:keepNext w:val="0"/>
              <w:keepLines w:val="0"/>
              <w:contextualSpacing w:val="0"/>
            </w:pPr>
          </w:p>
        </w:tc>
        <w:tc>
          <w:tcPr>
            <w:tcW w:w="6749"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Terminal types</w:t>
            </w:r>
          </w:p>
          <w:p w:rsidR="00000000" w:rsidRPr="00CB682C" w:rsidP="00CB682C">
            <w:pPr>
              <w:pStyle w:val="ListBullet3"/>
            </w:pPr>
            <w:r w:rsidRPr="00CB682C">
              <w:t>Tunnel terminal</w:t>
            </w:r>
          </w:p>
          <w:p w:rsidR="00000000" w:rsidRPr="00CB682C" w:rsidP="00CB682C">
            <w:pPr>
              <w:pStyle w:val="ListBullet3"/>
            </w:pPr>
            <w:r w:rsidRPr="00CB682C">
              <w:t>Stud terminal</w:t>
            </w:r>
          </w:p>
          <w:p w:rsidR="00000000" w:rsidP="00CB682C">
            <w:pPr>
              <w:pStyle w:val="ListBullet3"/>
              <w:rPr>
                <w:lang w:val="en-NZ"/>
              </w:rPr>
            </w:pPr>
            <w:r w:rsidRPr="00CB682C">
              <w:t>Screw terminal</w:t>
            </w:r>
          </w:p>
        </w:tc>
      </w:tr>
      <w:tr w:rsidTr="006F1127">
        <w:tblPrEx>
          <w:tblW w:w="0" w:type="auto"/>
          <w:tblLayout w:type="fixed"/>
          <w:tblCellMar>
            <w:left w:w="62" w:type="dxa"/>
            <w:right w:w="62" w:type="dxa"/>
          </w:tblCellMar>
          <w:tblLook w:val="0000"/>
        </w:tblPrEx>
        <w:tc>
          <w:tcPr>
            <w:tcW w:w="8366" w:type="dxa"/>
            <w:gridSpan w:val="2"/>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t>Generic terms used throughout this Vocational Standard shall be regarded as part of the Range Statement in which competency is demonstrated. The definition of these and other terms that apply are given in Volume 2, Part 2.1.</w:t>
            </w:r>
          </w:p>
        </w:tc>
      </w:tr>
    </w:tbl>
    <w:p w:rsidR="006F1127" w:rsidP="00CB682C">
      <w:pPr>
        <w:pStyle w:val="BodyText"/>
      </w:pPr>
    </w:p>
    <w:p w:rsidR="006F1127" w:rsidP="00CB682C">
      <w:pPr>
        <w:pStyle w:val="BodyText"/>
      </w:pPr>
    </w:p>
    <w:p w:rsidR="00000000" w:rsidRPr="00CB682C" w:rsidP="00CB682C">
      <w:pPr>
        <w:pStyle w:val="Heading1"/>
      </w:pPr>
      <w:bookmarkStart w:id="12" w:name="O_568825"/>
      <w:bookmarkEnd w:id="12"/>
      <w:r w:rsidRPr="00CB682C">
        <w:t>Unit Sector(s)</w:t>
      </w:r>
    </w:p>
    <w:p w:rsidR="00000000" w:rsidRPr="00CB682C" w:rsidP="00CB682C">
      <w:pPr>
        <w:pStyle w:val="BodyText"/>
      </w:pPr>
      <w:r w:rsidRPr="00CB682C">
        <w:t>Not Applicable</w:t>
      </w:r>
    </w:p>
    <w:p w:rsidR="00000000" w:rsidRPr="00CB682C" w:rsidP="00CB682C">
      <w:pPr>
        <w:pStyle w:val="AllowPageBreak"/>
      </w:pPr>
    </w:p>
    <w:p w:rsidR="00000000" w:rsidRPr="00CB682C" w:rsidP="00CB682C">
      <w:pPr>
        <w:pStyle w:val="Heading1"/>
      </w:pPr>
      <w:bookmarkStart w:id="13" w:name="O_568824"/>
      <w:bookmarkEnd w:id="13"/>
      <w:r w:rsidRPr="00CB682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F112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2</w:t>
            </w:r>
            <w:r w:rsidRPr="00CB682C">
              <w:t>.</w:t>
            </w:r>
            <w:r w:rsidRPr="00CB682C">
              <w:rPr>
                <w:rStyle w:val="SpecialBold"/>
              </w:rPr>
              <w:t>2</w:t>
            </w:r>
            <w:r w:rsidRPr="00CB682C">
              <w:t xml:space="preserve">) </w:t>
            </w:r>
            <w:r w:rsidRPr="00CB682C">
              <w:rPr>
                <w:rStyle w:val="SpecialBold"/>
              </w:rPr>
              <w:t>Literacy and numeracy skills</w:t>
            </w:r>
          </w:p>
          <w:p w:rsidR="00000000" w:rsidP="00CB682C">
            <w:pPr>
              <w:pStyle w:val="BodyText"/>
              <w:rPr>
                <w:lang w:val="en-NZ"/>
              </w:rPr>
            </w:pPr>
            <w:r w:rsidRPr="00CB682C">
              <w:t>Participants are best equipped to achieve competency in this unit if they have reading, writing and numeracy skills indicated by the following scales. Description of each scale is given in Volume 2, Part 3 'Literacy and Numeracy'</w:t>
            </w:r>
          </w:p>
        </w:tc>
      </w:tr>
      <w:tr w:rsidTr="006F112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Reading</w:t>
            </w:r>
          </w:p>
        </w:tc>
        <w:tc>
          <w:tcPr>
            <w:tcW w:w="1182"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4</w:t>
            </w:r>
          </w:p>
        </w:tc>
        <w:tc>
          <w:tcPr>
            <w:tcW w:w="1739"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Writing</w:t>
            </w:r>
          </w:p>
        </w:tc>
        <w:tc>
          <w:tcPr>
            <w:tcW w:w="1182"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4</w:t>
            </w:r>
          </w:p>
        </w:tc>
        <w:tc>
          <w:tcPr>
            <w:tcW w:w="1721"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t>Numeracy</w:t>
            </w:r>
          </w:p>
        </w:tc>
        <w:tc>
          <w:tcPr>
            <w:tcW w:w="1182"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t>4</w:t>
            </w:r>
          </w:p>
        </w:tc>
      </w:tr>
    </w:tbl>
    <w:p w:rsidR="006F1127" w:rsidP="00CB682C">
      <w:pPr>
        <w:pStyle w:val="BodyText"/>
      </w:pPr>
    </w:p>
    <w:p w:rsidR="006F1127" w:rsidP="00CB682C">
      <w:pPr>
        <w:pStyle w:val="BodyText"/>
      </w:pPr>
    </w:p>
    <w:p w:rsidR="00000000" w:rsidRPr="00CB682C" w:rsidP="00CB682C">
      <w:pPr>
        <w:pStyle w:val="Heading1"/>
      </w:pPr>
      <w:bookmarkStart w:id="14" w:name="O_568823"/>
      <w:bookmarkEnd w:id="14"/>
      <w:r w:rsidRPr="00CB682C">
        <w:t>Custom Content Section</w:t>
      </w:r>
    </w:p>
    <w:tbl>
      <w:tblPr>
        <w:tblW w:w="0" w:type="auto"/>
        <w:tblLayout w:type="fixed"/>
        <w:tblCellMar>
          <w:left w:w="62" w:type="dxa"/>
          <w:right w:w="62" w:type="dxa"/>
        </w:tblCellMar>
        <w:tblLook w:val="0000"/>
      </w:tblPr>
      <w:tblGrid>
        <w:gridCol w:w="2700"/>
        <w:gridCol w:w="5760"/>
      </w:tblGrid>
      <w:tr w:rsidTr="006F11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682C">
            <w:pPr>
              <w:pStyle w:val="BodyText"/>
              <w:rPr>
                <w:lang w:val="en-NZ"/>
              </w:rPr>
            </w:pPr>
            <w:r w:rsidRPr="00CB682C">
              <w:rPr>
                <w:rStyle w:val="SpecialBold"/>
              </w:rPr>
              <w:t>5</w:t>
            </w:r>
            <w:r w:rsidRPr="00CB682C">
              <w:t>)</w:t>
            </w:r>
          </w:p>
        </w:tc>
      </w:tr>
      <w:tr w:rsidTr="006F11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82C" w:rsidP="00CB682C">
            <w:pPr>
              <w:pStyle w:val="BodyText"/>
            </w:pPr>
            <w:r w:rsidRPr="00CB682C">
              <w:t>Electrical</w:t>
            </w:r>
          </w:p>
        </w:tc>
      </w:tr>
    </w:tbl>
    <w:p w:rsidR="006F1127" w:rsidP="00CB682C">
      <w:pPr>
        <w:pStyle w:val="BodyText"/>
      </w:pPr>
    </w:p>
    <w:p w:rsidR="006F1127" w:rsidP="00CB682C">
      <w:pPr>
        <w:pStyle w:val="BodyText"/>
      </w:pPr>
    </w:p>
    <w:p w:rsidR="00000000" w:rsidRPr="00CB682C" w:rsidP="00CB682C"/>
    <w:sectPr w:rsidSect="00CB68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82C" w:rsidRPr="006F1127" w:rsidP="006F1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27" w:rsidP="00CB6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F1127" w:rsidP="00CB68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F1127" w:rsidP="00CB6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82C" w:rsidRPr="006F1127" w:rsidP="006F11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27" w:rsidRPr="002D2AF8" w:rsidP="00CB682C">
    <w:pPr>
      <w:pStyle w:val="Header"/>
      <w:framePr w:wrap="around"/>
    </w:pPr>
    <w:r>
      <w:fldChar w:fldCharType="begin"/>
    </w:r>
    <w:r>
      <w:instrText xml:space="preserve"> TITLE   \* MERGEFORMAT </w:instrText>
    </w:r>
    <w:r>
      <w:fldChar w:fldCharType="separate"/>
    </w:r>
    <w:r>
      <w:t>UEENEEG106A Terminate cables, cords and accessories for low voltage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F1127" w:rsidP="00CB6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D85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509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6A3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82C"/>
    <w:pPr>
      <w:spacing w:before="360" w:after="60"/>
      <w:outlineLvl w:val="0"/>
    </w:pPr>
    <w:rPr>
      <w:sz w:val="32"/>
    </w:rPr>
  </w:style>
  <w:style w:type="paragraph" w:styleId="Heading2">
    <w:name w:val="heading 2"/>
    <w:basedOn w:val="HeadingBase"/>
    <w:next w:val="BodyText"/>
    <w:link w:val="Heading2Char"/>
    <w:qFormat/>
    <w:rsid w:val="00CB682C"/>
    <w:pPr>
      <w:keepLines/>
      <w:spacing w:before="240" w:after="120"/>
      <w:outlineLvl w:val="1"/>
    </w:pPr>
    <w:rPr>
      <w:sz w:val="28"/>
      <w:szCs w:val="40"/>
    </w:rPr>
  </w:style>
  <w:style w:type="paragraph" w:styleId="Heading3">
    <w:name w:val="heading 3"/>
    <w:basedOn w:val="HeadingBase"/>
    <w:next w:val="BodyText"/>
    <w:link w:val="Heading3Char"/>
    <w:qFormat/>
    <w:rsid w:val="00CB682C"/>
    <w:pPr>
      <w:spacing w:before="180" w:after="120"/>
      <w:outlineLvl w:val="2"/>
    </w:pPr>
    <w:rPr>
      <w:spacing w:val="-10"/>
      <w:kern w:val="32"/>
    </w:rPr>
  </w:style>
  <w:style w:type="paragraph" w:styleId="Heading4">
    <w:name w:val="heading 4"/>
    <w:basedOn w:val="HeadingBase"/>
    <w:next w:val="BodyText"/>
    <w:link w:val="Heading4Char"/>
    <w:qFormat/>
    <w:rsid w:val="00CB682C"/>
    <w:pPr>
      <w:spacing w:before="160" w:after="120"/>
      <w:outlineLvl w:val="3"/>
    </w:pPr>
    <w:rPr>
      <w:sz w:val="22"/>
    </w:rPr>
  </w:style>
  <w:style w:type="paragraph" w:styleId="Heading5">
    <w:name w:val="heading 5"/>
    <w:basedOn w:val="HeadingBase"/>
    <w:next w:val="Normal"/>
    <w:link w:val="Heading5Char"/>
    <w:qFormat/>
    <w:rsid w:val="00CB682C"/>
    <w:pPr>
      <w:spacing w:before="80"/>
      <w:outlineLvl w:val="4"/>
    </w:pPr>
    <w:rPr>
      <w:color w:val="918585"/>
      <w:sz w:val="20"/>
    </w:rPr>
  </w:style>
  <w:style w:type="paragraph" w:styleId="Heading6">
    <w:name w:val="heading 6"/>
    <w:basedOn w:val="HeadingBase"/>
    <w:next w:val="Normal"/>
    <w:link w:val="Heading6Char"/>
    <w:qFormat/>
    <w:rsid w:val="00CB682C"/>
    <w:pPr>
      <w:spacing w:before="60"/>
      <w:outlineLvl w:val="5"/>
    </w:pPr>
    <w:rPr>
      <w:color w:val="918585"/>
      <w:sz w:val="20"/>
    </w:rPr>
  </w:style>
  <w:style w:type="paragraph" w:styleId="Heading7">
    <w:name w:val="heading 7"/>
    <w:basedOn w:val="Normal"/>
    <w:next w:val="Normal"/>
    <w:link w:val="Heading7Char"/>
    <w:qFormat/>
    <w:rsid w:val="00CB682C"/>
    <w:pPr>
      <w:ind w:left="720"/>
      <w:outlineLvl w:val="6"/>
    </w:pPr>
    <w:rPr>
      <w:i/>
    </w:rPr>
  </w:style>
  <w:style w:type="paragraph" w:styleId="Heading8">
    <w:name w:val="heading 8"/>
    <w:basedOn w:val="Normal"/>
    <w:next w:val="Normal"/>
    <w:link w:val="Heading8Char"/>
    <w:qFormat/>
    <w:rsid w:val="00CB682C"/>
    <w:pPr>
      <w:ind w:left="720"/>
      <w:outlineLvl w:val="7"/>
    </w:pPr>
    <w:rPr>
      <w:i/>
    </w:rPr>
  </w:style>
  <w:style w:type="paragraph" w:styleId="Heading9">
    <w:name w:val="heading 9"/>
    <w:basedOn w:val="Normal"/>
    <w:next w:val="Normal"/>
    <w:link w:val="Heading9Char"/>
    <w:qFormat/>
    <w:rsid w:val="00CB682C"/>
    <w:pPr>
      <w:ind w:left="720"/>
      <w:outlineLvl w:val="8"/>
    </w:pPr>
    <w:rPr>
      <w:i/>
    </w:rPr>
  </w:style>
  <w:style w:type="character" w:default="1" w:styleId="DefaultParagraphFont">
    <w:name w:val="Default Paragraph Font"/>
    <w:uiPriority w:val="1"/>
    <w:unhideWhenUsed/>
    <w:rsid w:val="00CB6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82C"/>
  </w:style>
  <w:style w:type="character" w:customStyle="1" w:styleId="Heading1Char">
    <w:name w:val="Heading 1 Char"/>
    <w:basedOn w:val="DefaultParagraphFont"/>
    <w:link w:val="Heading1"/>
    <w:rsid w:val="00CB682C"/>
    <w:rPr>
      <w:rFonts w:ascii="Times New Roman" w:eastAsia="Times New Roman" w:hAnsi="Times New Roman" w:cs="Times New Roman"/>
      <w:b/>
      <w:sz w:val="32"/>
      <w:szCs w:val="20"/>
      <w:lang w:eastAsia="en-US"/>
    </w:rPr>
  </w:style>
  <w:style w:type="paragraph" w:styleId="BodyText">
    <w:name w:val="Body Text"/>
    <w:basedOn w:val="Normal"/>
    <w:link w:val="BodyTextChar"/>
    <w:rsid w:val="00CB68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82C"/>
    <w:rPr>
      <w:rFonts w:ascii="Times New Roman" w:eastAsia="Times New Roman" w:hAnsi="Times New Roman" w:cs="Times New Roman"/>
      <w:sz w:val="24"/>
      <w:lang w:eastAsia="en-US"/>
    </w:rPr>
  </w:style>
  <w:style w:type="paragraph" w:styleId="ListBullet">
    <w:name w:val="List Bullet"/>
    <w:basedOn w:val="List"/>
    <w:rsid w:val="00CB682C"/>
    <w:pPr>
      <w:numPr>
        <w:numId w:val="14"/>
      </w:numPr>
      <w:tabs>
        <w:tab w:val="clear" w:pos="340"/>
      </w:tabs>
      <w:spacing w:before="40" w:after="40"/>
    </w:pPr>
  </w:style>
  <w:style w:type="character" w:customStyle="1" w:styleId="SpecialBold">
    <w:name w:val="Special Bold"/>
    <w:basedOn w:val="DefaultParagraphFont"/>
    <w:rsid w:val="00CB682C"/>
    <w:rPr>
      <w:b/>
      <w:spacing w:val="0"/>
    </w:rPr>
  </w:style>
  <w:style w:type="paragraph" w:styleId="ListBullet2">
    <w:name w:val="List Bullet 2"/>
    <w:basedOn w:val="List2"/>
    <w:rsid w:val="00CB682C"/>
    <w:pPr>
      <w:numPr>
        <w:numId w:val="15"/>
      </w:numPr>
      <w:tabs>
        <w:tab w:val="clear" w:pos="680"/>
      </w:tabs>
    </w:pPr>
  </w:style>
  <w:style w:type="paragraph" w:customStyle="1" w:styleId="SuperHeading">
    <w:name w:val="SuperHeading"/>
    <w:basedOn w:val="Normal"/>
    <w:rsid w:val="00CB682C"/>
    <w:pPr>
      <w:spacing w:before="240" w:after="120"/>
      <w:outlineLvl w:val="0"/>
    </w:pPr>
    <w:rPr>
      <w:rFonts w:ascii="Times New Roman" w:hAnsi="Times New Roman"/>
      <w:b/>
      <w:sz w:val="32"/>
    </w:rPr>
  </w:style>
  <w:style w:type="paragraph" w:customStyle="1" w:styleId="AllowPageBreak">
    <w:name w:val="AllowPageBreak"/>
    <w:rsid w:val="00CB68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682C"/>
    <w:pPr>
      <w:numPr>
        <w:numId w:val="3"/>
      </w:numPr>
      <w:tabs>
        <w:tab w:val="clear" w:pos="1021"/>
      </w:tabs>
      <w:ind w:left="1037" w:hanging="357"/>
    </w:pPr>
  </w:style>
  <w:style w:type="character" w:customStyle="1" w:styleId="Heading2Char">
    <w:name w:val="Heading 2 Char"/>
    <w:basedOn w:val="DefaultParagraphFont"/>
    <w:link w:val="Heading2"/>
    <w:rsid w:val="00CB6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82C"/>
    <w:rPr>
      <w:rFonts w:ascii="Courier New" w:eastAsia="Times New Roman" w:hAnsi="Courier New" w:cs="Times New Roman"/>
      <w:i/>
      <w:szCs w:val="20"/>
      <w:lang w:eastAsia="en-US"/>
    </w:rPr>
  </w:style>
  <w:style w:type="paragraph" w:customStyle="1" w:styleId="HeadingBase">
    <w:name w:val="Heading Base"/>
    <w:rsid w:val="00CB6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82C"/>
    <w:pPr>
      <w:tabs>
        <w:tab w:val="right" w:leader="dot" w:pos="9072"/>
      </w:tabs>
      <w:ind w:left="567"/>
    </w:pPr>
    <w:rPr>
      <w:szCs w:val="22"/>
    </w:rPr>
  </w:style>
  <w:style w:type="paragraph" w:customStyle="1" w:styleId="TOCBase">
    <w:name w:val="TOC Base"/>
    <w:rsid w:val="00CB6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82C"/>
    <w:pPr>
      <w:tabs>
        <w:tab w:val="right" w:leader="dot" w:pos="9072"/>
      </w:tabs>
      <w:spacing w:before="40" w:after="40"/>
      <w:ind w:left="284"/>
    </w:pPr>
    <w:rPr>
      <w:rFonts w:ascii="Times New Roman" w:hAnsi="Times New Roman"/>
    </w:rPr>
  </w:style>
  <w:style w:type="paragraph" w:styleId="TOC1">
    <w:name w:val="toc 1"/>
    <w:basedOn w:val="TOCBase"/>
    <w:next w:val="Normal"/>
    <w:rsid w:val="00CB6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82C"/>
    <w:rPr>
      <w:rFonts w:ascii="Times New Roman" w:eastAsia="Times New Roman" w:hAnsi="Times New Roman" w:cs="Times New Roman"/>
      <w:sz w:val="16"/>
      <w:lang w:eastAsia="en-US"/>
    </w:rPr>
  </w:style>
  <w:style w:type="paragraph" w:styleId="Title">
    <w:name w:val="Title"/>
    <w:basedOn w:val="HeadingBase"/>
    <w:link w:val="TitleChar"/>
    <w:qFormat/>
    <w:rsid w:val="00CB682C"/>
    <w:pPr>
      <w:spacing w:before="5040"/>
      <w:jc w:val="center"/>
    </w:pPr>
    <w:rPr>
      <w:sz w:val="48"/>
      <w:szCs w:val="72"/>
      <w:lang w:val="en-US"/>
    </w:rPr>
  </w:style>
  <w:style w:type="character" w:customStyle="1" w:styleId="TitleChar">
    <w:name w:val="Title Char"/>
    <w:basedOn w:val="DefaultParagraphFont"/>
    <w:link w:val="Title"/>
    <w:rsid w:val="00CB6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82C"/>
    <w:pPr>
      <w:tabs>
        <w:tab w:val="left" w:pos="3600"/>
        <w:tab w:val="left" w:pos="3958"/>
      </w:tabs>
    </w:pPr>
  </w:style>
  <w:style w:type="paragraph" w:styleId="List">
    <w:name w:val="List"/>
    <w:basedOn w:val="BodyText"/>
    <w:next w:val="BodyText"/>
    <w:rsid w:val="00CB682C"/>
    <w:pPr>
      <w:tabs>
        <w:tab w:val="left" w:pos="340"/>
      </w:tabs>
      <w:spacing w:before="60" w:after="60"/>
      <w:ind w:left="340" w:hanging="340"/>
    </w:pPr>
  </w:style>
  <w:style w:type="paragraph" w:customStyle="1" w:styleId="Note">
    <w:name w:val="Note"/>
    <w:basedOn w:val="BodyText"/>
    <w:rsid w:val="00CB6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82C"/>
    <w:pPr>
      <w:framePr w:wrap="auto" w:hAnchor="text" w:y="6049"/>
    </w:pPr>
    <w:rPr>
      <w:color w:val="000000"/>
      <w:sz w:val="40"/>
    </w:rPr>
  </w:style>
  <w:style w:type="paragraph" w:customStyle="1" w:styleId="TOCTitle">
    <w:name w:val="TOCTitle"/>
    <w:basedOn w:val="Heading1"/>
    <w:rsid w:val="00CB682C"/>
    <w:pPr>
      <w:spacing w:after="240"/>
      <w:jc w:val="center"/>
      <w:outlineLvl w:val="9"/>
    </w:pPr>
    <w:rPr>
      <w:caps/>
    </w:rPr>
  </w:style>
  <w:style w:type="paragraph" w:customStyle="1" w:styleId="Version">
    <w:name w:val="Version"/>
    <w:rsid w:val="00CB68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82C"/>
    <w:pPr>
      <w:keepNext w:val="0"/>
      <w:tabs>
        <w:tab w:val="right" w:pos="4176"/>
      </w:tabs>
      <w:ind w:left="198" w:hanging="198"/>
    </w:pPr>
    <w:rPr>
      <w:rFonts w:ascii="Garamond" w:hAnsi="Garamond"/>
    </w:rPr>
  </w:style>
  <w:style w:type="paragraph" w:styleId="IndexHeading">
    <w:name w:val="index heading"/>
    <w:basedOn w:val="Normal"/>
    <w:next w:val="Index1"/>
    <w:semiHidden/>
    <w:rsid w:val="00CB682C"/>
    <w:pPr>
      <w:spacing w:before="120" w:after="120"/>
    </w:pPr>
    <w:rPr>
      <w:rFonts w:ascii="Arial" w:hAnsi="Arial"/>
      <w:b/>
      <w:color w:val="918585"/>
      <w:sz w:val="24"/>
    </w:rPr>
  </w:style>
  <w:style w:type="paragraph" w:styleId="Header">
    <w:name w:val="header"/>
    <w:basedOn w:val="Normal"/>
    <w:link w:val="HeaderChar"/>
    <w:rsid w:val="00CB6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82C"/>
    <w:rPr>
      <w:rFonts w:ascii="Times New Roman" w:eastAsia="Times New Roman" w:hAnsi="Times New Roman" w:cs="Times New Roman"/>
      <w:sz w:val="16"/>
      <w:szCs w:val="20"/>
      <w:lang w:val="en-GB" w:eastAsia="en-US"/>
    </w:rPr>
  </w:style>
  <w:style w:type="paragraph" w:customStyle="1" w:styleId="Chapter">
    <w:name w:val="Chapter"/>
    <w:basedOn w:val="Normal"/>
    <w:rsid w:val="00CB682C"/>
    <w:pPr>
      <w:spacing w:before="240"/>
    </w:pPr>
    <w:rPr>
      <w:rFonts w:ascii="Times New Roman" w:hAnsi="Times New Roman"/>
      <w:smallCaps/>
      <w:spacing w:val="80"/>
      <w:sz w:val="28"/>
    </w:rPr>
  </w:style>
  <w:style w:type="paragraph" w:customStyle="1" w:styleId="InChapter">
    <w:name w:val="InChapter"/>
    <w:basedOn w:val="Heading3"/>
    <w:rsid w:val="00CB682C"/>
    <w:pPr>
      <w:spacing w:after="240"/>
      <w:outlineLvl w:val="9"/>
    </w:pPr>
    <w:rPr>
      <w:noProof/>
    </w:rPr>
  </w:style>
  <w:style w:type="paragraph" w:styleId="Index2">
    <w:name w:val="index 2"/>
    <w:basedOn w:val="Normal"/>
    <w:next w:val="Normal"/>
    <w:semiHidden/>
    <w:rsid w:val="00CB682C"/>
    <w:pPr>
      <w:tabs>
        <w:tab w:val="right" w:pos="4176"/>
      </w:tabs>
      <w:ind w:left="568" w:hanging="284"/>
    </w:pPr>
    <w:rPr>
      <w:rFonts w:ascii="Garamond" w:hAnsi="Garamond"/>
    </w:rPr>
  </w:style>
  <w:style w:type="paragraph" w:customStyle="1" w:styleId="Byline">
    <w:name w:val="Byline"/>
    <w:rsid w:val="00CB6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82C"/>
    <w:pPr>
      <w:tabs>
        <w:tab w:val="clear" w:pos="3600"/>
        <w:tab w:val="clear" w:pos="3958"/>
      </w:tabs>
      <w:jc w:val="right"/>
    </w:pPr>
  </w:style>
  <w:style w:type="character" w:styleId="Emphasis">
    <w:name w:val="Emphasis"/>
    <w:basedOn w:val="DefaultParagraphFont"/>
    <w:qFormat/>
    <w:rsid w:val="00CB682C"/>
    <w:rPr>
      <w:i/>
    </w:rPr>
  </w:style>
  <w:style w:type="paragraph" w:styleId="Caption">
    <w:name w:val="caption"/>
    <w:basedOn w:val="BodyText"/>
    <w:next w:val="Normal"/>
    <w:qFormat/>
    <w:rsid w:val="00CB682C"/>
    <w:pPr>
      <w:framePr w:w="2268" w:hSpace="181" w:vSpace="181" w:wrap="around" w:vAnchor="text" w:hAnchor="page" w:x="1135" w:y="285" w:anchorLock="1"/>
    </w:pPr>
    <w:rPr>
      <w:i/>
    </w:rPr>
  </w:style>
  <w:style w:type="paragraph" w:customStyle="1" w:styleId="MiniTOCTitle">
    <w:name w:val="MiniTOCTitle"/>
    <w:basedOn w:val="Heading4"/>
    <w:rsid w:val="00CB682C"/>
    <w:pPr>
      <w:spacing w:before="240"/>
      <w:outlineLvl w:val="9"/>
    </w:pPr>
    <w:rPr>
      <w:noProof/>
      <w:sz w:val="24"/>
    </w:rPr>
  </w:style>
  <w:style w:type="paragraph" w:customStyle="1" w:styleId="MiniTOCItem">
    <w:name w:val="MiniTOCItem"/>
    <w:basedOn w:val="ListBullet"/>
    <w:rsid w:val="00CB682C"/>
    <w:pPr>
      <w:numPr>
        <w:numId w:val="0"/>
      </w:numPr>
      <w:tabs>
        <w:tab w:val="right" w:leader="dot" w:pos="6521"/>
      </w:tabs>
      <w:spacing w:before="0" w:after="0"/>
    </w:pPr>
  </w:style>
  <w:style w:type="paragraph" w:customStyle="1" w:styleId="TOFTitle">
    <w:name w:val="TOFTitle"/>
    <w:basedOn w:val="TOCTitle"/>
    <w:rsid w:val="00CB682C"/>
  </w:style>
  <w:style w:type="paragraph" w:styleId="TableofFigures">
    <w:name w:val="table of figures"/>
    <w:basedOn w:val="Normal"/>
    <w:next w:val="Normal"/>
    <w:semiHidden/>
    <w:rsid w:val="00CB682C"/>
    <w:pPr>
      <w:tabs>
        <w:tab w:val="right" w:leader="dot" w:pos="9072"/>
      </w:tabs>
      <w:ind w:left="970" w:hanging="403"/>
    </w:pPr>
    <w:rPr>
      <w:rFonts w:ascii="Times New Roman" w:hAnsi="Times New Roman"/>
      <w:b/>
    </w:rPr>
  </w:style>
  <w:style w:type="paragraph" w:styleId="ListNumber">
    <w:name w:val="List Number"/>
    <w:basedOn w:val="List"/>
    <w:rsid w:val="00CB682C"/>
    <w:pPr>
      <w:numPr>
        <w:numId w:val="12"/>
      </w:numPr>
    </w:pPr>
  </w:style>
  <w:style w:type="character" w:customStyle="1" w:styleId="WingdingSymbols">
    <w:name w:val="Wingding Symbols"/>
    <w:rsid w:val="00CB682C"/>
    <w:rPr>
      <w:rFonts w:ascii="Wingdings" w:hAnsi="Wingdings"/>
    </w:rPr>
  </w:style>
  <w:style w:type="paragraph" w:customStyle="1" w:styleId="TableHeading">
    <w:name w:val="Table Heading"/>
    <w:basedOn w:val="HeadingBase"/>
    <w:rsid w:val="00CB682C"/>
    <w:pPr>
      <w:keepLines/>
      <w:pBdr>
        <w:bottom w:val="single" w:sz="6" w:space="1" w:color="918585"/>
      </w:pBdr>
      <w:spacing w:before="240"/>
    </w:pPr>
  </w:style>
  <w:style w:type="character" w:customStyle="1" w:styleId="HotSpot">
    <w:name w:val="HotSpot"/>
    <w:rsid w:val="00CB682C"/>
    <w:rPr>
      <w:color w:val="0033CC"/>
      <w:u w:val="none"/>
    </w:rPr>
  </w:style>
  <w:style w:type="paragraph" w:customStyle="1" w:styleId="BodyTextRight">
    <w:name w:val="Body Text Right"/>
    <w:basedOn w:val="BodyText"/>
    <w:rsid w:val="00CB682C"/>
    <w:pPr>
      <w:spacing w:before="0" w:after="0"/>
      <w:jc w:val="right"/>
    </w:pPr>
  </w:style>
  <w:style w:type="paragraph" w:styleId="Index3">
    <w:name w:val="index 3"/>
    <w:basedOn w:val="ListNumber2"/>
    <w:next w:val="Normal"/>
    <w:semiHidden/>
    <w:rsid w:val="00CB682C"/>
    <w:pPr>
      <w:numPr>
        <w:numId w:val="0"/>
      </w:numPr>
      <w:tabs>
        <w:tab w:val="right" w:leader="dot" w:pos="4176"/>
      </w:tabs>
    </w:pPr>
  </w:style>
  <w:style w:type="paragraph" w:styleId="ListNumber2">
    <w:name w:val="List Number 2"/>
    <w:basedOn w:val="List2"/>
    <w:rsid w:val="00CB682C"/>
    <w:pPr>
      <w:numPr>
        <w:numId w:val="11"/>
      </w:numPr>
      <w:tabs>
        <w:tab w:val="clear" w:pos="1060"/>
      </w:tabs>
    </w:pPr>
  </w:style>
  <w:style w:type="paragraph" w:customStyle="1" w:styleId="MarginNote">
    <w:name w:val="Margin Note"/>
    <w:basedOn w:val="BodyText"/>
    <w:rsid w:val="00CB6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82C"/>
    <w:rPr>
      <w:sz w:val="32"/>
    </w:rPr>
  </w:style>
  <w:style w:type="paragraph" w:customStyle="1" w:styleId="HeadingProcedure">
    <w:name w:val="Heading Procedure"/>
    <w:basedOn w:val="HeadingBase"/>
    <w:next w:val="Normal"/>
    <w:rsid w:val="00CB682C"/>
    <w:pPr>
      <w:tabs>
        <w:tab w:val="left" w:pos="0"/>
      </w:tabs>
      <w:spacing w:before="120" w:after="60"/>
    </w:pPr>
    <w:rPr>
      <w:i/>
      <w:color w:val="918585"/>
      <w:sz w:val="22"/>
    </w:rPr>
  </w:style>
  <w:style w:type="paragraph" w:customStyle="1" w:styleId="TableBodyText">
    <w:name w:val="Table Body Text"/>
    <w:basedOn w:val="BodyText"/>
    <w:rsid w:val="00CB682C"/>
    <w:pPr>
      <w:spacing w:before="60" w:after="60"/>
    </w:pPr>
  </w:style>
  <w:style w:type="paragraph" w:styleId="ListContinue">
    <w:name w:val="List Continue"/>
    <w:basedOn w:val="List"/>
    <w:rsid w:val="00CB682C"/>
    <w:pPr>
      <w:ind w:firstLine="0"/>
    </w:pPr>
  </w:style>
  <w:style w:type="paragraph" w:customStyle="1" w:styleId="ListNote">
    <w:name w:val="List Note"/>
    <w:basedOn w:val="List"/>
    <w:rsid w:val="00CB682C"/>
    <w:pPr>
      <w:pBdr>
        <w:top w:val="single" w:sz="6" w:space="2" w:color="918585"/>
        <w:bottom w:val="single" w:sz="6" w:space="2" w:color="918585"/>
      </w:pBdr>
      <w:tabs>
        <w:tab w:val="left" w:pos="1021"/>
      </w:tabs>
      <w:ind w:firstLine="0"/>
    </w:pPr>
  </w:style>
  <w:style w:type="paragraph" w:customStyle="1" w:styleId="Warning">
    <w:name w:val="Warning"/>
    <w:basedOn w:val="BodyText"/>
    <w:rsid w:val="00CB682C"/>
    <w:pPr>
      <w:shd w:val="clear" w:color="auto" w:fill="D9D9D9"/>
      <w:tabs>
        <w:tab w:val="left" w:pos="992"/>
      </w:tabs>
      <w:ind w:left="119" w:right="119"/>
    </w:pPr>
    <w:rPr>
      <w:sz w:val="20"/>
    </w:rPr>
  </w:style>
  <w:style w:type="paragraph" w:customStyle="1" w:styleId="MarginIcons">
    <w:name w:val="Margin Icons"/>
    <w:basedOn w:val="BodyText"/>
    <w:rsid w:val="00CB6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82C"/>
    <w:rPr>
      <w:rFonts w:ascii="Courier New" w:hAnsi="Courier New"/>
    </w:rPr>
  </w:style>
  <w:style w:type="paragraph" w:customStyle="1" w:styleId="NoteBullet">
    <w:name w:val="Note Bullet"/>
    <w:basedOn w:val="Note"/>
    <w:rsid w:val="00CB682C"/>
    <w:pPr>
      <w:tabs>
        <w:tab w:val="clear" w:pos="680"/>
      </w:tabs>
      <w:spacing w:before="60" w:after="60"/>
    </w:pPr>
  </w:style>
  <w:style w:type="paragraph" w:customStyle="1" w:styleId="SubHeading2">
    <w:name w:val="SubHeading2"/>
    <w:basedOn w:val="HeadingBase"/>
    <w:rsid w:val="00CB682C"/>
    <w:pPr>
      <w:spacing w:before="240" w:after="60"/>
    </w:pPr>
    <w:rPr>
      <w:sz w:val="20"/>
    </w:rPr>
  </w:style>
  <w:style w:type="paragraph" w:customStyle="1" w:styleId="SubHeading1">
    <w:name w:val="SubHeading1"/>
    <w:basedOn w:val="HeadingBase"/>
    <w:rsid w:val="00CB682C"/>
    <w:pPr>
      <w:spacing w:before="240" w:after="60"/>
    </w:pPr>
    <w:rPr>
      <w:color w:val="918585"/>
      <w:sz w:val="22"/>
    </w:rPr>
  </w:style>
  <w:style w:type="paragraph" w:customStyle="1" w:styleId="SideHeading">
    <w:name w:val="Side Heading"/>
    <w:basedOn w:val="HeadingBase"/>
    <w:rsid w:val="00CB6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82C"/>
    <w:pPr>
      <w:numPr>
        <w:numId w:val="13"/>
      </w:numPr>
    </w:pPr>
  </w:style>
  <w:style w:type="paragraph" w:styleId="PlainText">
    <w:name w:val="Plain Text"/>
    <w:basedOn w:val="Normal"/>
    <w:link w:val="PlainTextChar"/>
    <w:rsid w:val="00CB682C"/>
    <w:rPr>
      <w:sz w:val="20"/>
    </w:rPr>
  </w:style>
  <w:style w:type="character" w:customStyle="1" w:styleId="PlainTextChar">
    <w:name w:val="Plain Text Char"/>
    <w:basedOn w:val="DefaultParagraphFont"/>
    <w:link w:val="PlainText"/>
    <w:rsid w:val="00CB682C"/>
    <w:rPr>
      <w:rFonts w:ascii="Courier New" w:eastAsia="Times New Roman" w:hAnsi="Courier New" w:cs="Times New Roman"/>
      <w:sz w:val="20"/>
      <w:szCs w:val="20"/>
      <w:lang w:eastAsia="en-US"/>
    </w:rPr>
  </w:style>
  <w:style w:type="character" w:customStyle="1" w:styleId="MenuOption">
    <w:name w:val="Menu Option"/>
    <w:basedOn w:val="DefaultParagraphFont"/>
    <w:rsid w:val="00CB682C"/>
    <w:rPr>
      <w:b/>
      <w:smallCaps/>
    </w:rPr>
  </w:style>
  <w:style w:type="paragraph" w:customStyle="1" w:styleId="TableListNumber">
    <w:name w:val="Table List Number"/>
    <w:basedOn w:val="ListNumber"/>
    <w:rsid w:val="00CB682C"/>
    <w:pPr>
      <w:numPr>
        <w:numId w:val="0"/>
      </w:numPr>
    </w:pPr>
  </w:style>
  <w:style w:type="paragraph" w:styleId="TOC4">
    <w:name w:val="toc 4"/>
    <w:basedOn w:val="TOCBase"/>
    <w:next w:val="Normal"/>
    <w:semiHidden/>
    <w:rsid w:val="00CB682C"/>
    <w:pPr>
      <w:tabs>
        <w:tab w:val="right" w:leader="dot" w:pos="9071"/>
      </w:tabs>
      <w:ind w:left="1701"/>
    </w:pPr>
  </w:style>
  <w:style w:type="paragraph" w:customStyle="1" w:styleId="ListAlpha">
    <w:name w:val="List Alpha"/>
    <w:basedOn w:val="List"/>
    <w:rsid w:val="00CB682C"/>
    <w:pPr>
      <w:numPr>
        <w:numId w:val="10"/>
      </w:numPr>
    </w:pPr>
  </w:style>
  <w:style w:type="paragraph" w:customStyle="1" w:styleId="ListAlpha2">
    <w:name w:val="List Alpha 2"/>
    <w:basedOn w:val="List2"/>
    <w:rsid w:val="00CB682C"/>
    <w:pPr>
      <w:numPr>
        <w:numId w:val="9"/>
      </w:numPr>
    </w:pPr>
  </w:style>
  <w:style w:type="paragraph" w:styleId="List2">
    <w:name w:val="List 2"/>
    <w:basedOn w:val="BodyText"/>
    <w:rsid w:val="00CB682C"/>
    <w:pPr>
      <w:tabs>
        <w:tab w:val="left" w:pos="680"/>
      </w:tabs>
      <w:spacing w:before="60" w:after="60"/>
      <w:ind w:left="680" w:hanging="340"/>
    </w:pPr>
  </w:style>
  <w:style w:type="paragraph" w:styleId="List3">
    <w:name w:val="List 3"/>
    <w:basedOn w:val="BodyText"/>
    <w:rsid w:val="00CB682C"/>
    <w:pPr>
      <w:tabs>
        <w:tab w:val="left" w:pos="1021"/>
      </w:tabs>
      <w:spacing w:before="60" w:after="60"/>
      <w:ind w:left="1020" w:hanging="340"/>
    </w:pPr>
  </w:style>
  <w:style w:type="paragraph" w:styleId="List4">
    <w:name w:val="List 4"/>
    <w:basedOn w:val="BodyText"/>
    <w:rsid w:val="00CB682C"/>
    <w:pPr>
      <w:tabs>
        <w:tab w:val="left" w:pos="1361"/>
      </w:tabs>
      <w:spacing w:before="60" w:after="60"/>
      <w:ind w:left="1361" w:hanging="340"/>
    </w:pPr>
  </w:style>
  <w:style w:type="paragraph" w:styleId="List5">
    <w:name w:val="List 5"/>
    <w:basedOn w:val="BodyText"/>
    <w:rsid w:val="00CB682C"/>
    <w:pPr>
      <w:tabs>
        <w:tab w:val="left" w:pos="1701"/>
      </w:tabs>
      <w:spacing w:before="60" w:after="60"/>
      <w:ind w:left="1701" w:hanging="340"/>
    </w:pPr>
  </w:style>
  <w:style w:type="paragraph" w:styleId="ListBullet4">
    <w:name w:val="List Bullet 4"/>
    <w:basedOn w:val="List4"/>
    <w:rsid w:val="00CB682C"/>
    <w:pPr>
      <w:numPr>
        <w:numId w:val="4"/>
      </w:numPr>
    </w:pPr>
  </w:style>
  <w:style w:type="paragraph" w:styleId="ListBullet5">
    <w:name w:val="List Bullet 5"/>
    <w:basedOn w:val="List5"/>
    <w:rsid w:val="00CB682C"/>
    <w:pPr>
      <w:numPr>
        <w:numId w:val="5"/>
      </w:numPr>
    </w:pPr>
  </w:style>
  <w:style w:type="paragraph" w:styleId="ListContinue2">
    <w:name w:val="List Continue 2"/>
    <w:basedOn w:val="List2"/>
    <w:rsid w:val="00CB682C"/>
    <w:pPr>
      <w:ind w:firstLine="0"/>
    </w:pPr>
  </w:style>
  <w:style w:type="paragraph" w:styleId="ListContinue3">
    <w:name w:val="List Continue 3"/>
    <w:basedOn w:val="List3"/>
    <w:rsid w:val="00CB682C"/>
    <w:pPr>
      <w:ind w:left="1021" w:firstLine="0"/>
    </w:pPr>
  </w:style>
  <w:style w:type="paragraph" w:styleId="ListContinue4">
    <w:name w:val="List Continue 4"/>
    <w:basedOn w:val="List4"/>
    <w:rsid w:val="00CB682C"/>
    <w:pPr>
      <w:ind w:firstLine="0"/>
    </w:pPr>
  </w:style>
  <w:style w:type="paragraph" w:styleId="ListContinue5">
    <w:name w:val="List Continue 5"/>
    <w:basedOn w:val="List5"/>
    <w:rsid w:val="00CB682C"/>
    <w:pPr>
      <w:ind w:firstLine="0"/>
    </w:pPr>
  </w:style>
  <w:style w:type="paragraph" w:styleId="ListNumber3">
    <w:name w:val="List Number 3"/>
    <w:basedOn w:val="List3"/>
    <w:rsid w:val="00CB682C"/>
    <w:pPr>
      <w:numPr>
        <w:numId w:val="6"/>
      </w:numPr>
    </w:pPr>
  </w:style>
  <w:style w:type="paragraph" w:styleId="ListNumber4">
    <w:name w:val="List Number 4"/>
    <w:basedOn w:val="List4"/>
    <w:rsid w:val="00CB682C"/>
    <w:pPr>
      <w:numPr>
        <w:numId w:val="7"/>
      </w:numPr>
    </w:pPr>
  </w:style>
  <w:style w:type="paragraph" w:styleId="ListNumber5">
    <w:name w:val="List Number 5"/>
    <w:basedOn w:val="List5"/>
    <w:rsid w:val="00CB682C"/>
    <w:pPr>
      <w:numPr>
        <w:numId w:val="8"/>
      </w:numPr>
    </w:pPr>
  </w:style>
  <w:style w:type="paragraph" w:styleId="BlockText">
    <w:name w:val="Block Text"/>
    <w:basedOn w:val="Normal"/>
    <w:rsid w:val="00CB682C"/>
    <w:pPr>
      <w:spacing w:after="120"/>
      <w:ind w:left="1440" w:right="1440"/>
    </w:pPr>
  </w:style>
  <w:style w:type="character" w:customStyle="1" w:styleId="Subscript">
    <w:name w:val="Subscript"/>
    <w:basedOn w:val="DefaultParagraphFont"/>
    <w:rsid w:val="00CB682C"/>
    <w:rPr>
      <w:sz w:val="16"/>
      <w:vertAlign w:val="subscript"/>
    </w:rPr>
  </w:style>
  <w:style w:type="character" w:customStyle="1" w:styleId="Superscript">
    <w:name w:val="Superscript"/>
    <w:basedOn w:val="DefaultParagraphFont"/>
    <w:rsid w:val="00CB682C"/>
    <w:rPr>
      <w:sz w:val="16"/>
      <w:vertAlign w:val="superscript"/>
    </w:rPr>
  </w:style>
  <w:style w:type="character" w:customStyle="1" w:styleId="Symbols">
    <w:name w:val="Symbols"/>
    <w:basedOn w:val="DefaultParagraphFont"/>
    <w:rsid w:val="00CB682C"/>
    <w:rPr>
      <w:rFonts w:ascii="Symbol" w:hAnsi="Symbol"/>
    </w:rPr>
  </w:style>
  <w:style w:type="character" w:customStyle="1" w:styleId="MenuOptions">
    <w:name w:val="Menu Options"/>
    <w:basedOn w:val="DefaultParagraphFont"/>
    <w:rsid w:val="00CB682C"/>
    <w:rPr>
      <w:rFonts w:ascii="Arial Narrow" w:hAnsi="Arial Narrow"/>
      <w:smallCaps/>
    </w:rPr>
  </w:style>
  <w:style w:type="character" w:customStyle="1" w:styleId="Buttons">
    <w:name w:val="Buttons"/>
    <w:basedOn w:val="DefaultParagraphFont"/>
    <w:rsid w:val="00CB682C"/>
    <w:rPr>
      <w:b/>
    </w:rPr>
  </w:style>
  <w:style w:type="character" w:customStyle="1" w:styleId="Underlined">
    <w:name w:val="Underlined"/>
    <w:basedOn w:val="DefaultParagraphFont"/>
    <w:rsid w:val="00CB682C"/>
    <w:rPr>
      <w:u w:val="single"/>
    </w:rPr>
  </w:style>
  <w:style w:type="paragraph" w:customStyle="1" w:styleId="TableBodyTextRight">
    <w:name w:val="Table Body Text Right"/>
    <w:basedOn w:val="TableBodyText"/>
    <w:rsid w:val="00CB682C"/>
    <w:pPr>
      <w:widowControl w:val="0"/>
      <w:autoSpaceDE w:val="0"/>
      <w:autoSpaceDN w:val="0"/>
      <w:adjustRightInd w:val="0"/>
      <w:jc w:val="right"/>
    </w:pPr>
    <w:rPr>
      <w:rFonts w:cs="Arial"/>
      <w:szCs w:val="18"/>
    </w:rPr>
  </w:style>
  <w:style w:type="paragraph" w:customStyle="1" w:styleId="CopyrightText">
    <w:name w:val="Copyright Text"/>
    <w:basedOn w:val="BodyText"/>
    <w:rsid w:val="00CB682C"/>
    <w:rPr>
      <w:sz w:val="18"/>
    </w:rPr>
  </w:style>
  <w:style w:type="paragraph" w:customStyle="1" w:styleId="BodySmallRight">
    <w:name w:val="Body Small Right"/>
    <w:basedOn w:val="BodyTextRight"/>
    <w:rsid w:val="00CB682C"/>
    <w:rPr>
      <w:sz w:val="18"/>
      <w:szCs w:val="18"/>
    </w:rPr>
  </w:style>
  <w:style w:type="paragraph" w:customStyle="1" w:styleId="MarginEdition">
    <w:name w:val="Margin Edition"/>
    <w:basedOn w:val="MarginNote"/>
    <w:rsid w:val="00CB682C"/>
    <w:pPr>
      <w:spacing w:before="0" w:after="0"/>
    </w:pPr>
    <w:rPr>
      <w:rFonts w:ascii="Times New Roman" w:hAnsi="Times New Roman"/>
      <w:color w:val="999999"/>
    </w:rPr>
  </w:style>
  <w:style w:type="paragraph" w:customStyle="1" w:styleId="Spacer">
    <w:name w:val="Spacer"/>
    <w:basedOn w:val="Normal"/>
    <w:rsid w:val="00CB682C"/>
    <w:rPr>
      <w:sz w:val="2"/>
      <w:szCs w:val="2"/>
    </w:rPr>
  </w:style>
  <w:style w:type="character" w:customStyle="1" w:styleId="Small">
    <w:name w:val="Small"/>
    <w:basedOn w:val="DefaultParagraphFont"/>
    <w:rsid w:val="00CB682C"/>
    <w:rPr>
      <w:sz w:val="16"/>
    </w:rPr>
  </w:style>
  <w:style w:type="paragraph" w:customStyle="1" w:styleId="WideTable">
    <w:name w:val="Wide Table"/>
    <w:basedOn w:val="Normal"/>
    <w:rsid w:val="00CB682C"/>
    <w:pPr>
      <w:ind w:left="-1418"/>
    </w:pPr>
    <w:rPr>
      <w:sz w:val="2"/>
      <w:szCs w:val="2"/>
    </w:rPr>
  </w:style>
  <w:style w:type="character" w:styleId="PageNumber">
    <w:name w:val="page number"/>
    <w:basedOn w:val="DefaultParagraphFont"/>
    <w:rsid w:val="00CB682C"/>
  </w:style>
  <w:style w:type="paragraph" w:styleId="Quote">
    <w:name w:val="Quote"/>
    <w:basedOn w:val="Heading1"/>
    <w:link w:val="QuoteChar"/>
    <w:qFormat/>
    <w:rsid w:val="00CB682C"/>
    <w:rPr>
      <w:b w:val="0"/>
      <w:sz w:val="72"/>
      <w:szCs w:val="72"/>
      <w:lang w:val="en-NZ"/>
    </w:rPr>
  </w:style>
  <w:style w:type="character" w:customStyle="1" w:styleId="QuoteChar">
    <w:name w:val="Quote Char"/>
    <w:basedOn w:val="DefaultParagraphFont"/>
    <w:link w:val="Quote"/>
    <w:rsid w:val="00CB6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82C"/>
    <w:pPr>
      <w:pageBreakBefore/>
    </w:pPr>
  </w:style>
  <w:style w:type="paragraph" w:customStyle="1" w:styleId="Border">
    <w:name w:val="Border"/>
    <w:basedOn w:val="Normal"/>
    <w:qFormat/>
    <w:rsid w:val="00CB6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82C"/>
    <w:rPr>
      <w:b/>
      <w:bCs/>
      <w:i/>
      <w:iCs/>
      <w:color w:val="auto"/>
    </w:rPr>
  </w:style>
  <w:style w:type="paragraph" w:styleId="IntenseQuote">
    <w:name w:val="Intense Quote"/>
    <w:basedOn w:val="Normal"/>
    <w:next w:val="Normal"/>
    <w:link w:val="IntenseQuoteChar"/>
    <w:uiPriority w:val="30"/>
    <w:qFormat/>
    <w:rsid w:val="00CB6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82C"/>
    <w:rPr>
      <w:smallCaps/>
      <w:color w:val="auto"/>
      <w:u w:val="single"/>
    </w:rPr>
  </w:style>
  <w:style w:type="character" w:styleId="IntenseReference">
    <w:name w:val="Intense Reference"/>
    <w:basedOn w:val="DefaultParagraphFont"/>
    <w:uiPriority w:val="32"/>
    <w:qFormat/>
    <w:rsid w:val="00CB682C"/>
    <w:rPr>
      <w:b/>
      <w:bCs/>
      <w:smallCaps/>
      <w:color w:val="auto"/>
      <w:spacing w:val="5"/>
      <w:u w:val="single"/>
    </w:rPr>
  </w:style>
  <w:style w:type="paragraph" w:customStyle="1" w:styleId="2ColumnHeading">
    <w:name w:val="2Column Heading"/>
    <w:basedOn w:val="BodyText"/>
    <w:qFormat/>
    <w:rsid w:val="00CB682C"/>
    <w:pPr>
      <w:spacing w:after="60"/>
      <w:ind w:left="-2268"/>
    </w:pPr>
    <w:rPr>
      <w:b/>
    </w:rPr>
  </w:style>
  <w:style w:type="paragraph" w:customStyle="1" w:styleId="Heading1TOC">
    <w:name w:val="Heading1 TOC"/>
    <w:basedOn w:val="Normal"/>
    <w:qFormat/>
    <w:rsid w:val="00CB682C"/>
    <w:pPr>
      <w:spacing w:before="240" w:after="120"/>
    </w:pPr>
    <w:rPr>
      <w:rFonts w:ascii="Times New Roman" w:hAnsi="Times New Roman"/>
      <w:b/>
      <w:sz w:val="32"/>
    </w:rPr>
  </w:style>
  <w:style w:type="paragraph" w:customStyle="1" w:styleId="Heading2TOC">
    <w:name w:val="Heading2 TOC"/>
    <w:basedOn w:val="Normal"/>
    <w:qFormat/>
    <w:rsid w:val="00CB682C"/>
    <w:pPr>
      <w:spacing w:before="240" w:after="60"/>
    </w:pPr>
    <w:rPr>
      <w:rFonts w:ascii="Times New Roman" w:hAnsi="Times New Roman"/>
      <w:b/>
      <w:sz w:val="28"/>
    </w:rPr>
  </w:style>
  <w:style w:type="character" w:customStyle="1" w:styleId="Underline">
    <w:name w:val="Underline"/>
    <w:basedOn w:val="DefaultParagraphFont"/>
    <w:qFormat/>
    <w:rsid w:val="00CB682C"/>
    <w:rPr>
      <w:u w:val="single"/>
    </w:rPr>
  </w:style>
  <w:style w:type="character" w:customStyle="1" w:styleId="BoldandItalics">
    <w:name w:val="Bold and Italics"/>
    <w:qFormat/>
    <w:rsid w:val="00CB682C"/>
    <w:rPr>
      <w:b/>
      <w:i/>
      <w:u w:val="none"/>
    </w:rPr>
  </w:style>
  <w:style w:type="paragraph" w:styleId="BalloonText">
    <w:name w:val="Balloon Text"/>
    <w:basedOn w:val="Normal"/>
    <w:link w:val="BalloonTextChar"/>
    <w:rsid w:val="00CB682C"/>
    <w:rPr>
      <w:rFonts w:ascii="Tahoma" w:hAnsi="Tahoma" w:cs="Tahoma"/>
      <w:sz w:val="16"/>
      <w:szCs w:val="16"/>
    </w:rPr>
  </w:style>
  <w:style w:type="character" w:customStyle="1" w:styleId="BalloonTextChar">
    <w:name w:val="Balloon Text Char"/>
    <w:basedOn w:val="DefaultParagraphFont"/>
    <w:link w:val="BalloonText"/>
    <w:rsid w:val="00CB6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8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82C"/>
    <w:rPr>
      <w:b/>
      <w:color w:val="660033"/>
      <w:spacing w:val="0"/>
    </w:rPr>
  </w:style>
  <w:style w:type="paragraph" w:customStyle="1" w:styleId="Nameditemlist">
    <w:name w:val="Named item list"/>
    <w:basedOn w:val="BodyText"/>
    <w:qFormat/>
    <w:rsid w:val="00CB68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2410</Words>
  <Characters>14560</Characters>
  <Application>Microsoft Office Word</Application>
  <DocSecurity>0</DocSecurity>
  <Lines>518</Lines>
  <Paragraphs>245</Paragraphs>
  <ScaleCrop>false</ScaleCrop>
  <Company>Author-it Software Corporation Ltd.</Company>
  <LinksUpToDate>false</LinksUpToDate>
  <CharactersWithSpaces>16844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UEENEEG106A Terminate cables, cords and accessories for low voltage circuits</dc:title>
  <dc:subject>Approved</dc:subject>
  <dc:creator>E-OZ Training Standards</dc:creator>
  <cp:keywords>Release: 3</cp:keywords>
  <dc:description>Review Date: 12 April 2008</dc:description>
  <cp:lastModifiedBy>TPCMS</cp:lastModifiedBy>
  <cp:revision>3</cp:revision>
  <dcterms:created xsi:type="dcterms:W3CDTF">2013-08-14T06:55:00Z</dcterms:created>
  <dcterms:modified xsi:type="dcterms:W3CDTF">2013-08-14T06:55:00Z</dcterms:modified>
</cp:coreProperties>
</file>